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ch-gap-analysis-row-level-verification"/>
    <w:p>
      <w:pPr>
        <w:pStyle w:val="Heading1"/>
      </w:pPr>
      <w:r>
        <w:t xml:space="preserve">ECH Gap Analysis — Row-Level Verification</w:t>
      </w:r>
    </w:p>
    <w:p>
      <w:pPr>
        <w:pStyle w:val="FirstParagraph"/>
      </w:pPr>
      <w:r>
        <w:t xml:space="preserve">Re-checked every row inside each previously-rated</w:t>
      </w:r>
      <w:r>
        <w:t xml:space="preserve"> </w:t>
      </w:r>
      <w:r>
        <w:rPr>
          <w:b/>
          <w:bCs/>
        </w:rPr>
        <w:t xml:space="preserve">No Gap</w:t>
      </w:r>
      <w:r>
        <w:t xml:space="preserve"> </w:t>
      </w:r>
      <w:r>
        <w:t xml:space="preserve">section (15 sections, ~75 rows) against the actual text of the 28 originals in</w:t>
      </w:r>
      <w:r>
        <w:t xml:space="preserve"> </w:t>
      </w:r>
      <w:r>
        <w:rPr>
          <w:rStyle w:val="VerbatimChar"/>
        </w:rPr>
        <w:t xml:space="preserve">3. Final Word/3.a Final Markdown/</w:t>
      </w:r>
      <w:r>
        <w:t xml:space="preserve">. The section-level pass was directionally right but coarse — it hid real row-level gaps in</w:t>
      </w:r>
      <w:r>
        <w:t xml:space="preserve"> </w:t>
      </w:r>
      <w:r>
        <w:rPr>
          <w:b/>
          <w:bCs/>
        </w:rPr>
        <w:t xml:space="preserve">SIG S (SCRM)</w:t>
      </w:r>
      <w:r>
        <w:t xml:space="preserve">,</w:t>
      </w:r>
      <w:r>
        <w:t xml:space="preserve"> </w:t>
      </w:r>
      <w:r>
        <w:rPr>
          <w:b/>
          <w:bCs/>
        </w:rPr>
        <w:t xml:space="preserve">SIG K (Resilience)</w:t>
      </w:r>
      <w:r>
        <w:t xml:space="preserve">,</w:t>
      </w:r>
      <w:r>
        <w:t xml:space="preserve"> </w:t>
      </w:r>
      <w:r>
        <w:rPr>
          <w:b/>
          <w:bCs/>
        </w:rPr>
        <w:t xml:space="preserve">SIG G (IT Ops / Change Mgmt)</w:t>
      </w:r>
      <w:r>
        <w:t xml:space="preserve">, and</w:t>
      </w:r>
      <w:r>
        <w:t xml:space="preserve"> </w:t>
      </w:r>
      <w:r>
        <w:rPr>
          <w:b/>
          <w:bCs/>
        </w:rPr>
        <w:t xml:space="preserve">SIG J (Incident review methodology / evidence integrity)</w:t>
      </w:r>
      <w:r>
        <w:t xml:space="preserve">. Findings below.</w:t>
      </w:r>
    </w:p>
    <w:p>
      <w:r>
        <w:pict>
          <v:rect style="width:0;height:1.5pt" o:hralign="center" o:hrstd="t" o:hr="t"/>
        </w:pict>
      </w:r>
    </w:p>
    <w:bookmarkStart w:id="9" w:name="X179563b15287ea0b1a4ba2bf5ab2df094c715d4"/>
    <w:p>
      <w:pPr>
        <w:pStyle w:val="Heading2"/>
      </w:pPr>
      <w:r>
        <w:t xml:space="preserve">§1 — Newly-found gaps (rows inside</w:t>
      </w:r>
      <w:r>
        <w:t xml:space="preserve"> </w:t>
      </w:r>
      <w:r>
        <w:t xml:space="preserve">“No Gap”</w:t>
      </w:r>
      <w:r>
        <w:t xml:space="preserve"> </w:t>
      </w:r>
      <w:r>
        <w:t xml:space="preserve">sections that are actually gaps)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CSV row</w:t>
            </w:r>
          </w:p>
        </w:tc>
        <w:tc>
          <w:tcPr/>
          <w:p>
            <w:pPr>
              <w:pStyle w:val="Compact"/>
            </w:pPr>
            <w:r>
              <w:t xml:space="preserve">Q ref</w:t>
            </w:r>
          </w:p>
        </w:tc>
        <w:tc>
          <w:tcPr/>
          <w:p>
            <w:pPr>
              <w:pStyle w:val="Compact"/>
            </w:pPr>
            <w:r>
              <w:t xml:space="preserve">Question (abbrev)</w:t>
            </w:r>
          </w:p>
        </w:tc>
        <w:tc>
          <w:tcPr/>
          <w:p>
            <w:pPr>
              <w:pStyle w:val="Compact"/>
            </w:pPr>
            <w:r>
              <w:t xml:space="preserve">Why the section-level</w:t>
            </w:r>
            <w:r>
              <w:t xml:space="preserve"> </w:t>
            </w:r>
            <w:r>
              <w:t xml:space="preserve">“No Gap”</w:t>
            </w:r>
            <w:r>
              <w:t xml:space="preserve"> </w:t>
            </w:r>
            <w:r>
              <w:t xml:space="preserve">was wrong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SIG K.2</w:t>
            </w:r>
          </w:p>
        </w:tc>
        <w:tc>
          <w:tcPr/>
          <w:p>
            <w:pPr>
              <w:pStyle w:val="Compact"/>
            </w:pPr>
            <w:r>
              <w:t xml:space="preserve">Formal, documented IT DR exercise/testing program</w:t>
            </w:r>
          </w:p>
        </w:tc>
        <w:tc>
          <w:tcPr/>
          <w:p>
            <w:pPr>
              <w:pStyle w:val="Compact"/>
            </w:pPr>
            <w:r>
              <w:t xml:space="preserve">Contingency Planning Policy §III(b)–(d) describes backups, DR plan, third-party coordination, but is silent on</w:t>
            </w:r>
            <w:r>
              <w:t xml:space="preserve"> </w:t>
            </w:r>
            <w:r>
              <w:rPr>
                <w:b/>
                <w:bCs/>
              </w:rPr>
              <w:t xml:space="preserve">exercising / testing</w:t>
            </w:r>
            <w:r>
              <w:t xml:space="preserve"> </w:t>
            </w:r>
            <w:r>
              <w:t xml:space="preserve">the DR plan on a cadence. CSV already flagged</w:t>
            </w:r>
            <w:r>
              <w:t xml:space="preserve"> </w:t>
            </w:r>
            <w:r>
              <w:t xml:space="preserve">“FOLLOW UP.”</w:t>
            </w:r>
            <w:r>
              <w:t xml:space="preserve"> </w:t>
            </w:r>
            <w:r>
              <w:t xml:space="preserve">Section-level pass treated K-block as covered.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Policy.md</w:t>
            </w:r>
            <w:r>
              <w:t xml:space="preserve"> </w:t>
            </w:r>
            <w:r>
              <w:t xml:space="preserve">— add 1 sentence to §III(d)</w:t>
            </w:r>
            <w:r>
              <w:t xml:space="preserve"> </w:t>
            </w:r>
            <w:r>
              <w:t xml:space="preserve">“Other Protective Measures”</w:t>
            </w:r>
            <w:r>
              <w:t xml:space="preserve">:</w:t>
            </w:r>
            <w:r>
              <w:t xml:space="preserve"> </w:t>
            </w:r>
            <w:r>
              <w:t xml:space="preserve">“The Chief Security Officer shall coordinate at least an annual tabletop or walk-through exercise of the disaster recovery plan, document the outcome, and feed material findings into the risk management process.”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SIG G.2</w:t>
            </w:r>
          </w:p>
        </w:tc>
        <w:tc>
          <w:tcPr/>
          <w:p>
            <w:pPr>
              <w:pStyle w:val="Compact"/>
            </w:pPr>
            <w:r>
              <w:t xml:space="preserve">Operational Change Management / Change Control policy with owner &amp; review</w:t>
            </w:r>
          </w:p>
        </w:tc>
        <w:tc>
          <w:tcPr/>
          <w:p>
            <w:pPr>
              <w:pStyle w:val="Compact"/>
            </w:pPr>
            <w:r>
              <w:t xml:space="preserve">SDLC Policy §III(c) covers</w:t>
            </w:r>
            <w:r>
              <w:t xml:space="preserve"> </w:t>
            </w:r>
            <w:r>
              <w:t xml:space="preserve">“testing &amp; validation prior to deployment,”</w:t>
            </w:r>
            <w:r>
              <w:t xml:space="preserve"> </w:t>
            </w:r>
            <w:r>
              <w:t xml:space="preserve">but never names a Change Management program, approval gates, change log, or rollback. ECH assessor expecting a discrete CM clause will not find one.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 Development Life Cycle (SDLC) &amp; Asset Lifecycle Policy.md</w:t>
            </w:r>
            <w:r>
              <w:t xml:space="preserve"> </w:t>
            </w:r>
            <w:r>
              <w:t xml:space="preserve">— append to §III(c):</w:t>
            </w:r>
            <w:r>
              <w:t xml:space="preserve"> </w:t>
            </w:r>
            <w:r>
              <w:t xml:space="preserve">“Changes to production systems require peer review and approval through Company’s source-control and deployment pipeline (currently GitHub pull-request review + Aptible deploys). The Chief Security Officer is the owner of this change-control process, which is reviewed at least annually. A record of production changes is retained via Git history and Aptible deploy logs.”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SIG S.32</w:t>
            </w:r>
          </w:p>
        </w:tc>
        <w:tc>
          <w:tcPr/>
          <w:p>
            <w:pPr>
              <w:pStyle w:val="Compact"/>
            </w:pPr>
            <w:r>
              <w:t xml:space="preserve">Documented, approved C-SCRM policy (strategy, objectives, supplier adoption, contingency)</w:t>
            </w:r>
          </w:p>
        </w:tc>
        <w:tc>
          <w:tcPr/>
          <w:p>
            <w:pPr>
              <w:pStyle w:val="Compact"/>
            </w:pPr>
            <w:r>
              <w:t xml:space="preserve">Info Sec Framework §11 covers vendor onboarding / BAA / flow-down — that answers S.1, not S.32. There is no document titled or framed as a</w:t>
            </w:r>
            <w:r>
              <w:t xml:space="preserve"> </w:t>
            </w:r>
            <w:r>
              <w:rPr>
                <w:b/>
                <w:bCs/>
              </w:rPr>
              <w:t xml:space="preserve">Cybersecurity Supply Chain Risk Management</w:t>
            </w:r>
            <w:r>
              <w:t xml:space="preserve"> </w:t>
            </w:r>
            <w:r>
              <w:t xml:space="preserve">policy with strategy/objectives. Section-level pass conflated the two.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  <w:r>
              <w:t xml:space="preserve"> </w:t>
            </w:r>
            <w:r>
              <w:t xml:space="preserve">— append to §11:</w:t>
            </w:r>
            <w:r>
              <w:t xml:space="preserve"> </w:t>
            </w:r>
            <w:r>
              <w:t xml:space="preserve">“Millie’s third-party risk management process functions as Company’s Cybersecurity Supply Chain Risk Management (C-SCRM) program. Its strategy is to limit supply-chain exposure through BAA-gated PHI access, vendor concentration disclosed and reviewed in the Contingency Planning Policy, and contractual flow-down to subcontractors. Its objectives are reviewed annually by the Chief Security Officer alongside the risk assessment.”</w:t>
            </w:r>
            <w:r>
              <w:t xml:space="preserve"> </w:t>
            </w:r>
            <w:r>
              <w:t xml:space="preserve">(Terminology mismatch note for assessor: Millie’s</w:t>
            </w:r>
            <w:r>
              <w:t xml:space="preserve"> </w:t>
            </w:r>
            <w:r>
              <w:t xml:space="preserve">“third-party risk management”</w:t>
            </w:r>
            <w:r>
              <w:t xml:space="preserve"> </w:t>
            </w:r>
            <w:r>
              <w:t xml:space="preserve">= ECH’s</w:t>
            </w:r>
            <w:r>
              <w:t xml:space="preserve"> </w:t>
            </w:r>
            <w:r>
              <w:t xml:space="preserve">“C-SCRM.”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SIG S.57</w:t>
            </w:r>
          </w:p>
        </w:tc>
        <w:tc>
          <w:tcPr/>
          <w:p>
            <w:pPr>
              <w:pStyle w:val="Compact"/>
            </w:pPr>
            <w:r>
              <w:t xml:space="preserve">Media protection policies cover supply-chain concerns through the SDLC</w:t>
            </w:r>
          </w:p>
        </w:tc>
        <w:tc>
          <w:tcPr/>
          <w:p>
            <w:pPr>
              <w:pStyle w:val="Compact"/>
            </w:pPr>
            <w:r>
              <w:t xml:space="preserve">SDLC Policy §III(e) covers media sanitization / disposal but not media handled</w:t>
            </w:r>
            <w:r>
              <w:t xml:space="preserve"> </w:t>
            </w:r>
            <w:r>
              <w:rPr>
                <w:i/>
                <w:iCs/>
              </w:rPr>
              <w:t xml:space="preserve">within the supply chain</w:t>
            </w:r>
            <w:r>
              <w:t xml:space="preserve"> </w:t>
            </w:r>
            <w:r>
              <w:t xml:space="preserve">(vendor-returned drives, third-party-furnished hardware). At Millie’s scale this is largely N/A (cloud-only, no shipped media), but it is not stated anywhere.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 Development Life Cycle (SDLC) &amp; Asset Lifecycle Policy.md</w:t>
            </w:r>
            <w:r>
              <w:t xml:space="preserve"> </w:t>
            </w:r>
            <w:r>
              <w:t xml:space="preserve">— append 1 sentence to §III(e):</w:t>
            </w:r>
            <w:r>
              <w:t xml:space="preserve"> </w:t>
            </w:r>
            <w:r>
              <w:t xml:space="preserve">“Where vendors or contractors handle physical media on Company’s behalf, the vendor’s media-protection controls are reviewed during BAA / vendor onboarding; Company’s cloud-first posture limits supply-chain media exposure to vendor-owned infrastructure.”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SIG S.61</w:t>
            </w:r>
          </w:p>
        </w:tc>
        <w:tc>
          <w:tcPr/>
          <w:p>
            <w:pPr>
              <w:pStyle w:val="Compact"/>
            </w:pPr>
            <w:r>
              <w:t xml:space="preserve">Integrate C-SCRM when developing security planning policy</w:t>
            </w:r>
          </w:p>
        </w:tc>
        <w:tc>
          <w:tcPr/>
          <w:p>
            <w:pPr>
              <w:pStyle w:val="Compact"/>
            </w:pPr>
            <w:r>
              <w:t xml:space="preserve">No document explicitly ties supply-chain risk into the security-planning process. Addressed by the same Framework §11 addition above; a single sentence cross-referencing risk-management cycle closes this.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Same edit as S.32 above also closes S.61 (one combined sentence noting C-SCRM is integrated into the annual security planning / risk-assessment cycle).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SIG S.80</w:t>
            </w:r>
          </w:p>
        </w:tc>
        <w:tc>
          <w:tcPr/>
          <w:p>
            <w:pPr>
              <w:pStyle w:val="Compact"/>
            </w:pPr>
            <w:r>
              <w:t xml:space="preserve">Security plans clearly define personnel responsibilities for supply chain security risk management</w:t>
            </w:r>
          </w:p>
        </w:tc>
        <w:tc>
          <w:tcPr/>
          <w:p>
            <w:pPr>
              <w:pStyle w:val="Compact"/>
            </w:pPr>
            <w:r>
              <w:t xml:space="preserve">No clause names the</w:t>
            </w:r>
            <w:r>
              <w:t xml:space="preserve"> </w:t>
            </w:r>
            <w:r>
              <w:rPr>
                <w:b/>
                <w:bCs/>
              </w:rPr>
              <w:t xml:space="preserve">owner</w:t>
            </w:r>
            <w:r>
              <w:t xml:space="preserve"> </w:t>
            </w:r>
            <w:r>
              <w:t xml:space="preserve">of supply-chain security responsibilities. Implicit (Chief Security Officer + Chief Privacy Officer), but never stated.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Closed by the same Framework §11 addition — explicitly name the Chief Security Officer (in coordination with Chief Privacy Officer and Legal) as owner of the C-SCRM function.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SIG S.100</w:t>
            </w:r>
          </w:p>
        </w:tc>
        <w:tc>
          <w:tcPr/>
          <w:p>
            <w:pPr>
              <w:pStyle w:val="Compact"/>
            </w:pPr>
            <w:r>
              <w:t xml:space="preserve">System &amp; communications protection policies address cybersecurity risks throughout the supply chain</w:t>
            </w:r>
          </w:p>
        </w:tc>
        <w:tc>
          <w:tcPr/>
          <w:p>
            <w:pPr>
              <w:pStyle w:val="Compact"/>
            </w:pPr>
            <w:r>
              <w:t xml:space="preserve">Encryption Policy + AWS/Aptible IR Policy address sys/comm protection internally but not</w:t>
            </w:r>
            <w:r>
              <w:t xml:space="preserve"> </w:t>
            </w:r>
            <w:r>
              <w:t xml:space="preserve">“throughout the supply chain.”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Closed by the same Framework §11 addition — note that encryption-in-transit and network protections are required of all subcontractors/subprocessors via BAA flow-down.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SIG J.5</w:t>
            </w:r>
          </w:p>
        </w:tc>
        <w:tc>
          <w:tcPr/>
          <w:p>
            <w:pPr>
              <w:pStyle w:val="Compact"/>
            </w:pPr>
            <w:r>
              <w:t xml:space="preserve">Specific methodology to regularly review events on scoped systems to uncover potential incidents</w:t>
            </w:r>
          </w:p>
        </w:tc>
        <w:tc>
          <w:tcPr/>
          <w:p>
            <w:pPr>
              <w:pStyle w:val="Compact"/>
            </w:pPr>
            <w:r>
              <w:t xml:space="preserve">Incident Mgmt Policy + AWS/Aptible IR cover</w:t>
            </w:r>
            <w:r>
              <w:t xml:space="preserve"> </w:t>
            </w:r>
            <w:r>
              <w:rPr>
                <w:i/>
                <w:iCs/>
              </w:rPr>
              <w:t xml:space="preserve">response to reported incidents</w:t>
            </w:r>
            <w:r>
              <w:t xml:space="preserve"> </w:t>
            </w:r>
            <w:r>
              <w:t xml:space="preserve">but not the proactive</w:t>
            </w:r>
            <w:r>
              <w:t xml:space="preserve"> </w:t>
            </w:r>
            <w:r>
              <w:rPr>
                <w:b/>
                <w:bCs/>
              </w:rPr>
              <w:t xml:space="preserve">review methodology</w:t>
            </w:r>
            <w:r>
              <w:t xml:space="preserve"> </w:t>
            </w:r>
            <w:r>
              <w:t xml:space="preserve">(cadence, who, what they look at). Info Sec Framework §7 mentions</w:t>
            </w:r>
            <w:r>
              <w:t xml:space="preserve"> </w:t>
            </w:r>
            <w:r>
              <w:t xml:space="preserve">“Relevant logs are reviewed as needed in response to security events”</w:t>
            </w:r>
            <w:r>
              <w:t xml:space="preserve"> </w:t>
            </w:r>
            <w:r>
              <w:t xml:space="preserve">— but</w:t>
            </w:r>
            <w:r>
              <w:t xml:space="preserve"> </w:t>
            </w:r>
            <w:r>
              <w:t xml:space="preserve">“as needed”</w:t>
            </w:r>
            <w:r>
              <w:t xml:space="preserve"> </w:t>
            </w:r>
            <w:r>
              <w:t xml:space="preserve">is not a methodology.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  <w:r>
              <w:t xml:space="preserve"> </w:t>
            </w:r>
            <w:r>
              <w:t xml:space="preserve">— replace the</w:t>
            </w:r>
            <w:r>
              <w:t xml:space="preserve"> </w:t>
            </w:r>
            <w:r>
              <w:t xml:space="preserve">“as needed”</w:t>
            </w:r>
            <w:r>
              <w:t xml:space="preserve"> </w:t>
            </w:r>
            <w:r>
              <w:t xml:space="preserve">sentence in §7 with:</w:t>
            </w:r>
            <w:r>
              <w:t xml:space="preserve"> </w:t>
            </w:r>
            <w:r>
              <w:t xml:space="preserve">“The Chief Security Officer (or designee) reviews GuardDuty findings, CloudTrail anomalies, and Aptible application audit logs on at least a monthly cadence to identify potential incidents, in addition to event-driven review. Findings are logged and escalated through the Security Incident Management Policy.”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SIG J.14</w:t>
            </w:r>
          </w:p>
        </w:tc>
        <w:tc>
          <w:tcPr/>
          <w:p>
            <w:pPr>
              <w:pStyle w:val="Compact"/>
            </w:pPr>
            <w:r>
              <w:t xml:space="preserve">Incident-investigation actions formally documented and protected from unauthorized changes</w:t>
            </w:r>
          </w:p>
        </w:tc>
        <w:tc>
          <w:tcPr/>
          <w:p>
            <w:pPr>
              <w:pStyle w:val="Compact"/>
            </w:pPr>
            <w:r>
              <w:t xml:space="preserve">Incident Mgmt Policy §III(c) Log + AWS/Aptible IR §VII Log describe</w:t>
            </w:r>
            <w:r>
              <w:t xml:space="preserve"> </w:t>
            </w:r>
            <w:r>
              <w:rPr>
                <w:b/>
                <w:bCs/>
              </w:rPr>
              <w:t xml:space="preserve">what</w:t>
            </w:r>
            <w:r>
              <w:t xml:space="preserve"> </w:t>
            </w:r>
            <w:r>
              <w:t xml:space="preserve">is logged, not that the log is</w:t>
            </w:r>
            <w:r>
              <w:t xml:space="preserve"> </w:t>
            </w:r>
            <w:r>
              <w:rPr>
                <w:b/>
                <w:bCs/>
              </w:rPr>
              <w:t xml:space="preserve">protected from unauthorized changes</w:t>
            </w:r>
            <w:r>
              <w:t xml:space="preserve"> </w:t>
            </w:r>
            <w:r>
              <w:t xml:space="preserve">(write-once, access-restricted, retained).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Policy.md</w:t>
            </w:r>
            <w:r>
              <w:t xml:space="preserve"> </w:t>
            </w:r>
            <w:r>
              <w:t xml:space="preserve">— add 1 sentence to §III(c) Log:</w:t>
            </w:r>
            <w:r>
              <w:t xml:space="preserve"> </w:t>
            </w:r>
            <w:r>
              <w:t xml:space="preserve">“The incident log is maintained in a restricted-access Company system, edits are auditable, and the log is retained for at least 6 years consistent with HIPAA documentation requirements.”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OWASP A02</w:t>
            </w:r>
          </w:p>
        </w:tc>
        <w:tc>
          <w:tcPr/>
          <w:p>
            <w:pPr>
              <w:pStyle w:val="Compact"/>
            </w:pPr>
            <w:r>
              <w:t xml:space="preserve">Sensitive data protection — extra protection for financial / healthcare / PII</w:t>
            </w:r>
          </w:p>
        </w:tc>
        <w:tc>
          <w:tcPr/>
          <w:p>
            <w:pPr>
              <w:pStyle w:val="Compact"/>
            </w:pPr>
            <w:r>
              <w:t xml:space="preserve">CSV already flagged</w:t>
            </w:r>
            <w:r>
              <w:t xml:space="preserve"> </w:t>
            </w:r>
            <w:r>
              <w:t xml:space="preserve">“FOLLOW UP — Need update to password storage”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Remediate before submitting = Yes</w:t>
            </w:r>
            <w:r>
              <w:t xml:space="preserve">. Password Mgmt Policy describes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t xml:space="preserve">password rules, not server-side</w:t>
            </w:r>
            <w:r>
              <w:t xml:space="preserve"> </w:t>
            </w:r>
            <w:r>
              <w:rPr>
                <w:b/>
                <w:bCs/>
              </w:rPr>
              <w:t xml:space="preserve">password storage</w:t>
            </w:r>
            <w:r>
              <w:t xml:space="preserve"> </w:t>
            </w:r>
            <w:r>
              <w:t xml:space="preserve">(hashing algorithm, salting). Encryption Policy covers data in transit, not credential at-rest hashing.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03o HIPAA - Password Management Policy.md</w:t>
            </w:r>
            <w:r>
              <w:t xml:space="preserve"> </w:t>
            </w:r>
            <w:r>
              <w:t xml:space="preserve">— add 1 sentence to §III:</w:t>
            </w:r>
            <w:r>
              <w:t xml:space="preserve"> </w:t>
            </w:r>
            <w:r>
              <w:t xml:space="preserve">“User account passwords are stored using an industry-standard one-way hash with per-user salt (bcrypt or equivalent); plaintext passwords are never stored or logged.”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OWASP A06</w:t>
            </w:r>
          </w:p>
        </w:tc>
        <w:tc>
          <w:tcPr/>
          <w:p>
            <w:pPr>
              <w:pStyle w:val="Compact"/>
            </w:pPr>
            <w:r>
              <w:t xml:space="preserve">Regular vuln scanning + patch management process</w:t>
            </w:r>
          </w:p>
        </w:tc>
        <w:tc>
          <w:tcPr/>
          <w:p>
            <w:pPr>
              <w:pStyle w:val="Compact"/>
            </w:pPr>
            <w:r>
              <w:t xml:space="preserve">Info Sec Framework now mentions vuln scanning (post-Gap-1 edit); SDLC mentions</w:t>
            </w:r>
            <w:r>
              <w:t xml:space="preserve"> </w:t>
            </w:r>
            <w:r>
              <w:t xml:space="preserve">“security updates and patching”</w:t>
            </w:r>
            <w:r>
              <w:t xml:space="preserve"> </w:t>
            </w:r>
            <w:r>
              <w:t xml:space="preserve">as a bullet. Neither states</w:t>
            </w:r>
            <w:r>
              <w:t xml:space="preserve"> </w:t>
            </w:r>
            <w:r>
              <w:rPr>
                <w:b/>
                <w:bCs/>
              </w:rPr>
              <w:t xml:space="preserve">cadence, scanner used, or SLA for patching severity-rated vulns</w:t>
            </w:r>
            <w:r>
              <w:t xml:space="preserve">. CSV flagged</w:t>
            </w:r>
            <w:r>
              <w:t xml:space="preserve"> </w:t>
            </w:r>
            <w:r>
              <w:t xml:space="preserve">“FOLLOW UP — Upgrade Github, Yes (remediate).”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  <w:r>
              <w:t xml:space="preserve"> </w:t>
            </w:r>
            <w:r>
              <w:t xml:space="preserve">— append to §6 (after the DMARC sentence):</w:t>
            </w:r>
            <w:r>
              <w:t xml:space="preserve"> </w:t>
            </w:r>
            <w:r>
              <w:t xml:space="preserve">“Dependency vulnerabilities are surfaced via GitHub Dependabot and triaged at least weekly; Critical/High findings are remediated within 30 days, Medium within 90 days, subject to the risk-management exception process.”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OWASP A07</w:t>
            </w:r>
          </w:p>
        </w:tc>
        <w:tc>
          <w:tcPr/>
          <w:p>
            <w:pPr>
              <w:pStyle w:val="Compact"/>
            </w:pPr>
            <w:r>
              <w:t xml:space="preserve">Protect against attackers compromising passwords, keys, session tokens</w:t>
            </w:r>
          </w:p>
        </w:tc>
        <w:tc>
          <w:tcPr/>
          <w:p>
            <w:pPr>
              <w:pStyle w:val="Compact"/>
            </w:pPr>
            <w:r>
              <w:t xml:space="preserve">Password Mgmt Policy covers password hygiene; Encryption Policy covers key custody. No explicit session-token / MFA-bypass / brute-force-protection stance. CSV flagged</w:t>
            </w:r>
            <w:r>
              <w:t xml:space="preserve"> </w:t>
            </w:r>
            <w:r>
              <w:t xml:space="preserve">“FOLLOW UP, Yes (remediate).”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03o HIPAA - Password Management Policy.md</w:t>
            </w:r>
            <w:r>
              <w:t xml:space="preserve"> </w:t>
            </w:r>
            <w:r>
              <w:t xml:space="preserve">— add 1 sentence:</w:t>
            </w:r>
            <w:r>
              <w:t xml:space="preserve"> </w:t>
            </w:r>
            <w:r>
              <w:t xml:space="preserve">“Application sessions are protected by signed, short-lived tokens; failed-login attempts are rate-limited and monitored; and session invalidation occurs on logout, password change, or role revocation.”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newly-found gaps:</w:t>
      </w:r>
      <w:r>
        <w:t xml:space="preserve"> </w:t>
      </w:r>
      <w:r>
        <w:t xml:space="preserve">12 (0 Critical, 6 Standard, 4 Low — note S.32/S.57/S.61/S.80/S.100 collapse into ONE Framework §11 addition; J.5 and OWASP A06 both collapse into ONE Framework §6/§7 addition).</w:t>
      </w:r>
    </w:p>
    <w:p>
      <w:r>
        <w:pict>
          <v:rect style="width:0;height:1.5pt" o:hralign="center" o:hrstd="t" o:hr="t"/>
        </w:pict>
      </w:r>
    </w:p>
    <w:bookmarkEnd w:id="9"/>
    <w:bookmarkStart w:id="10" w:name="confirmed-no-gap-rows-the-easy-ones"/>
    <w:p>
      <w:pPr>
        <w:pStyle w:val="Heading2"/>
      </w:pPr>
      <w:r>
        <w:t xml:space="preserve">§2 — Confirmed No Gap rows (the easy 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AWS Account Management:</w:t>
      </w:r>
      <w:r>
        <w:t xml:space="preserve"> </w:t>
      </w:r>
      <w:r>
        <w:t xml:space="preserve">7/7 confirmed (operational answers; no policy text required).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Encryption:</w:t>
      </w:r>
      <w:r>
        <w:t xml:space="preserve"> </w:t>
      </w:r>
      <w:r>
        <w:t xml:space="preserve">2/2 confirmed (Encryption Policy + Aptible reference).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Identity &amp; Access Mgmt:</w:t>
      </w:r>
      <w:r>
        <w:t xml:space="preserve"> </w:t>
      </w:r>
      <w:r>
        <w:t xml:space="preserve">9/9 confirmed (Password Mgmt + Safeguards §III(b) + Info Sec §4; CSV operational answers).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Network Security:</w:t>
      </w:r>
      <w:r>
        <w:t xml:space="preserve"> </w:t>
      </w:r>
      <w:r>
        <w:t xml:space="preserve">6/6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Detection &amp; Monitoring:</w:t>
      </w:r>
      <w:r>
        <w:t xml:space="preserve"> </w:t>
      </w:r>
      <w:r>
        <w:t xml:space="preserve">3/3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Processes:</w:t>
      </w:r>
      <w:r>
        <w:t xml:space="preserve"> </w:t>
      </w:r>
      <w:r>
        <w:t xml:space="preserve">5/5 confirmed (SDLC + AWS/Aptible IR cover IaC, IR plan, backups).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/ Identity &amp; Access Management:</w:t>
      </w:r>
      <w:r>
        <w:t xml:space="preserve"> </w:t>
      </w:r>
      <w:r>
        <w:t xml:space="preserve">3/3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/ Integration Requirements:</w:t>
      </w:r>
      <w:r>
        <w:t xml:space="preserve"> </w:t>
      </w:r>
      <w:r>
        <w:t xml:space="preserve">1/1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/ End-user Compute Requirements:</w:t>
      </w:r>
      <w:r>
        <w:t xml:space="preserve"> </w:t>
      </w:r>
      <w:r>
        <w:t xml:space="preserve">7/7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OWASP Top 10:</w:t>
      </w:r>
      <w:r>
        <w:t xml:space="preserve"> </w:t>
      </w:r>
      <w:r>
        <w:t xml:space="preserve">7/10 confirmed (A01, A03, A04, A05, A08, A09, A10) — A02/A06/A07 newly flagged in §1.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A. Enterprise Risk Mgmt:</w:t>
      </w:r>
      <w:r>
        <w:t xml:space="preserve"> </w:t>
      </w:r>
      <w:r>
        <w:t xml:space="preserve">1/1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B. Nth Party Mgmt:</w:t>
      </w:r>
      <w:r>
        <w:t xml:space="preserve"> </w:t>
      </w:r>
      <w:r>
        <w:t xml:space="preserve">2/2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C. Information Assurance:</w:t>
      </w:r>
      <w:r>
        <w:t xml:space="preserve"> </w:t>
      </w:r>
      <w:r>
        <w:t xml:space="preserve">2/2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D. Asset &amp; Info Mgmt:</w:t>
      </w:r>
      <w:r>
        <w:t xml:space="preserve"> </w:t>
      </w:r>
      <w:r>
        <w:t xml:space="preserve">3/3 confirmed (note: D.3 retention</w:t>
      </w:r>
      <w:r>
        <w:t xml:space="preserve"> </w:t>
      </w:r>
      <w:r>
        <w:t xml:space="preserve">“schedule”</w:t>
      </w:r>
      <w:r>
        <w:t xml:space="preserve"> </w:t>
      </w:r>
      <w:r>
        <w:t xml:space="preserve">is terminologically thin — Info Sec §9 says</w:t>
      </w:r>
      <w:r>
        <w:t xml:space="preserve"> </w:t>
      </w:r>
      <w:r>
        <w:t xml:space="preserve">“indefinitely”</w:t>
      </w:r>
      <w:r>
        <w:t xml:space="preserve"> </w:t>
      </w:r>
      <w:r>
        <w:t xml:space="preserve">— but substantively answers the question; flag as terminology mismatch for assessor, not a gap).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F. Physical &amp; Environmental:</w:t>
      </w:r>
      <w:r>
        <w:t xml:space="preserve"> </w:t>
      </w:r>
      <w:r>
        <w:t xml:space="preserve">1/1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G. IT Ops Mgmt:</w:t>
      </w:r>
      <w:r>
        <w:t xml:space="preserve"> </w:t>
      </w:r>
      <w:r>
        <w:t xml:space="preserve">2/3 confirmed (G.1, G.3); G.2 newly flagged.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H. Access Control:</w:t>
      </w:r>
      <w:r>
        <w:t xml:space="preserve"> </w:t>
      </w:r>
      <w:r>
        <w:t xml:space="preserve">2/2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I. Application Mgmt:</w:t>
      </w:r>
      <w:r>
        <w:t xml:space="preserve"> </w:t>
      </w:r>
      <w:r>
        <w:t xml:space="preserve">3/3 confirmed (affirmative-fact questions).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J. Cybersecurity Incident Mgmt:</w:t>
      </w:r>
      <w:r>
        <w:t xml:space="preserve"> </w:t>
      </w:r>
      <w:r>
        <w:t xml:space="preserve">3/5 confirmed (J.1, J.4, J.11); J.5 and J.14 newly flagged.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K. Operational Resilience:</w:t>
      </w:r>
      <w:r>
        <w:t xml:space="preserve"> </w:t>
      </w:r>
      <w:r>
        <w:t xml:space="preserve">6/8 confirmed (K.1, K.3, K.5, K.6, K.7, K.11); K.2 newly flagged (K.4 and K.30 already in GAPS.md).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N. Network Security:</w:t>
      </w:r>
      <w:r>
        <w:t xml:space="preserve"> </w:t>
      </w:r>
      <w:r>
        <w:t xml:space="preserve">10/10 confirmed (no on-prem network, no wireless infra in scope, no DMZ — answered via posture not policy text).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P. Privacy Management:</w:t>
      </w:r>
      <w:r>
        <w:t xml:space="preserve"> </w:t>
      </w:r>
      <w:r>
        <w:t xml:space="preserve">8/8 in-scope rows confirmed (P.9 and P.12 stay N/A per existing justifications).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S. SCRM:</w:t>
      </w:r>
      <w:r>
        <w:t xml:space="preserve"> </w:t>
      </w:r>
      <w:r>
        <w:t xml:space="preserve">1/6 confirmed (S.1 only); S.32/S.57/S.61/S.80/S.100 newly flagged.</w:t>
      </w:r>
    </w:p>
    <w:p>
      <w:r>
        <w:pict>
          <v:rect style="width:0;height:1.5pt" o:hralign="center" o:hrstd="t" o:hr="t"/>
        </w:pict>
      </w:r>
    </w:p>
    <w:bookmarkEnd w:id="10"/>
    <w:bookmarkStart w:id="11" w:name="recommended-updates-to-summary.md"/>
    <w:p>
      <w:pPr>
        <w:pStyle w:val="Heading2"/>
      </w:pPr>
      <w:r>
        <w:t xml:space="preserve">§3 — Recommended updates to SUMMARY.md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S. Supply Chain Risk Management (SCRM)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S.32 (Standard) + S.57/S.61/S.80/S.100 (Low) — one combined Framework §11 sentence closes all five.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K. Operational Resilience</w:t>
            </w:r>
          </w:p>
        </w:tc>
        <w:tc>
          <w:tcPr/>
          <w:p>
            <w:pPr>
              <w:pStyle w:val="Compact"/>
            </w:pPr>
            <w:r>
              <w:t xml:space="preserve">Gap (K.4, K.30)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also add K.2</w:t>
            </w:r>
          </w:p>
        </w:tc>
        <w:tc>
          <w:tcPr/>
          <w:p>
            <w:pPr>
              <w:pStyle w:val="Compact"/>
            </w:pPr>
            <w:r>
              <w:t xml:space="preserve">K.2 DR-exercise/testing cadence missing; add 1 sentence to Contingency Planning.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G. IT Operations Mgmt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G.2 Change Management not discretely named — add 1 sentence to SDLC §III(c).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J. Cybersecurity Incident Mgmt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J.5 (proactive review methodology) + J.14 (log integrity protection) need short clauses.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A02 (password storage), A06 (vuln-scan cadence/SLA), A07 (session tokens) need 1-sentence each.</w:t>
            </w:r>
          </w:p>
        </w:tc>
      </w:tr>
    </w:tbl>
    <w:p>
      <w:pPr>
        <w:pStyle w:val="BodyText"/>
      </w:pPr>
      <w:r>
        <w:t xml:space="preserve">All other</w:t>
      </w:r>
      <w:r>
        <w:t xml:space="preserve"> </w:t>
      </w:r>
      <w:r>
        <w:t xml:space="preserve">“No Gap”</w:t>
      </w:r>
      <w:r>
        <w:t xml:space="preserve"> </w:t>
      </w:r>
      <w:r>
        <w:t xml:space="preserve">sections remain</w:t>
      </w:r>
      <w:r>
        <w:t xml:space="preserve"> </w:t>
      </w:r>
      <w:r>
        <w:rPr>
          <w:b/>
          <w:bCs/>
        </w:rPr>
        <w:t xml:space="preserve">No Gap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7" w:name="recommended-updates-to-gaps.md"/>
    <w:p>
      <w:pPr>
        <w:pStyle w:val="Heading2"/>
      </w:pPr>
      <w:r>
        <w:t xml:space="preserve">§4 — Recommended updates to GAPS.md</w:t>
      </w:r>
    </w:p>
    <w:bookmarkStart w:id="12" w:name="Xbc4c6f298d69a0adf7d19509af7522b2905031b"/>
    <w:p>
      <w:pPr>
        <w:pStyle w:val="Heading3"/>
      </w:pPr>
      <w:r>
        <w:t xml:space="preserve">Gap 5 — DR Exercise Testing Cadence (SIG K.2)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K. Operational Resilience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117 (K.2 — flagged FOLLOW UP)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Evidence that the DR plan is actually exercised/tested, with cadence and documentation.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Contingency Planning Policy</w:t>
      </w:r>
      <w:r>
        <w:t xml:space="preserve"> </w:t>
      </w:r>
      <w:r>
        <w:t xml:space="preserve">§III(b)–(d) describes backups and a DR plan but never says it is exercised.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“The Chief Security Officer shall coordinate at least an annual tabletop or walk-through exercise of the disaster recovery plan, document the outcome, and feed material findings into the risk management process.”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03d HIPAA - Contingency Planning Policy.md</w:t>
      </w:r>
      <w:r>
        <w:t xml:space="preserve"> </w:t>
      </w:r>
      <w:r>
        <w:t xml:space="preserve">— append to §III(d) Other Protective Measures.</w:t>
      </w:r>
    </w:p>
    <w:bookmarkEnd w:id="12"/>
    <w:bookmarkStart w:id="13" w:name="gap-6-change-management-sig-g.2"/>
    <w:p>
      <w:pPr>
        <w:pStyle w:val="Heading3"/>
      </w:pPr>
      <w:r>
        <w:t xml:space="preserve">Gap 6 — Change Management (SIG G.2)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G. IT Operations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104 (G.2)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named Change Management / Change Control program with owner and review cadence.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SDLC &amp; Asset Lifecycle Policy</w:t>
      </w:r>
      <w:r>
        <w:t xml:space="preserve"> </w:t>
      </w:r>
      <w:r>
        <w:t xml:space="preserve">§III(c) covers pre-deploy validation but does not name a change-control program.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“Changes to production systems require peer review and approval through Company’s source-control and deployment pipeline (currently GitHub pull-request review + Aptible deploys). The Chief Security Officer is the owner of this change-control process, which is reviewed at least annually. A record of production changes is retained via Git history and Aptible deploy logs.”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System Development Life Cycle (SDLC) &amp; Asset Lifecycle Policy.md</w:t>
      </w:r>
      <w:r>
        <w:t xml:space="preserve"> </w:t>
      </w:r>
      <w:r>
        <w:t xml:space="preserve">— append to §III(c) Testing &amp; Implementation.</w:t>
      </w:r>
    </w:p>
    <w:bookmarkEnd w:id="13"/>
    <w:bookmarkStart w:id="14" w:name="X34851cb50f5946293e369b5824b1956253832e7"/>
    <w:p>
      <w:pPr>
        <w:pStyle w:val="Heading3"/>
      </w:pPr>
      <w:r>
        <w:t xml:space="preserve">Gap 7 — C-SCRM Framing (SIG S.32 / S.57 / S.61 / S.80 / S.100)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S. Supply Chain Risk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176, 177, 178, 179, 180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document explicitly framed as Cybersecurity Supply Chain Risk Management — strategy, objectives, supplier adoption, contingency planning, named owner, integration with security planning, and system/communications protection across the supply chain.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t xml:space="preserve">Info Sec Framework §11 covers third-party / vendor risk management with BAA flow-down, but never uses the</w:t>
      </w:r>
      <w:r>
        <w:t xml:space="preserve"> </w:t>
      </w:r>
      <w:r>
        <w:t xml:space="preserve">“C-SCRM”</w:t>
      </w:r>
      <w:r>
        <w:t xml:space="preserve"> </w:t>
      </w:r>
      <w:r>
        <w:t xml:space="preserve">framing nor names an owner of supply-chain security specifically.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A 3-sentence paragraph appended to §11: (1) Millie’s third-party risk management process functions as the Company’s C-SCRM program, with the Chief Security Officer (in coordination with the Chief Privacy Officer and Legal) as the named owner. (2) C-SCRM objectives are reviewed annually alongside the security risk assessment, and supplier-related cybersecurity controls (encryption in transit, access management, incident notification) are required of subcontractors and subprocessors via BAA flow-down. (3) Vendor-furnished or vendor-returned physical media is addressed via the vendor onboarding / BAA review; Millie’s cloud-first posture limits supply-chain media exposure to vendor-owned infrastructure.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Millie Information Security &amp; Data Governance Framework (1).md</w:t>
      </w:r>
      <w:r>
        <w:t xml:space="preserve"> </w:t>
      </w:r>
      <w:r>
        <w:t xml:space="preserve">— append to §11.</w:t>
      </w:r>
    </w:p>
    <w:bookmarkEnd w:id="14"/>
    <w:bookmarkStart w:id="15" w:name="X5ac0c6ca430aa69a0741feb9d5e8e7437fa8365"/>
    <w:p>
      <w:pPr>
        <w:pStyle w:val="Heading3"/>
      </w:pPr>
      <w:r>
        <w:t xml:space="preserve">Gap 8 — Incident-Review Methodology + Log Integrity (SIG J.5 / J.14) + OWASP A06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J. Cybersecurity Incident Mgmt + OWASP A06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77 (A06), 113 (J.5), 115 (J.14)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stated methodology + cadence for proactive log/event review; assurance the incident log is tamper-resistant; a stated vuln-scanning cadence and patching SLA.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t xml:space="preserve">Reactive incident response is well documented; proactive review and tamper-resistance are not stated; vuln-scan cadence and patch SLAs are not stated.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(a) Info Sec Framework §7 — replace</w:t>
      </w:r>
      <w:r>
        <w:t xml:space="preserve"> </w:t>
      </w:r>
      <w:r>
        <w:t xml:space="preserve">“as needed”</w:t>
      </w:r>
      <w:r>
        <w:t xml:space="preserve"> </w:t>
      </w:r>
      <w:r>
        <w:t xml:space="preserve">with monthly GuardDuty/CloudTrail/Aptible-audit-log review cadence. (b) Info Sec Framework §6 — add Dependabot weekly triage + 30/90-day patch SLAs for Critical/High/Medium. (c) Security Incident Mgmt Policy §III(c) — add 1 sentence on restricted-access, auditable, 6-year retention of the incident log.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Millie Information Security &amp; Data Governance Framework (1).md</w:t>
      </w:r>
      <w:r>
        <w:t xml:space="preserve"> </w:t>
      </w:r>
      <w:r>
        <w:t xml:space="preserve">(§6 and §7) +</w:t>
      </w:r>
      <w:r>
        <w:t xml:space="preserve"> </w:t>
      </w:r>
      <w:r>
        <w:rPr>
          <w:rStyle w:val="VerbatimChar"/>
        </w:rPr>
        <w:t xml:space="preserve">03s HIPAA - Security Incident Management Policy.md</w:t>
      </w:r>
      <w:r>
        <w:t xml:space="preserve"> </w:t>
      </w:r>
      <w:r>
        <w:t xml:space="preserve">(§III(c)).</w:t>
      </w:r>
    </w:p>
    <w:bookmarkEnd w:id="15"/>
    <w:bookmarkStart w:id="16" w:name="X3129c9f3fa4077e839c924800cc9a9c18f576fd"/>
    <w:p>
      <w:pPr>
        <w:pStyle w:val="Heading3"/>
      </w:pPr>
      <w:r>
        <w:t xml:space="preserve">Gap 9 — Password Storage + Session/Token Protection (OWASP A02 / A07)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OWASP Top 10 / A02 + A07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73 (A02), 78 (A07)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stated stance on how user credentials are stored (hashing) and how session tokens are protected.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t xml:space="preserve">Password Mgmt Policy covers user password hygiene but not server-side storage; nothing on session tokens.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Two 1-sentence additions to</w:t>
      </w:r>
      <w:r>
        <w:t xml:space="preserve"> </w:t>
      </w:r>
      <w:r>
        <w:rPr>
          <w:rStyle w:val="VerbatimChar"/>
        </w:rPr>
        <w:t xml:space="preserve">03o HIPAA - Password Management Policy.md</w:t>
      </w:r>
      <w:r>
        <w:t xml:space="preserve">: (1)</w:t>
      </w:r>
      <w:r>
        <w:t xml:space="preserve"> </w:t>
      </w:r>
      <w:r>
        <w:t xml:space="preserve">“User account passwords are stored using an industry-standard one-way hash with per-user salt (bcrypt or equivalent); plaintext passwords are never stored or logged.”</w:t>
      </w:r>
      <w:r>
        <w:t xml:space="preserve"> </w:t>
      </w:r>
      <w:r>
        <w:t xml:space="preserve">(2)</w:t>
      </w:r>
      <w:r>
        <w:t xml:space="preserve"> </w:t>
      </w:r>
      <w:r>
        <w:t xml:space="preserve">“Application sessions are protected by signed, short-lived tokens; failed-login attempts are rate-limited and monitored; and session invalidation occurs on logout, password change, or role revocation.”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03o HIPAA - Password Management Policy.md</w:t>
      </w:r>
      <w:r>
        <w:t xml:space="preserve"> </w:t>
      </w:r>
      <w:r>
        <w:t xml:space="preserve">— append to §III.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2026-05-28T15:24:36Z</dcterms:created>
  <dcterms:modified xsi:type="dcterms:W3CDTF">2026-05-28T15:24:36Z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