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ech-gap-analysis-section-level-summary"/>
    <w:p>
      <w:pPr>
        <w:pStyle w:val="Heading1"/>
      </w:pPr>
      <w:r>
        <w:t xml:space="preserve">ECH Gap Analysis — Section-Level Summary</w:t>
      </w:r>
    </w:p>
    <w:p>
      <w:pPr>
        <w:pStyle w:val="FirstParagraph"/>
      </w:pPr>
      <w:r>
        <w:t xml:space="preserve">Across 7 questionnaires and 36 sections (covering 182 CSV rows), Millie’s existing originals already cover the bulk of what ECH asks for — but a section-level pass was too coarse and hid real row-level gaps. The numbers below reflect a follow-up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Counts: 11 No Gap, 17 N/A, 8 Gap.</w:t>
      </w:r>
    </w:p>
    <w:p>
      <w:pPr>
        <w:pStyle w:val="BodyText"/>
      </w:pPr>
      <w:r>
        <w:t xml:space="preserve">Recommended action set (3 from the original section pass, 5 from row-level verification — short clauses appended to existing policies, no new files needed):</w:t>
      </w:r>
    </w:p>
    <w:p>
      <w:pPr>
        <w:pStyle w:val="Compact"/>
        <w:numPr>
          <w:ilvl w:val="0"/>
          <w:numId w:val="1001"/>
        </w:numPr>
      </w:pPr>
      <w:r>
        <w:t xml:space="preserve">Email-authentication / DMARC clause → Information Security Framework §6.</w:t>
      </w:r>
    </w:p>
    <w:p>
      <w:pPr>
        <w:pStyle w:val="Compact"/>
        <w:numPr>
          <w:ilvl w:val="0"/>
          <w:numId w:val="1001"/>
        </w:numPr>
      </w:pPr>
      <w:r>
        <w:t xml:space="preserve">BYOD / MDM clause → Workstation Use Policy.</w:t>
      </w:r>
    </w:p>
    <w:p>
      <w:pPr>
        <w:pStyle w:val="Compact"/>
        <w:numPr>
          <w:ilvl w:val="0"/>
          <w:numId w:val="1001"/>
        </w:numPr>
      </w:pPr>
      <w:r>
        <w:t xml:space="preserve">Pandemic-operations + multi-vendor-resiliency clause → Contingency Planning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 exercise/testing cadence sentence → Contingency Planning Policy §III(d).</w:t>
      </w:r>
      <w:r>
        <w:t xml:space="preserve"> </w:t>
      </w:r>
      <w:r>
        <w:t xml:space="preserve">(K.2)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Change Management clause → SDLC &amp; Asset Lifecycle Policy §III(c).</w:t>
      </w:r>
      <w:r>
        <w:t xml:space="preserve"> </w:t>
      </w:r>
      <w:r>
        <w:t xml:space="preserve">(G.2)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C-SCRM framing paragraph → Information Security Framework §11.</w:t>
      </w:r>
      <w:r>
        <w:t xml:space="preserve"> </w:t>
      </w:r>
      <w:r>
        <w:t xml:space="preserve">(S.32 + S.57 + S.61 + S.80 + S.100 — one paragraph closes all five rows)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Proactive log-review cadence + Dependabot triage / patch SLA → Information Security Framework §6 and §7. Tamper-resistant incident log sentence → Security Incident Mgmt Policy §III(c).</w:t>
      </w:r>
      <w:r>
        <w:t xml:space="preserve"> </w:t>
      </w:r>
      <w:r>
        <w:t xml:space="preserve">(J.5 + J.14 + OWASP A06)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Password storage (hashing) + session-token protection sentences → Password Management Policy §III.</w:t>
      </w:r>
      <w:r>
        <w:t xml:space="preserve"> </w:t>
      </w:r>
      <w:r>
        <w:t xml:space="preserve">(OWASP A02 + A07)</w:t>
      </w:r>
    </w:p>
    <w:p>
      <w:pPr>
        <w:pStyle w:val="FirstParagraph"/>
      </w:pPr>
      <w:r>
        <w:t xml:space="preserve">Plus the evidence task (not a policy edit): attach cyber-liability certificate and pentest / audit attestation.</w:t>
      </w:r>
    </w:p>
    <w:p>
      <w:pPr>
        <w:pStyle w:val="BodyText"/>
      </w:pPr>
      <w:r>
        <w:t xml:space="preserve">Everything else is either already covered by an existing original or is honestly answered</w:t>
      </w:r>
      <w:r>
        <w:t xml:space="preserve"> </w:t>
      </w:r>
      <w:r>
        <w:t xml:space="preserve">“N/A — not in scope for our business.”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Rationale (≤2 sentences)</w:t>
            </w:r>
          </w:p>
        </w:tc>
        <w:tc>
          <w:tcPr/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AWS Account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Operational answers already in CSV; AWS/Aptible Incident Mgmt Policy + Info Sec Framework cover the policy posture (single-account, root MFA, etc.).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Encryption Policy + Info Sec Framework §5 cover at-rest/in-transit; Aptible-managed encryption referenced.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Identity and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Safeguards §III(b) Access Controls + Info Sec §4 cover RBAC / least-privilege / MFA; specific AWS deviations honestly answered in CSV.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Policy + CSV operational answers cover security groups, private subnets, S3 public-access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Detection and Monitoring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§7 (Logging/Monitoring) + AWS/Aptible Incident Mgmt §III.2 cover CloudTrail / GuardDuty.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+ AWS/Aptible Incident Mgmt Policy cover IaC, IR plan, backups; remaining items (dedicated backup account, custom AMIs) are operational answers, not policy gaps.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Request Details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form fields, not policy questions.</w:t>
            </w:r>
          </w:p>
        </w:tc>
        <w:tc>
          <w:tcPr/>
          <w:p>
            <w:pPr>
              <w:pStyle w:val="Compact"/>
            </w:pPr>
            <w:r>
              <w:t xml:space="preserve">Answer in-form at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Server &amp; Storage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Network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Cloud-native — no new ports / WAN / site-VPN.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Identity &amp;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Remote Access + Safeguards cover MFA, auth, vendor remote access.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Additional Cybersecurity Questions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DMARC / email-authentication (row 55) and AV-exclusion / vuln-scan-exclusion stance (rows 50–52) not in any original.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“Email Authentication &amp; Anti-Malware Exclusions”</w:t>
            </w:r>
            <w:r>
              <w:t xml:space="preserve"> </w:t>
            </w:r>
            <w:r>
              <w:t xml:space="preserve">clause to the Info Sec &amp; Data Governance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Integration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covers API / interface change considerations.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End-user Compute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Workstation Use Policy + Remote Access Policy cover EUC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Clinical Engineering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Internet of Medical Things (IoMT) — clinic uses standard endpoints + cloud services.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Telecommunications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Standard SaaS telephony (RingCentral); no special telecom requirements.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Timeline / Vendor Support / Other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fields.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A01–A10 (all 10 items)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A01 / A03 / A04 / A05 / A08 / A09 / A10 covered by Safeguards / Encryption / SDLC / AWS-Aptible IR. A02 (password storage / hashing), A06 (vuln-scan cadence + patch SLA), A07 (session-token protection) need explicit clauses. CSV flagged all three as FOLLOW UP / Remediate.</w:t>
            </w:r>
          </w:p>
        </w:tc>
        <w:tc>
          <w:tcPr/>
          <w:p>
            <w:pPr>
              <w:pStyle w:val="Compact"/>
            </w:pPr>
            <w:r>
              <w:t xml:space="preserve">A02 + A07 → 1-sentence each to Password Mgmt §III. A06 → Dependabot + patch-SLA sentence to Framework §6.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General (all 10)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Millie does not process, store, or transmit cardholder data — payments outsourced.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“N/A — payments outsourced; no cardholder data in scope”</w:t>
            </w:r>
            <w:r>
              <w:t xml:space="preserve"> </w:t>
            </w:r>
            <w:r>
              <w:t xml:space="preserve">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A. Enterprise Risk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Risk Mgmt Policy + Info Sec Framework §2 cover ERM framing.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B. Nth Party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BAA Policy + Info Sec Framework (1).md §11 (Nth-party flow-down clause) cover it.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C. Information Assurance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+ Risk Mgmt Policy answer C.1 and C.4.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D. Asset and Info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/ Asset Lifecycle Policy, Workstation Use, and Info Sec §9 (Retention) cover D.1 / D.2 / D.3; the Platform Matrix is the IT asset inventory.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E. Human Resources Security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HR policies owned by HR / Gusto; not a security-policy gap.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“HR policies maintained in Gusto / People Ops”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F. Physical and Environmental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Safeguards Policy §III(c) Facility Security Plan + Paper Document Mgmt cover physical security.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G. IT Operations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G.1 / G.3 covered by SDLC + Info Sec Framework, but G.2 (named Change Management program with owner / cadence) is not discretely stated anywhere.</w:t>
            </w:r>
          </w:p>
        </w:tc>
        <w:tc>
          <w:tcPr/>
          <w:p>
            <w:pPr>
              <w:pStyle w:val="Compact"/>
            </w:pPr>
            <w:r>
              <w:t xml:space="preserve">Add 1-paragraph Change Management clause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H. Access Control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Policy + Safeguards §III(b) cover both H.1 and H.2.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I. Application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Affirmative-fact questions; SDLC Policy covers the underlying program.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J. Cybersecurity Incident Mgmt.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Reactive incident response is well-covered, but J.5 (proactive log-review methodology / cadence) and J.14 (tamper-resistant incident log) are not stated.</w:t>
            </w:r>
          </w:p>
        </w:tc>
        <w:tc>
          <w:tcPr/>
          <w:p>
            <w:pPr>
              <w:pStyle w:val="Compact"/>
            </w:pPr>
            <w:r>
              <w:t xml:space="preserve">Add proactive log-review cadence to Framework §7; add tamper-resistant log sentence to Security Incident Mgmt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K. Operational Resilience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K.4 (pandemic), K.30 (multi-vendor resiliency), and K.2 (DR exercise / testing cadence) all not addressed in originals.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“Pandemic Operations &amp; Multi-Vendor Risk Acceptance”</w:t>
            </w:r>
            <w:r>
              <w:t xml:space="preserve"> </w:t>
            </w:r>
            <w:r>
              <w:t xml:space="preserve">clause to Contingency Planning Policy. (2) DR-exercise-cadence sentence to Contingency Planning §III(d).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L. Compliance Management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L.3 (antitrust), L.4 (compliance &amp; ethics program), L.6 (fraud) not required for a 30-person clinic; handled via legal counsel + Gusto.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“handled via outside legal counsel and HR processes; no standalone program”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M. Endpoint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M.1.3 (MDM), M.1.5 (non-company devices), M.1.6 (BYOD) flagged</w:t>
            </w:r>
            <w:r>
              <w:t xml:space="preserve"> </w:t>
            </w:r>
            <w:r>
              <w:t xml:space="preserve">“FOLLOW UP”</w:t>
            </w:r>
            <w:r>
              <w:t xml:space="preserve"> </w:t>
            </w:r>
            <w:r>
              <w:t xml:space="preserve">in CSV. Workstation Use mentions personal devices but no BYOD / MDM stance is documented.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“BYOD &amp; Mobile Device Management”</w:t>
            </w:r>
            <w:r>
              <w:t xml:space="preserve"> </w:t>
            </w:r>
            <w:r>
              <w:t xml:space="preserve">clause to the Workstation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N. 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+ Info Sec Framework + Encryption Policy cover N.1–N.12; no on-prem network exists.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O. Environmental, Social and Governance (ESG)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12 of 14 ESG rows not in scope for a 30-person women’s-health clinic. O.4 (hazardous-substance handling) and O.9 (Health &amp; Safety policy) are now Partial — the Medical Waste Management Plan documents biohazardous-waste handling and codifies a workplace-health-and-safety commitment for clinical operations.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“not formally documented — not applicable to Millie’s scope”</w:t>
            </w:r>
            <w:r>
              <w:t xml:space="preserve"> </w:t>
            </w:r>
            <w:r>
              <w:t xml:space="preserve">for the other 12; cite Medical Waste Management Plan for O.4 and O.9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P. Privacy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HIPAA suite (Privacy Policy, Use &amp; Disclosure, Accounting, Right to Access / Amend, Min Necessary, De-ID, BAA) + Info Sec Framework cover P.2 / P.3 / P.4 / P.5 / P.8 / P.10 / P.11. P.9 GLBA + P.12 EU-registration are N/A.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R. Artificial Intelligence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AI use limited to listed AI platforms in Platform Matrix (BAA-covered); no AI-system policy required at Millie’s size.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“AI vendors reviewed under BAA process; no separate AI policy”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S. Supply Chain Risk Management (SCRM)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S.1 (sub-tier flow-down) is covered by Framework §11, but S.32 / S.57 / S.61 / S.80 / S.100 ask specifically for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 (C-SCRM)</w:t>
            </w:r>
            <w:r>
              <w:t xml:space="preserve"> </w:t>
            </w:r>
            <w:r>
              <w:t xml:space="preserve">framing with named owner —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answers a different question.</w:t>
            </w:r>
          </w:p>
        </w:tc>
        <w:tc>
          <w:tcPr/>
          <w:p>
            <w:pPr>
              <w:pStyle w:val="Compact"/>
            </w:pPr>
            <w:r>
              <w:t xml:space="preserve">Add 1-paragraph C-SCRM framing to Framework §11 (closes all 5 rows in one addition).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Cyber Liability / Data Privacy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question, not policy. We need to attach the actual cyber-liability certificate to the submission.</w:t>
            </w:r>
          </w:p>
        </w:tc>
        <w:tc>
          <w:tcPr/>
          <w:p>
            <w:pPr>
              <w:pStyle w:val="Compact"/>
            </w:pPr>
            <w:r>
              <w:t xml:space="preserve">Attach cyber-liability certificate to ECH submission (no policy change needed)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Penetration Testing + General Security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questions. Millie has no recent third-party pentest or SOC 2 / HITRUST attestation.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“none on file”</w:t>
            </w:r>
            <w:r>
              <w:t xml:space="preserve"> </w:t>
            </w:r>
            <w:r>
              <w:t xml:space="preserve">or commission a pentest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2026-05-28T15:24:36Z</dcterms:created>
  <dcterms:modified xsi:type="dcterms:W3CDTF">2026-05-28T15:24:36Z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