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PHI Use, Disclosure, Minimum Necessary &amp; De-Identification</w:t>
            </w:r>
          </w:p>
        </w:tc>
        <w:tc>
          <w:tcPr/>
          <w:p>
            <w:pPr>
              <w:pStyle w:val="Compact"/>
            </w:pPr>
            <w:r>
              <w:rPr>
                <w:b/>
                <w:bCs/>
              </w:rPr>
              <w:t xml:space="preserve">Merged from Policy #s</w:t>
            </w:r>
            <w:r>
              <w:t xml:space="preserve">: L-002 + L-005 + L-006 + L-010</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9" w:name="X56f2030f9c84c1e4d12be08da73926d2e1caf6a"/>
    <w:p>
      <w:pPr>
        <w:pStyle w:val="Heading1"/>
      </w:pPr>
      <w:r>
        <w:t xml:space="preserve">PHI Use, Disclosure, Minimum Necessary &amp; De-Identification</w:t>
      </w:r>
    </w:p>
    <w:p>
      <w:pPr>
        <w:pStyle w:val="FirstParagraph"/>
      </w:pPr>
      <w:r>
        <w:t xml:space="preserve">These rules govern when and how Millie, Inc. may use, disclose, request, or de-identify Protected Health Information, including in marketing communications and Limited Data Set sharing. This Policy consolidates four underlying policies into a single document; each is preserved verbatim as a sub-section so an auditor running a HIPAA checklist still finds Marketing, the Minimum Necessary Rule, the Safe Harbor 18-identifier list, and the legal/public-health disclosure rules as named sections.</w:t>
      </w:r>
    </w:p>
    <w:p>
      <w:r>
        <w:pict>
          <v:rect style="width:0;height:1.5pt" o:hralign="center" o:hrstd="t" o:hr="t"/>
        </w:pict>
      </w:r>
    </w:p>
    <w:bookmarkStart w:id="13" w:name="X1632acb27b3eb78bd716896ac1d4583fff40f18"/>
    <w:p>
      <w:pPr>
        <w:pStyle w:val="Heading2"/>
      </w:pPr>
      <w:r>
        <w:t xml:space="preserve">I. Use &amp; Disclosure of PHI for Legal, Public Health &amp; Regulatory Purposes</w:t>
      </w:r>
    </w:p>
    <w:p>
      <w:pPr>
        <w:pStyle w:val="FirstParagraph"/>
      </w:pPr>
      <w:r>
        <w:rPr>
          <w:i/>
          <w:iCs/>
        </w:rPr>
        <w:t xml:space="preserve">Originally:</w:t>
      </w:r>
      <w:r>
        <w:rPr>
          <w:i/>
          <w:iCs/>
        </w:rPr>
        <w:t xml:space="preserve"> </w:t>
      </w:r>
      <w:r>
        <w:rPr>
          <w:rStyle w:val="VerbatimChar"/>
          <w:i/>
          <w:iCs/>
        </w:rPr>
        <w:t xml:space="preserve">03v HIPAA - Use and Disclosure of PHI for Various Legal, Public Health and Regulatory Purposes Policy.md</w:t>
      </w:r>
      <w:r>
        <w:rPr>
          <w:i/>
          <w:iCs/>
        </w:rPr>
        <w:t xml:space="preserve"> </w:t>
      </w:r>
      <w:r>
        <w:rPr>
          <w:i/>
          <w:iCs/>
        </w:rPr>
        <w:t xml:space="preserve">(Policy # L-002).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pStyle w:val="Compact"/>
        <w:numPr>
          <w:ilvl w:val="0"/>
          <w:numId w:val="1001"/>
        </w:numPr>
      </w:pPr>
      <w:r>
        <w:t xml:space="preserve">In compliance with HIPAA, this Policy and procedure establishes the general rules which Company will follow when using and disclosing PHI for various legal, public health and regulatory purposes.</w:t>
      </w:r>
    </w:p>
    <w:p>
      <w:pPr>
        <w:pStyle w:val="Compact"/>
        <w:numPr>
          <w:ilvl w:val="0"/>
          <w:numId w:val="1001"/>
        </w:numPr>
      </w:pPr>
      <w:r>
        <w:t xml:space="preserve">For the specific purposes described below, Company may use or disclose PHI without first obtaining the Individual’s written authorization and without providing the Individual with an opportunity to object. Many of the disclosures permitted under this Policy must be included in Company’s accountings of disclosures per Company’s Accounting of Disclosures Policy and must be logged accordingly.</w:t>
      </w:r>
    </w:p>
    <w:p>
      <w:pPr>
        <w:pStyle w:val="FirstParagraph"/>
      </w:pPr>
      <w:r>
        <w:t xml:space="preserve">Note</w:t>
      </w:r>
      <w:r>
        <w:rPr>
          <w:b/>
          <w:bCs/>
        </w:rPr>
        <w:t xml:space="preserve">:</w:t>
      </w:r>
      <w:r>
        <w:t xml:space="preserve"> </w:t>
      </w:r>
      <w:r>
        <w:t xml:space="preserve">HIV-related information, genetic information, alcohol and/or substance abuse records and mental health records may receive additional confidentiality protections under state and federal laws which are not pre-empted by HIPAA and must be followed. Questions concerning disclosure involving these types of information should be discussed with your supervisor and/or discussed with the Chief Privacy Officer.</w:t>
      </w:r>
    </w:p>
    <w:bookmarkEnd w:id="10"/>
    <w:bookmarkStart w:id="11" w:name="iii.-procedure"/>
    <w:p>
      <w:pPr>
        <w:pStyle w:val="Heading3"/>
      </w:pPr>
      <w:r>
        <w:t xml:space="preserve">III. Procedure</w:t>
      </w:r>
    </w:p>
    <w:p>
      <w:pPr>
        <w:pStyle w:val="Compact"/>
        <w:numPr>
          <w:ilvl w:val="0"/>
          <w:numId w:val="1002"/>
        </w:numPr>
      </w:pPr>
      <w:r>
        <w:rPr>
          <w:i/>
          <w:iCs/>
        </w:rPr>
        <w:t xml:space="preserve">Uses and Disclosures Made for Health Oversight Activities</w:t>
      </w:r>
      <w:r>
        <w:t xml:space="preserve">. Company may disclose PHI to a health oversight agency (e.g., the U.S. Department of Health &amp; Human Services or the Florida Agency for Health Care Administration) for oversight activities authorized by law, including audits, civil and criminal investigations or proceedings, inspections, licensure or disciplinary actions.</w:t>
      </w:r>
    </w:p>
    <w:p>
      <w:pPr>
        <w:pStyle w:val="Compact"/>
        <w:numPr>
          <w:ilvl w:val="0"/>
          <w:numId w:val="1002"/>
        </w:numPr>
      </w:pPr>
      <w:r>
        <w:rPr>
          <w:i/>
          <w:iCs/>
        </w:rPr>
        <w:t xml:space="preserve">Exceptions</w:t>
      </w:r>
      <w:r>
        <w:t xml:space="preserve">.Health oversight activities do not include investigations in which the Individual is the subject of an investigation that does not arise out of and is not directly related to (i) the receipt of healthcare; (ii) a claim for public benefits related to health; or (iii) qualification for, or receipt of, public benefits or services when an Individual’s health is integral to the claim. The rules governing disclosures for law enforcement purposes apply when the request is about an Individual for other purposes.</w:t>
      </w:r>
    </w:p>
    <w:p>
      <w:pPr>
        <w:pStyle w:val="FirstParagraph"/>
      </w:pPr>
      <w:r>
        <w:t xml:space="preserve">If Company is unable to determine whether a request for PHI is for a health oversight activity, Company should ask for an explanation of the purpose of the request and then consult with the Chief Privacy Officer</w:t>
      </w:r>
      <w:r>
        <w:rPr>
          <w:b/>
          <w:bCs/>
        </w:rPr>
        <w:t xml:space="preserve">.</w:t>
      </w:r>
    </w:p>
    <w:p>
      <w:pPr>
        <w:pStyle w:val="Compact"/>
        <w:numPr>
          <w:ilvl w:val="0"/>
          <w:numId w:val="1003"/>
        </w:numPr>
      </w:pPr>
      <w:r>
        <w:rPr>
          <w:i/>
          <w:iCs/>
        </w:rPr>
        <w:t xml:space="preserve">Uses and Disclosures for Public Health</w:t>
      </w:r>
      <w:r>
        <w:t xml:space="preserve">. Company may disclose PHI:</w:t>
      </w:r>
    </w:p>
    <w:p>
      <w:pPr>
        <w:pStyle w:val="Compact"/>
        <w:numPr>
          <w:ilvl w:val="0"/>
          <w:numId w:val="1003"/>
        </w:numPr>
      </w:pPr>
      <w:r>
        <w:rPr>
          <w:i/>
          <w:iCs/>
        </w:rPr>
        <w:t xml:space="preserve">To Prevent or Control Disease</w:t>
      </w:r>
      <w:r>
        <w:t xml:space="preserve">. If required by law for preventing or controlling disease, injury or disability and the conduct of public health surveillance, interventions or investigations.</w:t>
      </w:r>
    </w:p>
    <w:p>
      <w:pPr>
        <w:pStyle w:val="Compact"/>
        <w:numPr>
          <w:ilvl w:val="0"/>
          <w:numId w:val="1003"/>
        </w:numPr>
      </w:pPr>
      <w:r>
        <w:rPr>
          <w:i/>
          <w:iCs/>
        </w:rPr>
        <w:t xml:space="preserve">To Report Child Abuse or Neglect</w:t>
      </w:r>
      <w:r>
        <w:t xml:space="preserve">. To the appropriate government authority authorized by law to receive reports of child abuse or neglect.</w:t>
      </w:r>
    </w:p>
    <w:p>
      <w:pPr>
        <w:pStyle w:val="Compact"/>
        <w:numPr>
          <w:ilvl w:val="0"/>
          <w:numId w:val="1003"/>
        </w:numPr>
      </w:pPr>
      <w:r>
        <w:rPr>
          <w:i/>
          <w:iCs/>
        </w:rPr>
        <w:t xml:space="preserve">To Fulfill Requirements of the Food and Drug Administration (FDA)</w:t>
      </w:r>
      <w:r>
        <w:t xml:space="preserve">. For the purpose of activities related to the quality, safety or effectiveness of FDA-regulated products or activities. Such disclosures include, without limitation, those made for the following purposes:</w:t>
      </w:r>
    </w:p>
    <w:p>
      <w:pPr>
        <w:pStyle w:val="Compact"/>
        <w:numPr>
          <w:ilvl w:val="1"/>
          <w:numId w:val="1004"/>
        </w:numPr>
      </w:pPr>
    </w:p>
    <w:p>
      <w:pPr>
        <w:pStyle w:val="Compact"/>
        <w:numPr>
          <w:ilvl w:val="2"/>
          <w:numId w:val="1005"/>
        </w:numPr>
      </w:pPr>
      <w:r>
        <w:t xml:space="preserve">To collect or report adverse events, product defects or problems (including problems with the use or labeling of a product) or biological product deviations.</w:t>
      </w:r>
    </w:p>
    <w:p>
      <w:pPr>
        <w:pStyle w:val="Compact"/>
        <w:numPr>
          <w:ilvl w:val="2"/>
          <w:numId w:val="1005"/>
        </w:numPr>
      </w:pPr>
      <w:r>
        <w:t xml:space="preserve">To track FDA-regulated products.</w:t>
      </w:r>
    </w:p>
    <w:p>
      <w:pPr>
        <w:pStyle w:val="Compact"/>
        <w:numPr>
          <w:ilvl w:val="2"/>
          <w:numId w:val="1005"/>
        </w:numPr>
      </w:pPr>
      <w:r>
        <w:t xml:space="preserve">To enable product recalls, repairs, replacements or lookbacks (including locating and notifying people who have received products subject to recalls, withdrawals or lookbacks).</w:t>
      </w:r>
    </w:p>
    <w:p>
      <w:pPr>
        <w:pStyle w:val="Compact"/>
        <w:numPr>
          <w:ilvl w:val="2"/>
          <w:numId w:val="1005"/>
        </w:numPr>
      </w:pPr>
      <w:r>
        <w:t xml:space="preserve">To conduct post-marketing surveillance.</w:t>
      </w:r>
    </w:p>
    <w:p>
      <w:pPr>
        <w:pStyle w:val="Compact"/>
        <w:numPr>
          <w:ilvl w:val="0"/>
          <w:numId w:val="1003"/>
        </w:numPr>
      </w:pPr>
      <w:r>
        <w:rPr>
          <w:i/>
          <w:iCs/>
        </w:rPr>
        <w:t xml:space="preserve">To Notify Persons of Exposure to Communicable Diseases</w:t>
      </w:r>
      <w:r>
        <w:t xml:space="preserve">. If Company is authorized by law to notify such persons as necessary in the conduct of a public health intervention or investigation, e.g., for intervention of investigation of Covid-19 or tuberculosis.</w:t>
      </w:r>
    </w:p>
    <w:p>
      <w:pPr>
        <w:pStyle w:val="Compact"/>
        <w:numPr>
          <w:ilvl w:val="0"/>
          <w:numId w:val="1003"/>
        </w:numPr>
      </w:pPr>
      <w:r>
        <w:rPr>
          <w:i/>
          <w:iCs/>
        </w:rPr>
        <w:t xml:space="preserve">To Disclose Proof of Immunization to Schools</w:t>
      </w:r>
      <w:r>
        <w:t xml:space="preserve">. If Company obtains agreement, which may be oral, from an Individual, guardian or other person acting</w:t>
      </w:r>
      <w:r>
        <w:t xml:space="preserve"> </w:t>
      </w:r>
      <w:r>
        <w:rPr>
          <w:i/>
          <w:iCs/>
        </w:rPr>
        <w:t xml:space="preserve">in</w:t>
      </w:r>
      <w:r>
        <w:t xml:space="preserve"> </w:t>
      </w:r>
      <w:r>
        <w:rPr>
          <w:i/>
          <w:iCs/>
        </w:rPr>
        <w:t xml:space="preserve">loco</w:t>
      </w:r>
      <w:r>
        <w:t xml:space="preserve"> </w:t>
      </w:r>
      <w:r>
        <w:rPr>
          <w:i/>
          <w:iCs/>
        </w:rPr>
        <w:t xml:space="preserve">parentis</w:t>
      </w:r>
      <w:r>
        <w:t xml:space="preserve"> </w:t>
      </w:r>
      <w:r>
        <w:t xml:space="preserve">for the Individual, or from the Individual if he or she is an adult or emancipated minor. Company should document any oral consent.</w:t>
      </w:r>
      <w:r>
        <w:t xml:space="preserve"> </w:t>
      </w:r>
      <w:r>
        <w:t xml:space="preserve">#### a. Uses and Disclosures for Law Enforcement Purposes</w:t>
      </w:r>
      <w:r>
        <w:t xml:space="preserve"> </w:t>
      </w:r>
      <w:r>
        <w:t xml:space="preserve">#### b. Disclosures Concerning Victims of Abuse, Neglect or Domestic Violence</w:t>
      </w:r>
    </w:p>
    <w:p>
      <w:pPr>
        <w:pStyle w:val="Compact"/>
        <w:numPr>
          <w:ilvl w:val="1"/>
          <w:numId w:val="1006"/>
        </w:numPr>
      </w:pPr>
    </w:p>
    <w:p>
      <w:pPr>
        <w:pStyle w:val="Compact"/>
        <w:numPr>
          <w:ilvl w:val="2"/>
          <w:numId w:val="1007"/>
        </w:numPr>
      </w:pPr>
      <w:r>
        <w:t xml:space="preserve">Except for reports of child abuse as described above, Company may disclose PHI about an Individual whom Company reasonably believes to be a victim of abuse, neglect or domestic violence, if the disclosure is to an appropriate government authority provided that:</w:t>
      </w:r>
    </w:p>
    <w:p>
      <w:pPr>
        <w:pStyle w:val="Compact"/>
        <w:numPr>
          <w:ilvl w:val="3"/>
          <w:numId w:val="1008"/>
        </w:numPr>
      </w:pPr>
      <w:r>
        <w:t xml:space="preserve">The disclosure is required by law and complies with and is limited to the relevant requirements of such law (this must be required by law not merely authorized by law);</w:t>
      </w:r>
    </w:p>
    <w:p>
      <w:pPr>
        <w:pStyle w:val="Compact"/>
        <w:numPr>
          <w:ilvl w:val="3"/>
          <w:numId w:val="1008"/>
        </w:numPr>
      </w:pPr>
      <w:r>
        <w:t xml:space="preserve">Agreed to by the Individual; or</w:t>
      </w:r>
    </w:p>
    <w:p>
      <w:pPr>
        <w:pStyle w:val="Compact"/>
        <w:numPr>
          <w:ilvl w:val="3"/>
          <w:numId w:val="1008"/>
        </w:numPr>
      </w:pPr>
      <w:r>
        <w:t xml:space="preserve">Authorized by statute or regulations (this refers to disclosures that are permitted (though not required) by law); and:</w:t>
      </w:r>
    </w:p>
    <w:p>
      <w:pPr>
        <w:pStyle w:val="Compact"/>
        <w:numPr>
          <w:ilvl w:val="4"/>
          <w:numId w:val="1009"/>
        </w:numPr>
      </w:pPr>
      <w:r>
        <w:t xml:space="preserve">Company reasonably believes that the disclosure is necessary to prevent serious harm to the Individual or other potential victims; or</w:t>
      </w:r>
    </w:p>
    <w:p>
      <w:pPr>
        <w:pStyle w:val="Compact"/>
        <w:numPr>
          <w:ilvl w:val="4"/>
          <w:numId w:val="1009"/>
        </w:numPr>
      </w:pPr>
      <w:r>
        <w:t xml:space="preserve">The Individual is unable to agree due to incapacity, and a government authority represents that (a) the PHI sought is not intended to be used against the Individual, and (b) an immediate enforcement activity would be materially and adversely affected by waiting until the Individual is able to agree to the disclosure.</w:t>
      </w:r>
    </w:p>
    <w:p>
      <w:pPr>
        <w:pStyle w:val="Compact"/>
        <w:numPr>
          <w:ilvl w:val="2"/>
          <w:numId w:val="1007"/>
        </w:numPr>
      </w:pPr>
      <w:r>
        <w:t xml:space="preserve">Company must promptly inform the Individual that such a report has been or will be made, except in circumstances where:</w:t>
      </w:r>
    </w:p>
    <w:p>
      <w:pPr>
        <w:pStyle w:val="Compact"/>
        <w:numPr>
          <w:ilvl w:val="3"/>
          <w:numId w:val="1010"/>
        </w:numPr>
      </w:pPr>
      <w:r>
        <w:t xml:space="preserve">Company, in the exercise of its professional judgment, believes that informing the Individual would put the Individual at risk of serious harm.</w:t>
      </w:r>
    </w:p>
    <w:p>
      <w:pPr>
        <w:pStyle w:val="Compact"/>
        <w:numPr>
          <w:ilvl w:val="3"/>
          <w:numId w:val="1010"/>
        </w:numPr>
      </w:pPr>
      <w:r>
        <w:t xml:space="preserve">Company would be required to inform a personal representative of the Individual, and Company reasonably believes that (a) such personal representative is responsible for the abuse, neglect or other injury, and (b) informing such person would not be in the best interests of the Individual.</w:t>
      </w:r>
    </w:p>
    <w:p>
      <w:pPr>
        <w:pStyle w:val="Compact"/>
        <w:numPr>
          <w:ilvl w:val="0"/>
          <w:numId w:val="1003"/>
        </w:numPr>
      </w:pPr>
      <w:r>
        <w:rPr>
          <w:i/>
          <w:iCs/>
        </w:rPr>
        <w:t xml:space="preserve">Disclosures to Law Enforcement Officials for Law Enforcement Purposes</w:t>
      </w:r>
      <w:r>
        <w:t xml:space="preserve">.</w:t>
      </w:r>
      <w:hyperlink w:anchor="footnote-0">
        <w:r>
          <w:rPr>
            <w:rStyle w:val="Hyperlink"/>
          </w:rPr>
          <w:t xml:space="preserve">[1]</w:t>
        </w:r>
      </w:hyperlink>
      <w:r>
        <w:t xml:space="preserve"> </w:t>
      </w:r>
      <w:r>
        <w:t xml:space="preserve">Disclosures may be made to law enforcement:</w:t>
      </w:r>
    </w:p>
    <w:p>
      <w:pPr>
        <w:pStyle w:val="FirstParagraph"/>
      </w:pPr>
      <w:r>
        <w:t xml:space="preserve">Note: PHI should not be disclosed pursuant to this section without first speaking to the Chief Privacy Officer, as appropriate.</w:t>
      </w:r>
    </w:p>
    <w:p>
      <w:pPr>
        <w:pStyle w:val="Compact"/>
        <w:numPr>
          <w:ilvl w:val="0"/>
          <w:numId w:val="1011"/>
        </w:numPr>
      </w:pPr>
    </w:p>
    <w:p>
      <w:pPr>
        <w:pStyle w:val="Compact"/>
        <w:numPr>
          <w:ilvl w:val="1"/>
          <w:numId w:val="1012"/>
        </w:numPr>
      </w:pPr>
    </w:p>
    <w:p>
      <w:pPr>
        <w:pStyle w:val="Compact"/>
        <w:numPr>
          <w:ilvl w:val="2"/>
          <w:numId w:val="1013"/>
        </w:numPr>
      </w:pPr>
      <w:r>
        <w:t xml:space="preserve">When required by law, including laws that require the reporting of certain types of wounds or other physical injuries.</w:t>
      </w:r>
    </w:p>
    <w:p>
      <w:pPr>
        <w:pStyle w:val="Compact"/>
        <w:numPr>
          <w:ilvl w:val="2"/>
          <w:numId w:val="1013"/>
        </w:numPr>
      </w:pPr>
      <w:r>
        <w:t xml:space="preserve">In compliance with and as limited by the requirements of:</w:t>
      </w:r>
    </w:p>
    <w:p>
      <w:pPr>
        <w:pStyle w:val="Compact"/>
        <w:numPr>
          <w:ilvl w:val="3"/>
          <w:numId w:val="1014"/>
        </w:numPr>
      </w:pPr>
      <w:r>
        <w:t xml:space="preserve">A court order, a court-ordered warrant or a summons issued by a judge.</w:t>
      </w:r>
    </w:p>
    <w:p>
      <w:pPr>
        <w:pStyle w:val="Compact"/>
        <w:numPr>
          <w:ilvl w:val="3"/>
          <w:numId w:val="1014"/>
        </w:numPr>
      </w:pPr>
      <w:r>
        <w:t xml:space="preserve">An administrative request, including a subpoena or summons from an administrative agency, an investigative demand from an authorized body or a similar process authorized under law, provided that all three of the following requirements are met: (a) the PHI sought is relevant and material to a legitimate law enforcement inquiry; (b) the request is specific and limited in scope to the extent practicable in light of the purpose for which the PHI is sought; and (c) de-identified information could not reasonably be used.</w:t>
      </w:r>
    </w:p>
    <w:p>
      <w:pPr>
        <w:pStyle w:val="Compact"/>
        <w:numPr>
          <w:ilvl w:val="2"/>
          <w:numId w:val="1013"/>
        </w:numPr>
      </w:pPr>
      <w:r>
        <w:t xml:space="preserve">For the purpose of identifying or locating a suspect, fugitive, material witness or missing person, provided that only the following PHI is disclosed:</w:t>
      </w:r>
      <w:hyperlink w:anchor="footnote-1">
        <w:r>
          <w:rPr>
            <w:rStyle w:val="Hyperlink"/>
          </w:rPr>
          <w:t xml:space="preserve">[2]</w:t>
        </w:r>
      </w:hyperlink>
    </w:p>
    <w:p>
      <w:pPr>
        <w:pStyle w:val="Compact"/>
        <w:numPr>
          <w:ilvl w:val="3"/>
          <w:numId w:val="1015"/>
        </w:numPr>
      </w:pPr>
      <w:r>
        <w:t xml:space="preserve">Name and address;</w:t>
      </w:r>
    </w:p>
    <w:p>
      <w:pPr>
        <w:pStyle w:val="Compact"/>
        <w:numPr>
          <w:ilvl w:val="3"/>
          <w:numId w:val="1015"/>
        </w:numPr>
      </w:pPr>
      <w:r>
        <w:t xml:space="preserve">Date and place of birth;</w:t>
      </w:r>
    </w:p>
    <w:p>
      <w:pPr>
        <w:pStyle w:val="Compact"/>
        <w:numPr>
          <w:ilvl w:val="3"/>
          <w:numId w:val="1015"/>
        </w:numPr>
      </w:pPr>
      <w:r>
        <w:t xml:space="preserve">Social Security number;</w:t>
      </w:r>
    </w:p>
    <w:p>
      <w:pPr>
        <w:pStyle w:val="Compact"/>
        <w:numPr>
          <w:ilvl w:val="3"/>
          <w:numId w:val="1015"/>
        </w:numPr>
      </w:pPr>
      <w:r>
        <w:t xml:space="preserve">ABO blood type and Rh factor;</w:t>
      </w:r>
    </w:p>
    <w:p>
      <w:pPr>
        <w:pStyle w:val="Compact"/>
        <w:numPr>
          <w:ilvl w:val="3"/>
          <w:numId w:val="1015"/>
        </w:numPr>
      </w:pPr>
      <w:r>
        <w:t xml:space="preserve">Type of injury;</w:t>
      </w:r>
    </w:p>
    <w:p>
      <w:pPr>
        <w:pStyle w:val="Compact"/>
        <w:numPr>
          <w:ilvl w:val="3"/>
          <w:numId w:val="1015"/>
        </w:numPr>
      </w:pPr>
      <w:r>
        <w:t xml:space="preserve">Date and time of Treatment;</w:t>
      </w:r>
    </w:p>
    <w:p>
      <w:pPr>
        <w:pStyle w:val="Compact"/>
        <w:numPr>
          <w:ilvl w:val="3"/>
          <w:numId w:val="1015"/>
        </w:numPr>
      </w:pPr>
      <w:r>
        <w:t xml:space="preserve">Date and time of death, if applicable; and</w:t>
      </w:r>
    </w:p>
    <w:p>
      <w:pPr>
        <w:pStyle w:val="Compact"/>
        <w:numPr>
          <w:ilvl w:val="3"/>
          <w:numId w:val="1015"/>
        </w:numPr>
      </w:pPr>
      <w:r>
        <w:t xml:space="preserve">A description of distinguishing physical characteristics, including height, weight, gender, race, hair and eye color and presence or absence of facial hair, scars and tattoos.</w:t>
      </w:r>
    </w:p>
    <w:p>
      <w:pPr>
        <w:pStyle w:val="Compact"/>
        <w:numPr>
          <w:ilvl w:val="2"/>
          <w:numId w:val="1013"/>
        </w:numPr>
      </w:pPr>
      <w:r>
        <w:t xml:space="preserve">Except as otherwise noted herein, in response to a request about an Individual who is or is suspected to be a victim of a crime, other than a domestic abuse victim, if:</w:t>
      </w:r>
    </w:p>
    <w:p>
      <w:pPr>
        <w:pStyle w:val="Compact"/>
        <w:numPr>
          <w:ilvl w:val="3"/>
          <w:numId w:val="1016"/>
        </w:numPr>
      </w:pPr>
      <w:r>
        <w:t xml:space="preserve">The Individual agrees to the disclosure; or</w:t>
      </w:r>
    </w:p>
    <w:p>
      <w:pPr>
        <w:pStyle w:val="Compact"/>
        <w:numPr>
          <w:ilvl w:val="3"/>
          <w:numId w:val="1016"/>
        </w:numPr>
      </w:pPr>
      <w:r>
        <w:t xml:space="preserve">Company cannot obtain the Individual’s agreement because of incapacity or other emergency circumstances, provided that:</w:t>
      </w:r>
    </w:p>
    <w:p>
      <w:pPr>
        <w:pStyle w:val="Compact"/>
        <w:numPr>
          <w:ilvl w:val="4"/>
          <w:numId w:val="1017"/>
        </w:numPr>
      </w:pPr>
      <w:r>
        <w:t xml:space="preserve">The law enforcement official states that (a) such PHI is needed to determine whether a person, other than the Individual, violated the law, and is not intended to be used against the Individual, and (b) immediate law enforcement activity would be materially adversely affected by waiting until the Individual-victim gains sufficient capacity to agree; and</w:t>
      </w:r>
    </w:p>
    <w:p>
      <w:pPr>
        <w:pStyle w:val="Compact"/>
        <w:numPr>
          <w:ilvl w:val="4"/>
          <w:numId w:val="1017"/>
        </w:numPr>
      </w:pPr>
      <w:r>
        <w:t xml:space="preserve">Disclosure is in the best interest of the victim.</w:t>
      </w:r>
    </w:p>
    <w:p>
      <w:pPr>
        <w:pStyle w:val="Compact"/>
        <w:numPr>
          <w:ilvl w:val="2"/>
          <w:numId w:val="1013"/>
        </w:numPr>
      </w:pPr>
      <w:r>
        <w:t xml:space="preserve">For the purpose of alerting an officer to the death of an Individual which Company suspects resulted from criminal conduct.</w:t>
      </w:r>
    </w:p>
    <w:p>
      <w:pPr>
        <w:pStyle w:val="Compact"/>
        <w:numPr>
          <w:ilvl w:val="2"/>
          <w:numId w:val="1013"/>
        </w:numPr>
      </w:pPr>
      <w:r>
        <w:t xml:space="preserve">If Company believes in good faith that the PHI is evidence of criminal conduct that occurred on Company’s premises.</w:t>
      </w:r>
    </w:p>
    <w:p>
      <w:pPr>
        <w:pStyle w:val="Compact"/>
        <w:numPr>
          <w:ilvl w:val="2"/>
          <w:numId w:val="1013"/>
        </w:numPr>
      </w:pPr>
      <w:r>
        <w:t xml:space="preserve">If Company provides emergency healthcare, other than in response to an emergency occurring on the premises of Company, and disclosure of the PHI is necessary to alert law enforcement to:</w:t>
      </w:r>
    </w:p>
    <w:p>
      <w:pPr>
        <w:pStyle w:val="Compact"/>
        <w:numPr>
          <w:ilvl w:val="3"/>
          <w:numId w:val="1018"/>
        </w:numPr>
      </w:pPr>
      <w:r>
        <w:t xml:space="preserve">The commission and nature of a crime;</w:t>
      </w:r>
    </w:p>
    <w:p>
      <w:pPr>
        <w:pStyle w:val="Compact"/>
        <w:numPr>
          <w:ilvl w:val="3"/>
          <w:numId w:val="1018"/>
        </w:numPr>
      </w:pPr>
      <w:r>
        <w:t xml:space="preserve">The location of the crime or victims of the crime; and</w:t>
      </w:r>
    </w:p>
    <w:p>
      <w:pPr>
        <w:pStyle w:val="Compact"/>
        <w:numPr>
          <w:ilvl w:val="3"/>
          <w:numId w:val="1018"/>
        </w:numPr>
      </w:pPr>
      <w:r>
        <w:t xml:space="preserve">The identity, description and location of the perpetrator of the crime.</w:t>
      </w:r>
    </w:p>
    <w:p>
      <w:pPr>
        <w:pStyle w:val="Compact"/>
        <w:numPr>
          <w:ilvl w:val="0"/>
          <w:numId w:val="1011"/>
        </w:numPr>
      </w:pPr>
      <w:r>
        <w:rPr>
          <w:i/>
          <w:iCs/>
        </w:rPr>
        <w:t xml:space="preserve">Identification of a Deceased Person or Cause of Death</w:t>
      </w:r>
      <w:r>
        <w:t xml:space="preserve">. Limited disclosures may be made to a coroner or medical examiner for the purpose of identifying a deceased person, determining a cause of death or the performance of other duties authorized by law.</w:t>
      </w:r>
    </w:p>
    <w:p>
      <w:pPr>
        <w:pStyle w:val="Compact"/>
        <w:numPr>
          <w:ilvl w:val="0"/>
          <w:numId w:val="1011"/>
        </w:numPr>
      </w:pPr>
      <w:r>
        <w:rPr>
          <w:i/>
          <w:iCs/>
        </w:rPr>
        <w:t xml:space="preserve">Funeral Arrangements</w:t>
      </w:r>
      <w:r>
        <w:t xml:space="preserve">. Limited disclosures, including disclosures prior to the Individual’s death, may be made to funeral directors, consistent with applicable law, as necessary to carry out their duties with respect to the deceased person.</w:t>
      </w:r>
    </w:p>
    <w:p>
      <w:pPr>
        <w:pStyle w:val="Compact"/>
        <w:numPr>
          <w:ilvl w:val="0"/>
          <w:numId w:val="1011"/>
        </w:numPr>
      </w:pPr>
      <w:r>
        <w:rPr>
          <w:i/>
          <w:iCs/>
        </w:rPr>
        <w:t xml:space="preserve">Disclosures for Purposes of Workers’ Compensation</w:t>
      </w:r>
      <w:r>
        <w:t xml:space="preserve">. Limited disclosures may be made as authorized by and to the extent necessary to comply with laws relating to workers’ compensation or other similar programs that provide benefits for work-related injuries or illness without regard to fault. Disclosures for this purpose should not be made without first contacting the Chief Privacy Officer.</w:t>
      </w:r>
    </w:p>
    <w:p>
      <w:pPr>
        <w:pStyle w:val="Compact"/>
        <w:numPr>
          <w:ilvl w:val="0"/>
          <w:numId w:val="1011"/>
        </w:numPr>
      </w:pPr>
      <w:r>
        <w:rPr>
          <w:i/>
          <w:iCs/>
        </w:rPr>
        <w:t xml:space="preserve">To Avert a Serious Threat to Health or Safety</w:t>
      </w:r>
      <w:r>
        <w:t xml:space="preserve">. Limited disclosures may be made if consistent with applicable law, and if Company believes, in good faith, that the use or disclosure:</w:t>
      </w:r>
    </w:p>
    <w:p>
      <w:pPr>
        <w:pStyle w:val="Compact"/>
        <w:numPr>
          <w:ilvl w:val="1"/>
          <w:numId w:val="1019"/>
        </w:numPr>
      </w:pPr>
    </w:p>
    <w:p>
      <w:pPr>
        <w:pStyle w:val="Compact"/>
        <w:numPr>
          <w:ilvl w:val="2"/>
          <w:numId w:val="1020"/>
        </w:numPr>
      </w:pPr>
      <w:r>
        <w:t xml:space="preserve">Is necessary to prevent or lessen a serious and imminent threat to the health or safety of a person or the public, and such disclosure is made to a person or persons reasonably able to prevent or lessen the threat.</w:t>
      </w:r>
    </w:p>
    <w:p>
      <w:pPr>
        <w:pStyle w:val="Compact"/>
        <w:numPr>
          <w:ilvl w:val="2"/>
          <w:numId w:val="1020"/>
        </w:numPr>
      </w:pPr>
      <w:r>
        <w:t xml:space="preserve">Is necessary for law enforcement authorities to identify or apprehend an individual:</w:t>
      </w:r>
    </w:p>
    <w:p>
      <w:pPr>
        <w:pStyle w:val="Compact"/>
        <w:numPr>
          <w:ilvl w:val="3"/>
          <w:numId w:val="1021"/>
        </w:numPr>
      </w:pPr>
      <w:r>
        <w:t xml:space="preserve">Who appears from all the circumstances to have escaped from a correctional institution or from lawful custody; or</w:t>
      </w:r>
    </w:p>
    <w:p>
      <w:pPr>
        <w:pStyle w:val="Compact"/>
        <w:numPr>
          <w:ilvl w:val="3"/>
          <w:numId w:val="1021"/>
        </w:numPr>
      </w:pPr>
      <w:r>
        <w:t xml:space="preserve">Due to a statement made by an individual admitting participation in a violent crime which may have caused serious physical harm to the victim, if such disclosure is limited to the contents of the individual’s statement and provides only the PHI that can be disclosed when identifying a victim, as described above.</w:t>
      </w:r>
    </w:p>
    <w:p>
      <w:pPr>
        <w:pStyle w:val="Compact"/>
        <w:numPr>
          <w:ilvl w:val="0"/>
          <w:numId w:val="1011"/>
        </w:numPr>
      </w:pPr>
      <w:r>
        <w:rPr>
          <w:i/>
          <w:iCs/>
        </w:rPr>
        <w:t xml:space="preserve">Disclosures for Cadaveric Organ, Eye or Tissue Donation Purposes</w:t>
      </w:r>
      <w:r>
        <w:t xml:space="preserve">. Company may use or disclose PHI to organ procurement organizations for the purpose of facilitating organ, eye or tissue donation or transplantation.</w:t>
      </w:r>
    </w:p>
    <w:p>
      <w:pPr>
        <w:pStyle w:val="Compact"/>
        <w:numPr>
          <w:ilvl w:val="0"/>
          <w:numId w:val="1011"/>
        </w:numPr>
      </w:pPr>
      <w:r>
        <w:rPr>
          <w:i/>
          <w:iCs/>
        </w:rPr>
        <w:t xml:space="preserve">Disclosures for Judicial and Administrative Proceedings</w:t>
      </w:r>
      <w:r>
        <w:t xml:space="preserve">.The release of PHI in response to subpoenas or discovery requests that are not accompanied by a court order or Individual authorization is limited by state law and privileges. Therefore, personnel should not respond to such subpoenas unless authorized by the Chief Privacy Officer.</w:t>
      </w:r>
    </w:p>
    <w:p>
      <w:pPr>
        <w:pStyle w:val="Compact"/>
        <w:numPr>
          <w:ilvl w:val="0"/>
          <w:numId w:val="1011"/>
        </w:numPr>
      </w:pPr>
      <w:r>
        <w:rPr>
          <w:i/>
          <w:iCs/>
        </w:rPr>
        <w:t xml:space="preserve">Disclosures Made to Various Government Agencies</w:t>
      </w:r>
      <w:r>
        <w:t xml:space="preserve">.Company may disclose PHI in the following situations:</w:t>
      </w:r>
    </w:p>
    <w:p>
      <w:pPr>
        <w:pStyle w:val="Compact"/>
        <w:numPr>
          <w:ilvl w:val="0"/>
          <w:numId w:val="1011"/>
        </w:numPr>
      </w:pPr>
      <w:r>
        <w:rPr>
          <w:i/>
          <w:iCs/>
        </w:rPr>
        <w:t xml:space="preserve">Uses and Disclosures for Military and Veteran Activities</w:t>
      </w:r>
      <w:r>
        <w:t xml:space="preserve">. Uses and disclosures may be made concerning Individuals who are members of the armed forces or foreign military for activities deemed necessary by appropriate military command or foreign military authorities.</w:t>
      </w:r>
    </w:p>
    <w:p>
      <w:pPr>
        <w:pStyle w:val="Compact"/>
        <w:numPr>
          <w:ilvl w:val="0"/>
          <w:numId w:val="1011"/>
        </w:numPr>
      </w:pPr>
      <w:r>
        <w:rPr>
          <w:i/>
          <w:iCs/>
        </w:rPr>
        <w:t xml:space="preserve">Disclosures for National Security and Intelligence Activities</w:t>
      </w:r>
      <w:r>
        <w:t xml:space="preserve">.Disclosure may be made to authorized federal officials for the performance of lawful intelligence, counterintelligence and other national security activities authorized by applicable law.</w:t>
      </w:r>
    </w:p>
    <w:p>
      <w:pPr>
        <w:pStyle w:val="Compact"/>
        <w:numPr>
          <w:ilvl w:val="0"/>
          <w:numId w:val="1011"/>
        </w:numPr>
      </w:pPr>
      <w:r>
        <w:rPr>
          <w:i/>
          <w:iCs/>
        </w:rPr>
        <w:t xml:space="preserve">Disclosures for Protective Services for the President and Others</w:t>
      </w:r>
      <w:r>
        <w:t xml:space="preserve">. Disclosures may be made to authorized federal officials for the provision of protective services to the President or certain other executive persons or to foreign heads of state.</w:t>
      </w:r>
    </w:p>
    <w:p>
      <w:pPr>
        <w:pStyle w:val="Compact"/>
        <w:numPr>
          <w:ilvl w:val="0"/>
          <w:numId w:val="1011"/>
        </w:numPr>
      </w:pPr>
      <w:r>
        <w:rPr>
          <w:i/>
          <w:iCs/>
        </w:rPr>
        <w:t xml:space="preserve">Disclosures to Correctional Institutions and in Other Custodial Situations</w:t>
      </w:r>
      <w:r>
        <w:t xml:space="preserve">. Disclosure may be made to a correctional institution or a law enforcement official, if the appropriate individual represents that PHI about an inmate or Individual in custody is necessary for:</w:t>
      </w:r>
    </w:p>
    <w:p>
      <w:pPr>
        <w:pStyle w:val="Compact"/>
        <w:numPr>
          <w:ilvl w:val="1"/>
          <w:numId w:val="1022"/>
        </w:numPr>
      </w:pPr>
    </w:p>
    <w:p>
      <w:pPr>
        <w:pStyle w:val="Compact"/>
        <w:numPr>
          <w:ilvl w:val="2"/>
          <w:numId w:val="1023"/>
        </w:numPr>
      </w:pPr>
      <w:r>
        <w:t xml:space="preserve">The provision of healthcare to such Individual.</w:t>
      </w:r>
    </w:p>
    <w:p>
      <w:pPr>
        <w:pStyle w:val="Compact"/>
        <w:numPr>
          <w:ilvl w:val="2"/>
          <w:numId w:val="1023"/>
        </w:numPr>
      </w:pPr>
      <w:r>
        <w:t xml:space="preserve">The health and safety of such Individual or other inmates.</w:t>
      </w:r>
    </w:p>
    <w:p>
      <w:pPr>
        <w:pStyle w:val="Compact"/>
        <w:numPr>
          <w:ilvl w:val="2"/>
          <w:numId w:val="1023"/>
        </w:numPr>
      </w:pPr>
      <w:r>
        <w:t xml:space="preserve">The health and safety of the officers or employees of or others at the correctional institution.</w:t>
      </w:r>
    </w:p>
    <w:p>
      <w:pPr>
        <w:pStyle w:val="Compact"/>
        <w:numPr>
          <w:ilvl w:val="2"/>
          <w:numId w:val="1023"/>
        </w:numPr>
      </w:pPr>
      <w:r>
        <w:t xml:space="preserve">The health and safety of such individuals and officers or other persons responsible for the transporting of inmates or their transfer from one institution, covered entity or setting to another.</w:t>
      </w:r>
    </w:p>
    <w:p>
      <w:pPr>
        <w:pStyle w:val="Compact"/>
        <w:numPr>
          <w:ilvl w:val="2"/>
          <w:numId w:val="1023"/>
        </w:numPr>
      </w:pPr>
      <w:r>
        <w:t xml:space="preserve">Law enforcement on the premises of the correctional institution.</w:t>
      </w:r>
    </w:p>
    <w:p>
      <w:pPr>
        <w:pStyle w:val="Compact"/>
        <w:numPr>
          <w:ilvl w:val="2"/>
          <w:numId w:val="1023"/>
        </w:numPr>
      </w:pPr>
      <w:r>
        <w:t xml:space="preserve">The administration and maintenance of the safety, security and good order of the correctional institution.</w:t>
      </w:r>
    </w:p>
    <w:p>
      <w:pPr>
        <w:pStyle w:val="FirstParagraph"/>
      </w:pPr>
      <w:r>
        <w:t xml:space="preserve">Note: Because these are not routine occurrences, personnel should discuss the disclosure with the Chief Privacy Officer prior to making the disclosure.</w:t>
      </w:r>
    </w:p>
    <w:bookmarkEnd w:id="11"/>
    <w:bookmarkStart w:id="12" w:name="iv.-references"/>
    <w:p>
      <w:pPr>
        <w:pStyle w:val="Heading3"/>
      </w:pPr>
      <w:r>
        <w:t xml:space="preserve">IV. References</w:t>
      </w:r>
    </w:p>
    <w:p>
      <w:pPr>
        <w:numPr>
          <w:ilvl w:val="0"/>
          <w:numId w:val="1024"/>
        </w:numPr>
      </w:pPr>
      <w:r>
        <w:t xml:space="preserve">45 C.F.R. § 164.512</w:t>
      </w:r>
    </w:p>
    <w:p>
      <w:pPr>
        <w:numPr>
          <w:ilvl w:val="0"/>
          <w:numId w:val="1024"/>
        </w:numPr>
      </w:pPr>
      <w:r>
        <w:t xml:space="preserve">Refer to applicable state and federal law before making disclosures pursuant to this section. The release of PHI in response to subpoenas that are not accompanied by a court order or Individual authorization may be limited by state. law and privileges depending on the PHI involved. Therefore, personnel should not respond to such subpoenas unless authorized by the Chief Privacy Officer.</w:t>
      </w:r>
      <w:r>
        <w:t xml:space="preserve"> </w:t>
      </w:r>
      <w:hyperlink w:anchor="footnote-ref-0">
        <w:r>
          <w:rPr>
            <w:rStyle w:val="Hyperlink"/>
          </w:rPr>
          <w:t xml:space="preserve">↑</w:t>
        </w:r>
      </w:hyperlink>
    </w:p>
    <w:p>
      <w:pPr>
        <w:numPr>
          <w:ilvl w:val="0"/>
          <w:numId w:val="1024"/>
        </w:numPr>
      </w:pPr>
      <w:r>
        <w:t xml:space="preserve">Except as otherwise permitted, Company may not disclose any PHI related to an Individual’s DNA or DNA analysis, dental records or typing, or samples or analysis of body fluids or tissue for purposes of locating or identifying an Individual.</w:t>
      </w:r>
      <w:r>
        <w:t xml:space="preserve"> </w:t>
      </w:r>
      <w:hyperlink w:anchor="footnote-ref-1">
        <w:r>
          <w:rPr>
            <w:rStyle w:val="Hyperlink"/>
          </w:rPr>
          <w:t xml:space="preserve">↑</w:t>
        </w:r>
      </w:hyperlink>
    </w:p>
    <w:p>
      <w:r>
        <w:pict>
          <v:rect style="width:0;height:1.5pt" o:hralign="center" o:hrstd="t" o:hr="t"/>
        </w:pict>
      </w:r>
    </w:p>
    <w:bookmarkEnd w:id="12"/>
    <w:bookmarkEnd w:id="13"/>
    <w:bookmarkStart w:id="18" w:name="ii.-minimum-necessary-rule"/>
    <w:p>
      <w:pPr>
        <w:pStyle w:val="Heading2"/>
      </w:pPr>
      <w:r>
        <w:t xml:space="preserve">II. Minimum Necessary Rule</w:t>
      </w:r>
    </w:p>
    <w:p>
      <w:pPr>
        <w:pStyle w:val="FirstParagraph"/>
      </w:pPr>
      <w:r>
        <w:rPr>
          <w:i/>
          <w:iCs/>
        </w:rPr>
        <w:t xml:space="preserve">Originally:</w:t>
      </w:r>
      <w:r>
        <w:rPr>
          <w:i/>
          <w:iCs/>
        </w:rPr>
        <w:t xml:space="preserve"> </w:t>
      </w:r>
      <w:r>
        <w:rPr>
          <w:rStyle w:val="VerbatimChar"/>
          <w:i/>
          <w:iCs/>
        </w:rPr>
        <w:t xml:space="preserve">03m HIPAA - Minimum Necessary Rule Policy.md</w:t>
      </w:r>
      <w:r>
        <w:rPr>
          <w:i/>
          <w:iCs/>
        </w:rPr>
        <w:t xml:space="preserve"> </w:t>
      </w:r>
      <w:r>
        <w:rPr>
          <w:i/>
          <w:iCs/>
        </w:rPr>
        <w:t xml:space="preserve">(Policy # L-010). Preserved verbatim below.</w:t>
      </w:r>
    </w:p>
    <w:bookmarkStart w:id="14"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4"/>
    <w:bookmarkStart w:id="17" w:name="ii.-policy-1"/>
    <w:p>
      <w:pPr>
        <w:pStyle w:val="Heading3"/>
      </w:pPr>
      <w:r>
        <w:t xml:space="preserve">II. Policy</w:t>
      </w:r>
    </w:p>
    <w:p>
      <w:pPr>
        <w:numPr>
          <w:ilvl w:val="0"/>
          <w:numId w:val="1025"/>
        </w:numPr>
      </w:pPr>
      <w:r>
        <w:t xml:space="preserve">Company complies with the “Minimum Necessary Rule,” which requires that, when using, disclosing, or requesting PHI, Company take reasonable steps to limit the PHI to the minimum amount necessary to accomplish the intended purpose of the use, disclosure, or request. For example, if Company discloses PHI for the purpose of receiving payment for services rendered, the amount of PHI disclosed should be limited to the minimum amount necessary to receive payment.</w:t>
      </w:r>
    </w:p>
    <w:p>
      <w:pPr>
        <w:numPr>
          <w:ilvl w:val="0"/>
          <w:numId w:val="1025"/>
        </w:numPr>
      </w:pPr>
      <w:r>
        <w:t xml:space="preserve">The Minimum Necessary Rule</w:t>
      </w:r>
      <w:r>
        <w:t xml:space="preserve"> </w:t>
      </w:r>
      <w:r>
        <w:rPr>
          <w:b/>
          <w:bCs/>
        </w:rPr>
        <w:t xml:space="preserve">does not</w:t>
      </w:r>
      <w:r>
        <w:t xml:space="preserve"> </w:t>
      </w:r>
      <w:r>
        <w:t xml:space="preserve">apply to:</w:t>
      </w:r>
    </w:p>
    <w:p>
      <w:pPr>
        <w:pStyle w:val="Compact"/>
        <w:numPr>
          <w:ilvl w:val="1"/>
          <w:numId w:val="1026"/>
        </w:numPr>
      </w:pPr>
      <w:r>
        <w:t xml:space="preserve">Disclosures of PHI to or requests for PHI by a healthcare provider for Treatment purposes;</w:t>
      </w:r>
    </w:p>
    <w:p>
      <w:pPr>
        <w:pStyle w:val="Compact"/>
        <w:numPr>
          <w:ilvl w:val="1"/>
          <w:numId w:val="1026"/>
        </w:numPr>
      </w:pPr>
      <w:r>
        <w:t xml:space="preserve">Uses of PHI for Treatment purposes;</w:t>
      </w:r>
    </w:p>
    <w:p>
      <w:pPr>
        <w:pStyle w:val="Compact"/>
        <w:numPr>
          <w:ilvl w:val="1"/>
          <w:numId w:val="1026"/>
        </w:numPr>
      </w:pPr>
      <w:r>
        <w:t xml:space="preserve">Disclosures to the Individual;</w:t>
      </w:r>
    </w:p>
    <w:p>
      <w:pPr>
        <w:pStyle w:val="Compact"/>
        <w:numPr>
          <w:ilvl w:val="1"/>
          <w:numId w:val="1026"/>
        </w:numPr>
      </w:pPr>
      <w:r>
        <w:t xml:space="preserve">Uses or disclosures made pursuant to an Individual’s authorization;</w:t>
      </w:r>
    </w:p>
    <w:p>
      <w:pPr>
        <w:pStyle w:val="Compact"/>
        <w:numPr>
          <w:ilvl w:val="1"/>
          <w:numId w:val="1026"/>
        </w:numPr>
      </w:pPr>
      <w:r>
        <w:t xml:space="preserve">Disclosures to the U.S. Department of Health &amp; Human Services when disclosures of PHI are required under the Privacy Rule; or</w:t>
      </w:r>
    </w:p>
    <w:p>
      <w:pPr>
        <w:pStyle w:val="Compact"/>
        <w:numPr>
          <w:ilvl w:val="1"/>
          <w:numId w:val="1026"/>
        </w:numPr>
      </w:pPr>
      <w:r>
        <w:t xml:space="preserve">Uses or disclosures that are required by other laws.</w:t>
      </w:r>
      <w:r>
        <w:t xml:space="preserve"> </w:t>
      </w:r>
      <w:r>
        <w:t xml:space="preserve">### III. Procedure</w:t>
      </w:r>
      <w:r>
        <w:t xml:space="preserve"> </w:t>
      </w:r>
      <w:r>
        <w:t xml:space="preserve">#### a. Uses of Individual Information</w:t>
      </w:r>
    </w:p>
    <w:p>
      <w:pPr>
        <w:numPr>
          <w:ilvl w:val="0"/>
          <w:numId w:val="1025"/>
        </w:numPr>
      </w:pPr>
      <w:r>
        <w:t xml:space="preserve">Company will make reasonable efforts to limit the access of personnel to only the PHI that personnel need to receive. Only those personnel with a “need to know” in order to perform their job responsibilities should have access to PHI.</w:t>
      </w:r>
    </w:p>
    <w:p>
      <w:pPr>
        <w:numPr>
          <w:ilvl w:val="0"/>
          <w:numId w:val="1025"/>
        </w:numPr>
      </w:pPr>
      <w:r>
        <w:t xml:space="preserve">Personnel will be specifically instructed that they cannot:</w:t>
      </w:r>
    </w:p>
    <w:p>
      <w:pPr>
        <w:numPr>
          <w:ilvl w:val="0"/>
          <w:numId w:val="1025"/>
        </w:numPr>
      </w:pPr>
      <w:r>
        <w:t xml:space="preserve">Access information about themselves or their family members, friends, or co-workers.</w:t>
      </w:r>
    </w:p>
    <w:p>
      <w:pPr>
        <w:numPr>
          <w:ilvl w:val="0"/>
          <w:numId w:val="1025"/>
        </w:numPr>
      </w:pPr>
      <w:r>
        <w:t xml:space="preserve">Access information about patients when they do not need that information to perform their jobs.</w:t>
      </w:r>
    </w:p>
    <w:p>
      <w:pPr>
        <w:numPr>
          <w:ilvl w:val="0"/>
          <w:numId w:val="1025"/>
        </w:numPr>
      </w:pPr>
      <w:r>
        <w:t xml:space="preserve">Access information about celebrities or other famous people.</w:t>
      </w:r>
    </w:p>
    <w:p>
      <w:pPr>
        <w:numPr>
          <w:ilvl w:val="0"/>
          <w:numId w:val="1025"/>
        </w:numPr>
      </w:pPr>
      <w:r>
        <w:t xml:space="preserve">Discuss with other personnel interesting cases or famous Individuals, unless there is a job-related reason for doing so.</w:t>
      </w:r>
    </w:p>
    <w:p>
      <w:pPr>
        <w:numPr>
          <w:ilvl w:val="0"/>
          <w:numId w:val="1025"/>
        </w:numPr>
      </w:pPr>
      <w:r>
        <w:t xml:space="preserve">Discuss any Individual with family members or friends.</w:t>
      </w:r>
    </w:p>
    <w:p>
      <w:pPr>
        <w:numPr>
          <w:ilvl w:val="0"/>
          <w:numId w:val="1025"/>
        </w:numPr>
      </w:pPr>
      <w:r>
        <w:t xml:space="preserve">Discuss Individuals in public areas, such as elevators or the cafeteria.</w:t>
      </w:r>
    </w:p>
    <w:bookmarkStart w:id="15" w:name="Xd12b3ae5d649936e6cf015ef46afaaa4edb70d4"/>
    <w:p>
      <w:pPr>
        <w:pStyle w:val="Heading4"/>
      </w:pPr>
      <w:r>
        <w:t xml:space="preserve">b. Routine or Recurring Disclosures or Requests of PHI</w:t>
      </w:r>
    </w:p>
    <w:p>
      <w:pPr>
        <w:numPr>
          <w:ilvl w:val="0"/>
          <w:numId w:val="1027"/>
        </w:numPr>
      </w:pPr>
      <w:r>
        <w:t xml:space="preserve">Company will not make a detailed determination about the propriety of each and every routine or recurring disclosure. Additionally, Company may reasonably rely on the assumption that a requested disclosure meets the Minimum Necessary Rule in the following circumstances:</w:t>
      </w:r>
    </w:p>
    <w:p>
      <w:pPr>
        <w:numPr>
          <w:ilvl w:val="0"/>
          <w:numId w:val="1027"/>
        </w:numPr>
      </w:pPr>
      <w:r>
        <w:t xml:space="preserve">Requests from public officials;</w:t>
      </w:r>
    </w:p>
    <w:p>
      <w:pPr>
        <w:numPr>
          <w:ilvl w:val="0"/>
          <w:numId w:val="1027"/>
        </w:numPr>
      </w:pPr>
      <w:r>
        <w:t xml:space="preserve">Requests from other covered entities;</w:t>
      </w:r>
    </w:p>
    <w:p>
      <w:pPr>
        <w:numPr>
          <w:ilvl w:val="0"/>
          <w:numId w:val="1027"/>
        </w:numPr>
      </w:pPr>
      <w:r>
        <w:t xml:space="preserve">Requests from business associates that are consistent with the services provided by the business associate; or</w:t>
      </w:r>
    </w:p>
    <w:p>
      <w:pPr>
        <w:numPr>
          <w:ilvl w:val="0"/>
          <w:numId w:val="1027"/>
        </w:numPr>
      </w:pPr>
      <w:r>
        <w:t xml:space="preserve">Researchers who have provided appropriate representations.</w:t>
      </w:r>
    </w:p>
    <w:bookmarkEnd w:id="15"/>
    <w:bookmarkStart w:id="16" w:name="X34d6cfea5e640a1e97b7eed39d0076c35dfc090"/>
    <w:p>
      <w:pPr>
        <w:pStyle w:val="Heading4"/>
      </w:pPr>
      <w:r>
        <w:t xml:space="preserve">c. Nonroutine or Nonrecurring Disclosures of, or Requests for, PHI</w:t>
      </w:r>
    </w:p>
    <w:p>
      <w:pPr>
        <w:pStyle w:val="Compact"/>
        <w:numPr>
          <w:ilvl w:val="0"/>
          <w:numId w:val="1028"/>
        </w:numPr>
      </w:pPr>
      <w:r>
        <w:t xml:space="preserve">For nonroutine or nonrecurring disclosures of or requests for PHI, Company must review each disclosure or request on a case-by-case basis. In each instance, Company must determine whether the minimum amount of PHI is being disclosed or requested. The criteria which Company will consider in evaluating each disclosure or request will include:</w:t>
      </w:r>
    </w:p>
    <w:p>
      <w:pPr>
        <w:pStyle w:val="Compact"/>
        <w:numPr>
          <w:ilvl w:val="1"/>
          <w:numId w:val="1029"/>
        </w:numPr>
      </w:pPr>
      <w:r>
        <w:t xml:space="preserve">The purpose of the disclosure/request;</w:t>
      </w:r>
    </w:p>
    <w:p>
      <w:pPr>
        <w:pStyle w:val="Compact"/>
        <w:numPr>
          <w:ilvl w:val="1"/>
          <w:numId w:val="1029"/>
        </w:numPr>
      </w:pPr>
      <w:r>
        <w:t xml:space="preserve">The type of PHI to be disclosed or requested (e.g., whether it unnecessarily includes particularly sensitive information such as a diagnosis or Social Security number);</w:t>
      </w:r>
    </w:p>
    <w:p>
      <w:pPr>
        <w:pStyle w:val="Compact"/>
        <w:numPr>
          <w:ilvl w:val="1"/>
          <w:numId w:val="1029"/>
        </w:numPr>
      </w:pPr>
      <w:r>
        <w:t xml:space="preserve">The minimum amount of PHI necessary to achieve the purpose of the disclosure or request;</w:t>
      </w:r>
    </w:p>
    <w:p>
      <w:pPr>
        <w:pStyle w:val="Compact"/>
        <w:numPr>
          <w:ilvl w:val="1"/>
          <w:numId w:val="1029"/>
        </w:numPr>
      </w:pPr>
      <w:r>
        <w:t xml:space="preserve">The amount of PHI requested for disclosure;</w:t>
      </w:r>
    </w:p>
    <w:p>
      <w:pPr>
        <w:pStyle w:val="Compact"/>
        <w:numPr>
          <w:ilvl w:val="1"/>
          <w:numId w:val="1029"/>
        </w:numPr>
      </w:pPr>
      <w:r>
        <w:t xml:space="preserve">The individuals/entities to whom a disclosure or request will be made;</w:t>
      </w:r>
    </w:p>
    <w:p>
      <w:pPr>
        <w:pStyle w:val="Compact"/>
        <w:numPr>
          <w:ilvl w:val="1"/>
          <w:numId w:val="1029"/>
        </w:numPr>
      </w:pPr>
      <w:r>
        <w:t xml:space="preserve">The time frame for the disclosure or request; and</w:t>
      </w:r>
    </w:p>
    <w:p>
      <w:pPr>
        <w:pStyle w:val="Compact"/>
        <w:numPr>
          <w:ilvl w:val="1"/>
          <w:numId w:val="1029"/>
        </w:numPr>
      </w:pPr>
      <w:r>
        <w:t xml:space="preserve">Any specific considerations.</w:t>
      </w:r>
      <w:r>
        <w:t xml:space="preserve"> </w:t>
      </w:r>
      <w:r>
        <w:t xml:space="preserve">### IV. References</w:t>
      </w:r>
    </w:p>
    <w:p>
      <w:pPr>
        <w:pStyle w:val="Compact"/>
        <w:numPr>
          <w:ilvl w:val="0"/>
          <w:numId w:val="1028"/>
        </w:numPr>
      </w:pPr>
      <w:r>
        <w:t xml:space="preserve">45 C.F.R. §§ 164.502(b) &amp; 164.514(d)</w:t>
      </w:r>
    </w:p>
    <w:p>
      <w:pPr>
        <w:pStyle w:val="Compact"/>
        <w:numPr>
          <w:ilvl w:val="0"/>
          <w:numId w:val="1028"/>
        </w:numPr>
      </w:pPr>
      <w:r>
        <w:t xml:space="preserve">U.S. Department of Health and Human Services, “Protecting the Privacy of Patients’ Health Information,” (July 6, 2001)</w:t>
      </w:r>
    </w:p>
    <w:p>
      <w:r>
        <w:pict>
          <v:rect style="width:0;height:1.5pt" o:hralign="center" o:hrstd="t" o:hr="t"/>
        </w:pict>
      </w:r>
    </w:p>
    <w:bookmarkEnd w:id="16"/>
    <w:bookmarkEnd w:id="17"/>
    <w:bookmarkEnd w:id="18"/>
    <w:bookmarkStart w:id="23" w:name="X1571b93fe0545150f20e5cd6d861694e4daebd4"/>
    <w:p>
      <w:pPr>
        <w:pStyle w:val="Heading2"/>
      </w:pPr>
      <w:r>
        <w:t xml:space="preserve">III. De-Identifying &amp; Re-Identifying PHI + Limited Data Sets</w:t>
      </w:r>
    </w:p>
    <w:p>
      <w:pPr>
        <w:pStyle w:val="FirstParagraph"/>
      </w:pPr>
      <w:r>
        <w:rPr>
          <w:i/>
          <w:iCs/>
        </w:rPr>
        <w:t xml:space="preserve">Originally:</w:t>
      </w:r>
      <w:r>
        <w:rPr>
          <w:i/>
          <w:iCs/>
        </w:rPr>
        <w:t xml:space="preserve"> </w:t>
      </w:r>
      <w:r>
        <w:rPr>
          <w:rStyle w:val="VerbatimChar"/>
          <w:i/>
          <w:iCs/>
        </w:rPr>
        <w:t xml:space="preserve">03e HIPAA - De-Identifying and Re-Identifying PHI and Creation of Limited Data Sets Policy.md</w:t>
      </w:r>
      <w:r>
        <w:rPr>
          <w:i/>
          <w:iCs/>
        </w:rPr>
        <w:t xml:space="preserve"> </w:t>
      </w:r>
      <w:r>
        <w:rPr>
          <w:i/>
          <w:iCs/>
        </w:rPr>
        <w:t xml:space="preserve">(Policy # L-005). Preserved verbatim below.</w:t>
      </w:r>
    </w:p>
    <w:bookmarkStart w:id="19"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9"/>
    <w:bookmarkStart w:id="22" w:name="ii.-policy-2"/>
    <w:p>
      <w:pPr>
        <w:pStyle w:val="Heading3"/>
      </w:pPr>
      <w:r>
        <w:t xml:space="preserve">II. Policy</w:t>
      </w:r>
    </w:p>
    <w:p>
      <w:pPr>
        <w:pStyle w:val="Compact"/>
        <w:numPr>
          <w:ilvl w:val="0"/>
          <w:numId w:val="1030"/>
        </w:numPr>
      </w:pPr>
      <w:r>
        <w:t xml:space="preserve">Company is required by law to maintain the confidentiality and privacy of PHI. This Policy explains how Company de-identifies PHI so that it is not subject to HIPAA. This Policy also explains the circumstances pursuant to which de-identified health information may be re-identified by Company or third parties. Finally, this Policy explains (i) the method by which a limited data set can be created and (ii) the circumstances under which limited data sets can be used and disclosed for research, public health and Health Care Operations purposes.</w:t>
      </w:r>
      <w:r>
        <w:t xml:space="preserve"> </w:t>
      </w:r>
      <w:r>
        <w:t xml:space="preserve">### III. Procedure</w:t>
      </w:r>
      <w:r>
        <w:t xml:space="preserve"> </w:t>
      </w:r>
      <w:r>
        <w:t xml:space="preserve">#### a. De-Identified Health Information</w:t>
      </w:r>
    </w:p>
    <w:p>
      <w:pPr>
        <w:pStyle w:val="Compact"/>
        <w:numPr>
          <w:ilvl w:val="0"/>
          <w:numId w:val="1030"/>
        </w:numPr>
      </w:pPr>
      <w:r>
        <w:t xml:space="preserve">All PHI which has been “de-identified” (as described below) can be used or disclosed without complying with HIPAA. Information is considered de-identified if it does not directly or indirectly identify an Individual.</w:t>
      </w:r>
    </w:p>
    <w:p>
      <w:pPr>
        <w:pStyle w:val="Compact"/>
        <w:numPr>
          <w:ilvl w:val="0"/>
          <w:numId w:val="1030"/>
        </w:numPr>
      </w:pPr>
      <w:r>
        <w:t xml:space="preserve">Any individual or department wishing to create or utilize de-identified information should contact the Chief Privacy Officer, who will ensure one of the two following HIPAA-compliant de-identification methodologies is properly followed.</w:t>
      </w:r>
    </w:p>
    <w:p>
      <w:pPr>
        <w:pStyle w:val="Compact"/>
        <w:numPr>
          <w:ilvl w:val="1"/>
          <w:numId w:val="1031"/>
        </w:numPr>
      </w:pPr>
    </w:p>
    <w:p>
      <w:pPr>
        <w:pStyle w:val="Compact"/>
        <w:numPr>
          <w:ilvl w:val="2"/>
          <w:numId w:val="1032"/>
        </w:numPr>
      </w:pPr>
      <w:r>
        <w:t xml:space="preserve">A person or entity with appropriate knowledge of generally accepted statistical and scientific principles and methods for rendering information anonymous is engaged to determine that (i) the risk is very small that the information could be used (alone or in combination with other reasonably available information) by an anticipated recipient to identify an Individual, and (ii) documents the basis for such determination; or</w:t>
      </w:r>
    </w:p>
    <w:p>
      <w:pPr>
        <w:pStyle w:val="Compact"/>
        <w:numPr>
          <w:ilvl w:val="2"/>
          <w:numId w:val="1032"/>
        </w:numPr>
      </w:pPr>
      <w:r>
        <w:t xml:space="preserve">All the following identifiers of the Individual, as well as relatives, employers or household members of the Individual, have been properly removed from the information:</w:t>
      </w:r>
    </w:p>
    <w:p>
      <w:pPr>
        <w:pStyle w:val="Compact"/>
        <w:numPr>
          <w:ilvl w:val="3"/>
          <w:numId w:val="1033"/>
        </w:numPr>
      </w:pPr>
      <w:r>
        <w:t xml:space="preserve">Names;</w:t>
      </w:r>
    </w:p>
    <w:p>
      <w:pPr>
        <w:pStyle w:val="Compact"/>
        <w:numPr>
          <w:ilvl w:val="3"/>
          <w:numId w:val="1033"/>
        </w:numPr>
      </w:pPr>
      <w:r>
        <w:t xml:space="preserve">All geographic subdivisions smaller than a state, including street address, city, county, precinct, zip code and their equivalent geocodes (except for the initial three digits of a zip code if the geographic unit formed by such three digits contains more than 20,000 people);</w:t>
      </w:r>
    </w:p>
    <w:p>
      <w:pPr>
        <w:pStyle w:val="Compact"/>
        <w:numPr>
          <w:ilvl w:val="3"/>
          <w:numId w:val="1033"/>
        </w:numPr>
      </w:pPr>
      <w:r>
        <w:rPr>
          <w:i/>
          <w:iCs/>
        </w:rPr>
        <w:t xml:space="preserve">Except for calendar years</w:t>
      </w:r>
      <w:r>
        <w:t xml:space="preserve">, all dates related to an Individual such as birth date, admission date, discharge date or date of death, provided, however, that all Individuals over 89 years of age may only be aggregated into a single category of age 90 or older and may not be categorized by calendar year;</w:t>
      </w:r>
    </w:p>
    <w:p>
      <w:pPr>
        <w:pStyle w:val="Compact"/>
        <w:numPr>
          <w:ilvl w:val="3"/>
          <w:numId w:val="1033"/>
        </w:numPr>
      </w:pPr>
      <w:r>
        <w:t xml:space="preserve">Telephone numbers;</w:t>
      </w:r>
    </w:p>
    <w:p>
      <w:pPr>
        <w:pStyle w:val="Compact"/>
        <w:numPr>
          <w:ilvl w:val="3"/>
          <w:numId w:val="1033"/>
        </w:numPr>
      </w:pPr>
      <w:r>
        <w:t xml:space="preserve">Fax numbers;</w:t>
      </w:r>
    </w:p>
    <w:p>
      <w:pPr>
        <w:pStyle w:val="Compact"/>
        <w:numPr>
          <w:ilvl w:val="3"/>
          <w:numId w:val="1033"/>
        </w:numPr>
      </w:pPr>
      <w:r>
        <w:t xml:space="preserve">Email addresses;</w:t>
      </w:r>
    </w:p>
    <w:p>
      <w:pPr>
        <w:pStyle w:val="Compact"/>
        <w:numPr>
          <w:ilvl w:val="3"/>
          <w:numId w:val="1033"/>
        </w:numPr>
      </w:pPr>
      <w:r>
        <w:t xml:space="preserve">Social Security numbers;</w:t>
      </w:r>
    </w:p>
    <w:p>
      <w:pPr>
        <w:pStyle w:val="Compact"/>
        <w:numPr>
          <w:ilvl w:val="3"/>
          <w:numId w:val="1033"/>
        </w:numPr>
      </w:pPr>
      <w:r>
        <w:t xml:space="preserve">Medical record numbers;</w:t>
      </w:r>
    </w:p>
    <w:p>
      <w:pPr>
        <w:pStyle w:val="Compact"/>
        <w:numPr>
          <w:ilvl w:val="3"/>
          <w:numId w:val="1033"/>
        </w:numPr>
      </w:pPr>
      <w:r>
        <w:t xml:space="preserve">Health plan beneficiary numbers;</w:t>
      </w:r>
    </w:p>
    <w:p>
      <w:pPr>
        <w:pStyle w:val="Compact"/>
        <w:numPr>
          <w:ilvl w:val="3"/>
          <w:numId w:val="1033"/>
        </w:numPr>
      </w:pPr>
      <w:r>
        <w:t xml:space="preserve">Account numbers;</w:t>
      </w:r>
    </w:p>
    <w:p>
      <w:pPr>
        <w:pStyle w:val="Compact"/>
        <w:numPr>
          <w:ilvl w:val="3"/>
          <w:numId w:val="1033"/>
        </w:numPr>
      </w:pPr>
      <w:r>
        <w:t xml:space="preserve">Certificate/license numbers;</w:t>
      </w:r>
    </w:p>
    <w:p>
      <w:pPr>
        <w:pStyle w:val="Compact"/>
        <w:numPr>
          <w:ilvl w:val="3"/>
          <w:numId w:val="1033"/>
        </w:numPr>
      </w:pPr>
      <w:r>
        <w:t xml:space="preserve">Vehicle identifiers and serial numbers, including license plate numbers;</w:t>
      </w:r>
    </w:p>
    <w:p>
      <w:pPr>
        <w:pStyle w:val="Compact"/>
        <w:numPr>
          <w:ilvl w:val="3"/>
          <w:numId w:val="1033"/>
        </w:numPr>
      </w:pPr>
      <w:r>
        <w:t xml:space="preserve">Device identifiers and serial numbers;</w:t>
      </w:r>
    </w:p>
    <w:p>
      <w:pPr>
        <w:pStyle w:val="Compact"/>
        <w:numPr>
          <w:ilvl w:val="3"/>
          <w:numId w:val="1033"/>
        </w:numPr>
      </w:pPr>
      <w:r>
        <w:t xml:space="preserve">Web Universal Resource Locators (URLs);</w:t>
      </w:r>
    </w:p>
    <w:p>
      <w:pPr>
        <w:pStyle w:val="Compact"/>
        <w:numPr>
          <w:ilvl w:val="3"/>
          <w:numId w:val="1033"/>
        </w:numPr>
      </w:pPr>
      <w:r>
        <w:t xml:space="preserve">Internet protocol (IP) address numbers;</w:t>
      </w:r>
    </w:p>
    <w:p>
      <w:pPr>
        <w:pStyle w:val="Compact"/>
        <w:numPr>
          <w:ilvl w:val="3"/>
          <w:numId w:val="1033"/>
        </w:numPr>
      </w:pPr>
      <w:r>
        <w:t xml:space="preserve">Biometric identifiers, including fingerprints and voiceprints;</w:t>
      </w:r>
    </w:p>
    <w:p>
      <w:pPr>
        <w:pStyle w:val="Compact"/>
        <w:numPr>
          <w:ilvl w:val="3"/>
          <w:numId w:val="1033"/>
        </w:numPr>
      </w:pPr>
      <w:r>
        <w:t xml:space="preserve">Full-face photographic images and any comparable images; and</w:t>
      </w:r>
    </w:p>
    <w:p>
      <w:pPr>
        <w:pStyle w:val="Compact"/>
        <w:numPr>
          <w:ilvl w:val="3"/>
          <w:numId w:val="1033"/>
        </w:numPr>
      </w:pPr>
      <w:r>
        <w:t xml:space="preserve">Any other unique identifying number, characteristic or code (excluding the re-identification code described below).</w:t>
      </w:r>
    </w:p>
    <w:p>
      <w:pPr>
        <w:pStyle w:val="FirstParagraph"/>
      </w:pPr>
      <w:r>
        <w:t xml:space="preserve">Company requires that any information de-identified in this manner is approved by the Chief Privacy Officer or his/her designee prior to use or disclosure.</w:t>
      </w:r>
    </w:p>
    <w:bookmarkStart w:id="20" w:name="b.-re-identifying-de-identified-phi"/>
    <w:p>
      <w:pPr>
        <w:pStyle w:val="Heading4"/>
      </w:pPr>
      <w:r>
        <w:t xml:space="preserve">b. Re-Identifying De-Identified PHI</w:t>
      </w:r>
    </w:p>
    <w:p>
      <w:pPr>
        <w:pStyle w:val="Compact"/>
        <w:numPr>
          <w:ilvl w:val="0"/>
          <w:numId w:val="1034"/>
        </w:numPr>
      </w:pPr>
      <w:r>
        <w:t xml:space="preserve">Company may, at its discretion, decode or translate de-identified information in order to re-identify the information with respect to a specific Individual. Before any information is de-identified,the Chief Privacy Officer will determine whether a re-identification code is necessary. In creating a re-identification code, the following requirements must be met:</w:t>
      </w:r>
    </w:p>
    <w:p>
      <w:pPr>
        <w:pStyle w:val="Compact"/>
        <w:numPr>
          <w:ilvl w:val="1"/>
          <w:numId w:val="1035"/>
        </w:numPr>
      </w:pPr>
    </w:p>
    <w:p>
      <w:pPr>
        <w:pStyle w:val="Compact"/>
        <w:numPr>
          <w:ilvl w:val="2"/>
          <w:numId w:val="1036"/>
        </w:numPr>
      </w:pPr>
      <w:r>
        <w:t xml:space="preserve">The re-identification process must be performed in a secure manner so that no one other than Company can re-identify such information.</w:t>
      </w:r>
    </w:p>
    <w:p>
      <w:pPr>
        <w:pStyle w:val="Compact"/>
        <w:numPr>
          <w:ilvl w:val="2"/>
          <w:numId w:val="1036"/>
        </w:numPr>
      </w:pPr>
      <w:r>
        <w:t xml:space="preserve">The code, algorithm, table or other tool for re-identification may not be disclosed to any third party or used for any purpose other than re-identification by Company.</w:t>
      </w:r>
    </w:p>
    <w:p>
      <w:pPr>
        <w:pStyle w:val="Compact"/>
        <w:numPr>
          <w:ilvl w:val="2"/>
          <w:numId w:val="1036"/>
        </w:numPr>
      </w:pPr>
      <w:r>
        <w:t xml:space="preserve">The re-identification process utilized must be incapable of being translated or decoded by a third party so as to identify the Individual (e.g., the code cannot be a derivative of the Individual’s name).</w:t>
      </w:r>
    </w:p>
    <w:p>
      <w:pPr>
        <w:pStyle w:val="FirstParagraph"/>
      </w:pPr>
      <w:r>
        <w:t xml:space="preserve">Company requires that any re-identification code be approved by the Chief Privacy Officer prior to use or disclosure. Prior to re-identification of any information, a proper plan must be developed to ensure HIPAA-compliant protection of information subsequent to re-identification</w:t>
      </w:r>
    </w:p>
    <w:bookmarkEnd w:id="20"/>
    <w:bookmarkStart w:id="21" w:name="c.-limited-data-sets"/>
    <w:p>
      <w:pPr>
        <w:pStyle w:val="Heading4"/>
      </w:pPr>
      <w:r>
        <w:t xml:space="preserve">c. Limited Data Sets</w:t>
      </w:r>
    </w:p>
    <w:p>
      <w:pPr>
        <w:numPr>
          <w:ilvl w:val="0"/>
          <w:numId w:val="1037"/>
        </w:numPr>
      </w:pPr>
      <w:r>
        <w:t xml:space="preserve">Limited data sets of PHI may be used and disclosed only for research, public health and Health Care Operations purposes. Each limited data set must exclude all the identifiers listed below and may be disclosed only after obtaining from the recipient a data use agreement as described below.</w:t>
      </w:r>
    </w:p>
    <w:p>
      <w:pPr>
        <w:numPr>
          <w:ilvl w:val="0"/>
          <w:numId w:val="1037"/>
        </w:numPr>
      </w:pPr>
      <w:r>
        <w:t xml:space="preserve">A limited data set is a set of PHI from which all the following direct identifiers of the Individual, as well as relatives, employers or household members of the Individual, have been removed:</w:t>
      </w:r>
    </w:p>
    <w:p>
      <w:pPr>
        <w:pStyle w:val="Compact"/>
        <w:numPr>
          <w:ilvl w:val="1"/>
          <w:numId w:val="1038"/>
        </w:numPr>
      </w:pPr>
    </w:p>
    <w:p>
      <w:pPr>
        <w:pStyle w:val="Compact"/>
        <w:numPr>
          <w:ilvl w:val="2"/>
          <w:numId w:val="1039"/>
        </w:numPr>
      </w:pPr>
      <w:r>
        <w:t xml:space="preserve">Names;</w:t>
      </w:r>
    </w:p>
    <w:p>
      <w:pPr>
        <w:pStyle w:val="Compact"/>
        <w:numPr>
          <w:ilvl w:val="2"/>
          <w:numId w:val="1039"/>
        </w:numPr>
      </w:pPr>
      <w:r>
        <w:t xml:space="preserve">Postal address information, other than town or city, state, and zip code;</w:t>
      </w:r>
    </w:p>
    <w:p>
      <w:pPr>
        <w:pStyle w:val="Compact"/>
        <w:numPr>
          <w:ilvl w:val="2"/>
          <w:numId w:val="1039"/>
        </w:numPr>
      </w:pPr>
      <w:r>
        <w:t xml:space="preserve">Telephone numbers;</w:t>
      </w:r>
    </w:p>
    <w:p>
      <w:pPr>
        <w:pStyle w:val="Compact"/>
        <w:numPr>
          <w:ilvl w:val="2"/>
          <w:numId w:val="1039"/>
        </w:numPr>
      </w:pPr>
      <w:r>
        <w:t xml:space="preserve">Fax numbers;</w:t>
      </w:r>
    </w:p>
    <w:p>
      <w:pPr>
        <w:pStyle w:val="Compact"/>
        <w:numPr>
          <w:ilvl w:val="2"/>
          <w:numId w:val="1039"/>
        </w:numPr>
      </w:pPr>
      <w:r>
        <w:t xml:space="preserve">Email addresses;</w:t>
      </w:r>
    </w:p>
    <w:p>
      <w:pPr>
        <w:pStyle w:val="Compact"/>
        <w:numPr>
          <w:ilvl w:val="2"/>
          <w:numId w:val="1039"/>
        </w:numPr>
      </w:pPr>
      <w:r>
        <w:t xml:space="preserve">Social Security numbers;</w:t>
      </w:r>
    </w:p>
    <w:p>
      <w:pPr>
        <w:pStyle w:val="Compact"/>
        <w:numPr>
          <w:ilvl w:val="2"/>
          <w:numId w:val="1039"/>
        </w:numPr>
      </w:pPr>
      <w:r>
        <w:t xml:space="preserve">Medical record numbers;</w:t>
      </w:r>
    </w:p>
    <w:p>
      <w:pPr>
        <w:pStyle w:val="Compact"/>
        <w:numPr>
          <w:ilvl w:val="2"/>
          <w:numId w:val="1039"/>
        </w:numPr>
      </w:pPr>
      <w:r>
        <w:t xml:space="preserve">Health plan beneficiary numbers;</w:t>
      </w:r>
    </w:p>
    <w:p>
      <w:pPr>
        <w:pStyle w:val="Compact"/>
        <w:numPr>
          <w:ilvl w:val="2"/>
          <w:numId w:val="1039"/>
        </w:numPr>
      </w:pPr>
      <w:r>
        <w:t xml:space="preserve">Account numbers;</w:t>
      </w:r>
    </w:p>
    <w:p>
      <w:pPr>
        <w:pStyle w:val="Compact"/>
        <w:numPr>
          <w:ilvl w:val="2"/>
          <w:numId w:val="1039"/>
        </w:numPr>
      </w:pPr>
      <w:r>
        <w:t xml:space="preserve">Certificate/license numbers;</w:t>
      </w:r>
    </w:p>
    <w:p>
      <w:pPr>
        <w:pStyle w:val="Compact"/>
        <w:numPr>
          <w:ilvl w:val="2"/>
          <w:numId w:val="1039"/>
        </w:numPr>
      </w:pPr>
      <w:r>
        <w:t xml:space="preserve">Vehicle identifiers and serial numbers, including license plate numbers;</w:t>
      </w:r>
    </w:p>
    <w:p>
      <w:pPr>
        <w:pStyle w:val="Compact"/>
        <w:numPr>
          <w:ilvl w:val="2"/>
          <w:numId w:val="1039"/>
        </w:numPr>
      </w:pPr>
      <w:r>
        <w:t xml:space="preserve">Device identifiers and serial numbers;</w:t>
      </w:r>
    </w:p>
    <w:p>
      <w:pPr>
        <w:pStyle w:val="Compact"/>
        <w:numPr>
          <w:ilvl w:val="2"/>
          <w:numId w:val="1039"/>
        </w:numPr>
      </w:pPr>
      <w:r>
        <w:t xml:space="preserve">Web Universal Resource Locators (URLs);</w:t>
      </w:r>
    </w:p>
    <w:p>
      <w:pPr>
        <w:pStyle w:val="Compact"/>
        <w:numPr>
          <w:ilvl w:val="2"/>
          <w:numId w:val="1039"/>
        </w:numPr>
      </w:pPr>
      <w:r>
        <w:t xml:space="preserve">Internet protocol (IP) address numbers;</w:t>
      </w:r>
    </w:p>
    <w:p>
      <w:pPr>
        <w:pStyle w:val="Compact"/>
        <w:numPr>
          <w:ilvl w:val="2"/>
          <w:numId w:val="1039"/>
        </w:numPr>
      </w:pPr>
      <w:r>
        <w:t xml:space="preserve">Biometric identifiers, including fingerprints and voiceprints; and</w:t>
      </w:r>
    </w:p>
    <w:p>
      <w:pPr>
        <w:pStyle w:val="Compact"/>
        <w:numPr>
          <w:ilvl w:val="2"/>
          <w:numId w:val="1039"/>
        </w:numPr>
      </w:pPr>
      <w:r>
        <w:t xml:space="preserve">Full-face photographic images and any comparable images.</w:t>
      </w:r>
    </w:p>
    <w:p>
      <w:pPr>
        <w:numPr>
          <w:ilvl w:val="0"/>
          <w:numId w:val="1037"/>
        </w:numPr>
      </w:pPr>
      <w:r>
        <w:t xml:space="preserve">Any individual who wishes to create a limited data set shall notify the Chief Privacy Officer, who shall work with the individual to ensure one of the following is accomplished:</w:t>
      </w:r>
    </w:p>
    <w:p>
      <w:pPr>
        <w:pStyle w:val="Compact"/>
        <w:numPr>
          <w:ilvl w:val="1"/>
          <w:numId w:val="1040"/>
        </w:numPr>
      </w:pPr>
    </w:p>
    <w:p>
      <w:pPr>
        <w:pStyle w:val="Compact"/>
        <w:numPr>
          <w:ilvl w:val="2"/>
          <w:numId w:val="1041"/>
        </w:numPr>
      </w:pPr>
      <w:r>
        <w:t xml:space="preserve">The individual properly removes all the identifiers listed above from the PHI; or</w:t>
      </w:r>
    </w:p>
    <w:p>
      <w:pPr>
        <w:pStyle w:val="Compact"/>
        <w:numPr>
          <w:ilvl w:val="2"/>
          <w:numId w:val="1041"/>
        </w:numPr>
      </w:pPr>
      <w:r>
        <w:t xml:space="preserve">The individual properly removes all the identifiers listed above from the PHI.</w:t>
      </w:r>
      <w:r>
        <w:t xml:space="preserve"> </w:t>
      </w:r>
      <w:r>
        <w:t xml:space="preserve">#### d. Data use Agreement</w:t>
      </w:r>
    </w:p>
    <w:p>
      <w:pPr>
        <w:numPr>
          <w:ilvl w:val="0"/>
          <w:numId w:val="1037"/>
        </w:numPr>
      </w:pPr>
      <w:r>
        <w:t xml:space="preserve">Prior to disclosing a limited data set (created in compliance with the provisions above) to any recipient, a data use agreement must be obtained from the intended recipient. The data use agreement will list the purposes for which the recipient of the limited data set can use the information and provide Company with satisfactory assurance that the recipient of the limited data set will use or disclose the Individual’s information only for the purposes listed.</w:t>
      </w:r>
    </w:p>
    <w:p>
      <w:pPr>
        <w:numPr>
          <w:ilvl w:val="0"/>
          <w:numId w:val="1037"/>
        </w:numPr>
      </w:pPr>
      <w:r>
        <w:t xml:space="preserve">Each data use agreement must contain the following:</w:t>
      </w:r>
    </w:p>
    <w:p>
      <w:pPr>
        <w:pStyle w:val="Compact"/>
        <w:numPr>
          <w:ilvl w:val="1"/>
          <w:numId w:val="1042"/>
        </w:numPr>
      </w:pPr>
    </w:p>
    <w:p>
      <w:pPr>
        <w:pStyle w:val="Compact"/>
        <w:numPr>
          <w:ilvl w:val="2"/>
          <w:numId w:val="1043"/>
        </w:numPr>
      </w:pPr>
      <w:r>
        <w:t xml:space="preserve">A statement indicating whether the limited data set was created for research, public health or Health Care Operations;</w:t>
      </w:r>
    </w:p>
    <w:p>
      <w:pPr>
        <w:pStyle w:val="Compact"/>
        <w:numPr>
          <w:ilvl w:val="2"/>
          <w:numId w:val="1043"/>
        </w:numPr>
      </w:pPr>
      <w:r>
        <w:t xml:space="preserve">A statement of the purposes for which the recipient can use or disclose the Individual’s information being provided in the limited data set, which purposes must be consistent with the reason the data use set was originally created in III(d)(i);</w:t>
      </w:r>
    </w:p>
    <w:p>
      <w:pPr>
        <w:pStyle w:val="Compact"/>
        <w:numPr>
          <w:ilvl w:val="2"/>
          <w:numId w:val="1043"/>
        </w:numPr>
      </w:pPr>
      <w:r>
        <w:t xml:space="preserve">A list of the names of all individuals or entities being provided permission to receive the limited data set under the data use agreement;</w:t>
      </w:r>
    </w:p>
    <w:p>
      <w:pPr>
        <w:pStyle w:val="Compact"/>
        <w:numPr>
          <w:ilvl w:val="2"/>
          <w:numId w:val="1043"/>
        </w:numPr>
      </w:pPr>
      <w:r>
        <w:t xml:space="preserve">A statement that the recipient agrees not to use or further disclose the information in the limited data set other than as agreed to in the data use agreement or as required by law;</w:t>
      </w:r>
    </w:p>
    <w:p>
      <w:pPr>
        <w:pStyle w:val="Compact"/>
        <w:numPr>
          <w:ilvl w:val="2"/>
          <w:numId w:val="1043"/>
        </w:numPr>
      </w:pPr>
      <w:r>
        <w:t xml:space="preserve">A statement that the recipient agrees to use appropriate safeguards to prevent the use or disclosure of the Individual’s information in the limited data set in any manner other than as agreed to in the data use agreement;</w:t>
      </w:r>
    </w:p>
    <w:p>
      <w:pPr>
        <w:pStyle w:val="Compact"/>
        <w:numPr>
          <w:ilvl w:val="2"/>
          <w:numId w:val="1043"/>
        </w:numPr>
      </w:pPr>
      <w:r>
        <w:t xml:space="preserve">A statement that the recipient agrees to report to Company if it becomes aware of any use or disclosure of the Individual’s information in the limited data set outside of the agreed-upon uses in the limited data set;</w:t>
      </w:r>
    </w:p>
    <w:p>
      <w:pPr>
        <w:pStyle w:val="Compact"/>
        <w:numPr>
          <w:ilvl w:val="2"/>
          <w:numId w:val="1043"/>
        </w:numPr>
      </w:pPr>
      <w:r>
        <w:t xml:space="preserve">A statement that the recipient agrees to ensure any agents, including any subcontractors, to whom it provides the limited data set will follow the same restrictions and conditions with respect to the use, disclosure and protection of the data set;</w:t>
      </w:r>
    </w:p>
    <w:p>
      <w:pPr>
        <w:pStyle w:val="Compact"/>
        <w:numPr>
          <w:ilvl w:val="2"/>
          <w:numId w:val="1043"/>
        </w:numPr>
      </w:pPr>
      <w:r>
        <w:t xml:space="preserve">A statement that the recipient agrees not to identify the information in the limited data set or attempt to contact the Individuals; and</w:t>
      </w:r>
    </w:p>
    <w:p>
      <w:pPr>
        <w:pStyle w:val="Compact"/>
        <w:numPr>
          <w:ilvl w:val="2"/>
          <w:numId w:val="1043"/>
        </w:numPr>
      </w:pPr>
      <w:r>
        <w:t xml:space="preserve">A statement that Company can terminate the data use agreement and use of the limited data set by the recipient if it becomes aware of any pattern of behavior or activity or practice of the recipient which materially breaches or violates the data use agreement. The statement should further indicate Company will report any such breach or violation to the Secretary of the Department of Health &amp; Human Services.</w:t>
      </w:r>
    </w:p>
    <w:p>
      <w:pPr>
        <w:numPr>
          <w:ilvl w:val="0"/>
          <w:numId w:val="1037"/>
        </w:numPr>
      </w:pPr>
      <w:r>
        <w:t xml:space="preserve">All data use agreements must be approved by the Chief Privacy Officer prior to execution and disclosure of the related limited data set. A sample of a data use agreement is attached in Exhibit A.</w:t>
      </w:r>
    </w:p>
    <w:p>
      <w:pPr>
        <w:numPr>
          <w:ilvl w:val="0"/>
          <w:numId w:val="1037"/>
        </w:numPr>
      </w:pPr>
      <w:r>
        <w:t xml:space="preserve">Company requires that the individual continue to comply with Company’s Minimum Necessary Rule Policy in using and disclosing the information included in the limited data set.</w:t>
      </w:r>
      <w:r>
        <w:t xml:space="preserve"> </w:t>
      </w:r>
      <w:r>
        <w:t xml:space="preserve">### IV. References</w:t>
      </w:r>
    </w:p>
    <w:p>
      <w:pPr>
        <w:numPr>
          <w:ilvl w:val="0"/>
          <w:numId w:val="1037"/>
        </w:numPr>
      </w:pPr>
      <w:r>
        <w:t xml:space="preserve">45 C.F.R. §§ 164.502(d) &amp; 164.514(a)-(c) &amp; (e)</w:t>
      </w:r>
    </w:p>
    <w:p>
      <w:pPr>
        <w:pStyle w:val="FirstParagraph"/>
      </w:pPr>
      <w:r>
        <w:rPr>
          <w:b/>
          <w:bCs/>
        </w:rPr>
        <w:t xml:space="preserve">EXHIBIT A</w:t>
      </w:r>
    </w:p>
    <w:p>
      <w:pPr>
        <w:pStyle w:val="BodyText"/>
      </w:pPr>
      <w:r>
        <w:rPr>
          <w:b/>
          <w:bCs/>
        </w:rPr>
        <w:t xml:space="preserve">FORM OF DATA USE AGREEMENT</w:t>
      </w:r>
    </w:p>
    <w:p>
      <w:pPr>
        <w:pStyle w:val="BodyText"/>
      </w:pPr>
      <w:r>
        <w:rPr>
          <w:b/>
          <w:bCs/>
        </w:rPr>
        <w:t xml:space="preserve">This</w:t>
      </w:r>
      <w:r>
        <w:t xml:space="preserve"> </w:t>
      </w:r>
      <w:r>
        <w:rPr>
          <w:b/>
          <w:bCs/>
        </w:rPr>
        <w:t xml:space="preserve">Data Use Agreement</w:t>
      </w:r>
      <w:r>
        <w:t xml:space="preserve">, dated as of ____________, 20___ (Agreement), is by and between Company (Covered Entity) and</w:t>
      </w:r>
      <w:r>
        <w:t xml:space="preserve"> </w:t>
      </w:r>
      <w:r>
        <w:rPr>
          <w:b/>
          <w:bCs/>
        </w:rPr>
        <w:t xml:space="preserve">_________________________</w:t>
      </w:r>
      <w:r>
        <w:t xml:space="preserve"> </w:t>
      </w:r>
      <w:r>
        <w:t xml:space="preserve">(Recipient).</w:t>
      </w:r>
    </w:p>
    <w:p>
      <w:pPr>
        <w:pStyle w:val="BodyText"/>
      </w:pPr>
      <w:r>
        <w:t xml:space="preserve">WHEREAS, Covered Entity has created a Limited Data Set which contains PHI in full compliance with the federal Health Insurance Portability and Accountability Act of 1996, Pub. L. No. 104-191 (HIPAA) and related regulations promulgated by the Secretary (HIPAA Regulations) and specifically 45 CFR § 164.514(e).</w:t>
      </w:r>
    </w:p>
    <w:p>
      <w:pPr>
        <w:pStyle w:val="BodyText"/>
      </w:pPr>
      <w:r>
        <w:t xml:space="preserve">WHEREAS, Recipient desires to use and/or disclose the PHI in the Limited Data Set which was created by Covered Entity and is subject to protection under the HIPAA Regulations.</w:t>
      </w:r>
    </w:p>
    <w:p>
      <w:pPr>
        <w:pStyle w:val="BodyText"/>
      </w:pPr>
      <w:r>
        <w:t xml:space="preserve">WHEREAS, in light of the foregoing and the requirements of the HIPAA Regulations, Recipient and Covered Entity agree to be bound by the following terms and conditions:</w:t>
      </w:r>
    </w:p>
    <w:p>
      <w:pPr>
        <w:pStyle w:val="Compact"/>
        <w:numPr>
          <w:ilvl w:val="0"/>
          <w:numId w:val="1044"/>
        </w:numPr>
      </w:pPr>
      <w:r>
        <w:t xml:space="preserve">Definitions. Terms used, but not otherwise defined, in this Agreement shall have the same meaning as those terms in the Standards for Privacy of Individually Identifiable Health Information at 45 CFR part 160 and part 164, subparts A and E (Privacy Rule).</w:t>
      </w:r>
    </w:p>
    <w:p>
      <w:pPr>
        <w:pStyle w:val="Compact"/>
        <w:numPr>
          <w:ilvl w:val="1"/>
          <w:numId w:val="1045"/>
        </w:numPr>
      </w:pPr>
      <w:r>
        <w:t xml:space="preserve">PHI. “PHI” shall have the same meaning as the term “PHI” in 45 CFR 160.103, limited to the information created or received by Recipient from Covered Entity as part of the Limited Data Set.</w:t>
      </w:r>
    </w:p>
    <w:p>
      <w:pPr>
        <w:pStyle w:val="Compact"/>
        <w:numPr>
          <w:ilvl w:val="1"/>
          <w:numId w:val="1045"/>
        </w:numPr>
      </w:pPr>
      <w:r>
        <w:t xml:space="preserve">Required by Law. “Required by Law” shall have the same meaning as the term “required by law” in 45 CFR 164.103.</w:t>
      </w:r>
    </w:p>
    <w:p>
      <w:pPr>
        <w:pStyle w:val="Compact"/>
        <w:numPr>
          <w:ilvl w:val="0"/>
          <w:numId w:val="1044"/>
        </w:numPr>
      </w:pPr>
      <w:r>
        <w:t xml:space="preserve">Use and Disclosure.</w:t>
      </w:r>
    </w:p>
    <w:p>
      <w:pPr>
        <w:pStyle w:val="Compact"/>
        <w:numPr>
          <w:ilvl w:val="1"/>
          <w:numId w:val="1046"/>
        </w:numPr>
      </w:pPr>
      <w:r>
        <w:t xml:space="preserve">Purpose. Recipient agrees not to use or disclose the PHI in the Limited Data Set for purposes other than research, public health or Health Care Operations</w:t>
      </w:r>
      <w:r>
        <w:t xml:space="preserve"> </w:t>
      </w:r>
      <w:r>
        <w:rPr>
          <w:b/>
          <w:bCs/>
          <w:i/>
          <w:iCs/>
        </w:rPr>
        <w:t xml:space="preserve">[Indicate Correct Purpose]</w:t>
      </w:r>
      <w:r>
        <w:t xml:space="preserve"> </w:t>
      </w:r>
      <w:r>
        <w:t xml:space="preserve">and specifically only with respect to ______________________________________________________________________________</w:t>
      </w:r>
      <w:r>
        <w:t xml:space="preserve"> </w:t>
      </w:r>
      <w:r>
        <w:rPr>
          <w:b/>
          <w:bCs/>
          <w:i/>
          <w:iCs/>
        </w:rPr>
        <w:t xml:space="preserve">[Indicate Intended Use]</w:t>
      </w:r>
      <w:r>
        <w:t xml:space="preserve">. The Recipient has requested inclusion of and will utilize only the following elements in the Limited Data Set: __________________________________________________</w:t>
      </w:r>
      <w:r>
        <w:t xml:space="preserve"> </w:t>
      </w:r>
      <w:r>
        <w:rPr>
          <w:b/>
          <w:bCs/>
          <w:i/>
          <w:iCs/>
        </w:rPr>
        <w:t xml:space="preserve">[Indicate Specific Data Elements or Categories of Data Elements]</w:t>
      </w:r>
      <w:r>
        <w:t xml:space="preserve">. Recipient further agrees not to use or disclose the Limited Data Set other than as permitted or required by this Agreement or as Required by Law.</w:t>
      </w:r>
    </w:p>
    <w:p>
      <w:pPr>
        <w:pStyle w:val="Compact"/>
        <w:numPr>
          <w:ilvl w:val="1"/>
          <w:numId w:val="1046"/>
        </w:numPr>
      </w:pPr>
      <w:r>
        <w:t xml:space="preserve">Limitation. Except as otherwise limited in this Agreement, Recipient may use or disclose the Limited Data Set to perform functions, activities or services in connection with its research, public health or Health Care Operations function</w:t>
      </w:r>
      <w:r>
        <w:t xml:space="preserve"> </w:t>
      </w:r>
      <w:r>
        <w:rPr>
          <w:b/>
          <w:bCs/>
          <w:i/>
          <w:iCs/>
        </w:rPr>
        <w:t xml:space="preserve">[Indicate Correct Function]</w:t>
      </w:r>
      <w:r>
        <w:t xml:space="preserve">, provided that such use or disclosure would not violate the Privacy Rule if done by Covered Entity or Company’s Minimum Necessary Rule Policy.</w:t>
      </w:r>
    </w:p>
    <w:p>
      <w:pPr>
        <w:pStyle w:val="Compact"/>
        <w:numPr>
          <w:ilvl w:val="0"/>
          <w:numId w:val="1044"/>
        </w:numPr>
      </w:pPr>
      <w:r>
        <w:t xml:space="preserve">Authorized Users. The Limited Data Set shall be used or disclosed only by entities or persons authorized under this Agreement. Recipient represents and warrants that the following is a list of the persons within the Recipient who are authorized to use or disclose the Limited Data Set: ___________________________________________________________</w:t>
      </w:r>
      <w:r>
        <w:t xml:space="preserve"> </w:t>
      </w:r>
      <w:r>
        <w:t xml:space="preserve">_____________________________________________________________________________.</w:t>
      </w:r>
    </w:p>
    <w:p>
      <w:pPr>
        <w:pStyle w:val="Compact"/>
        <w:numPr>
          <w:ilvl w:val="0"/>
          <w:numId w:val="1044"/>
        </w:numPr>
      </w:pPr>
      <w:r>
        <w:t xml:space="preserve">Agents. Recipient agrees to ensure that any agent, including a subcontractor, to whom it provides the Limited Data Set agrees to the same restrictions and conditions that apply through this Data Use Agreement to Recipient with respect to such information. Recipient further agrees that each such agent shall enter into a Data Use Agreement substantially similar to this Agreement.</w:t>
      </w:r>
    </w:p>
    <w:p>
      <w:pPr>
        <w:pStyle w:val="Compact"/>
        <w:numPr>
          <w:ilvl w:val="0"/>
          <w:numId w:val="1044"/>
        </w:numPr>
      </w:pPr>
      <w:r>
        <w:t xml:space="preserve">Appropriate Safeguards. Recipient agrees to use appropriate safeguards to prevent use or disclosure of the Limited Data Set other than as provided for in this Agreement. Without limiting the generality of the foregoing, Recipient agrees to protect the integrity and confidentiality of any PHI it electronically exchanges with Covered Entity.</w:t>
      </w:r>
    </w:p>
    <w:p>
      <w:pPr>
        <w:pStyle w:val="Compact"/>
        <w:numPr>
          <w:ilvl w:val="0"/>
          <w:numId w:val="1044"/>
        </w:numPr>
      </w:pPr>
      <w:r>
        <w:t xml:space="preserve">Reporting. Recipient agrees to promptly report to Covered Entity any use or disclosure of the Limited Data Set not provided for by this Agreement of which it becomes aware.</w:t>
      </w:r>
    </w:p>
    <w:p>
      <w:pPr>
        <w:pStyle w:val="Compact"/>
        <w:numPr>
          <w:ilvl w:val="0"/>
          <w:numId w:val="1044"/>
        </w:numPr>
      </w:pPr>
      <w:r>
        <w:t xml:space="preserve">Protection of Individuals. The Recipient agrees that it will not identify any of the PHI provided to it in the Limited Data Set nor will it attempt to contact the Individuals whose PHI is included in the Limited Data Set.</w:t>
      </w:r>
    </w:p>
    <w:p>
      <w:pPr>
        <w:pStyle w:val="Compact"/>
        <w:numPr>
          <w:ilvl w:val="0"/>
          <w:numId w:val="1044"/>
        </w:numPr>
      </w:pPr>
      <w:r>
        <w:t xml:space="preserve">Permissible Requests by Covered Entity. Covered Entity shall not request Recipient to use or disclose PHI in any manner that would not be permissible under the Privacy Rule, if done by Covered Entity.</w:t>
      </w:r>
    </w:p>
    <w:p>
      <w:pPr>
        <w:pStyle w:val="Compact"/>
        <w:numPr>
          <w:ilvl w:val="0"/>
          <w:numId w:val="1044"/>
        </w:numPr>
      </w:pPr>
      <w:r>
        <w:t xml:space="preserve">Term and Termination.</w:t>
      </w:r>
    </w:p>
    <w:p>
      <w:pPr>
        <w:pStyle w:val="Compact"/>
        <w:numPr>
          <w:ilvl w:val="1"/>
          <w:numId w:val="1047"/>
        </w:numPr>
      </w:pPr>
      <w:r>
        <w:t xml:space="preserve">Term. This Agreement shall be effective as of the date set forth above, and shall terminate when all of the Limited Data Set provided by Covered Entity to Recipient, or created or received by Recipient on behalf of Covered Entity, is destroyed or returned to Covered Entity, or, if it is infeasible to return or destroy the Limited Data Set, protections are extended to such information, in accordance with the termination provisions in this section.</w:t>
      </w:r>
    </w:p>
    <w:p>
      <w:pPr>
        <w:pStyle w:val="Compact"/>
        <w:numPr>
          <w:ilvl w:val="1"/>
          <w:numId w:val="1047"/>
        </w:numPr>
      </w:pPr>
      <w:r>
        <w:t xml:space="preserve">Termination for Cause. Upon Covered Entity’s knowledge of a material breach by Recipient, Covered Entity shall:</w:t>
      </w:r>
    </w:p>
    <w:p>
      <w:pPr>
        <w:pStyle w:val="Compact"/>
        <w:numPr>
          <w:ilvl w:val="2"/>
          <w:numId w:val="1048"/>
        </w:numPr>
      </w:pPr>
      <w:r>
        <w:t xml:space="preserve">Provide an opportunity for Recipient to cure the breach or end the violation. If Recipient does not cure the breach or end the violation within the time specified by Covered Entity, Covered Entity shall terminate this Agreement.</w:t>
      </w:r>
    </w:p>
    <w:p>
      <w:pPr>
        <w:pStyle w:val="Compact"/>
        <w:numPr>
          <w:ilvl w:val="2"/>
          <w:numId w:val="1048"/>
        </w:numPr>
      </w:pPr>
      <w:r>
        <w:t xml:space="preserve">Immediately terminate this Agreement if Recipient has breached a material term of this Agreement and cure is not possible.</w:t>
      </w:r>
    </w:p>
    <w:p>
      <w:pPr>
        <w:pStyle w:val="Compact"/>
        <w:numPr>
          <w:ilvl w:val="2"/>
          <w:numId w:val="1048"/>
        </w:numPr>
      </w:pPr>
      <w:r>
        <w:t xml:space="preserve">If neither termination nor cure are feasible, Covered Entity shall report the violation to the Secretary of the Department of Health &amp; Human Services.</w:t>
      </w:r>
    </w:p>
    <w:p>
      <w:pPr>
        <w:pStyle w:val="Compact"/>
        <w:numPr>
          <w:ilvl w:val="1"/>
          <w:numId w:val="1047"/>
        </w:numPr>
      </w:pPr>
      <w:r>
        <w:t xml:space="preserve">Effect of Termination.</w:t>
      </w:r>
    </w:p>
    <w:p>
      <w:pPr>
        <w:pStyle w:val="Compact"/>
        <w:numPr>
          <w:ilvl w:val="2"/>
          <w:numId w:val="1049"/>
        </w:numPr>
      </w:pPr>
      <w:r>
        <w:t xml:space="preserve">Except as provided in paragraph (ii) of this section 9(c), upon termination of this Agreement, for any reason, Recipient shall return or destroy the Limited Data Set and all PHI received from Covered Entity, or created or received by Recipient on behalf of Covered Entity, and shall provide a certificate evidencing such destruction. This provision shall apply to PHI that is in the possession of subcontractors or agents of Recipient. Recipient shall retain no copies of the Limited Data Set or any other PHI.</w:t>
      </w:r>
    </w:p>
    <w:p>
      <w:pPr>
        <w:pStyle w:val="Compact"/>
        <w:numPr>
          <w:ilvl w:val="2"/>
          <w:numId w:val="1049"/>
        </w:numPr>
      </w:pPr>
      <w:r>
        <w:t xml:space="preserve">In the event that Recipient determines that returning or destroying the Limited Data Set and the PHI is infeasible, Recipient shall provide to Covered Entity notification of the conditions that make return or destruction infeasible. Upon mutual agreement of the parties that return or destruction of the Limited Data Set and PHI is infeasible, Recipient shall extend the protections of this Agreement to such Limited Data Set and all PHI and limit further uses and disclosures of such Limited Data Set and all PHI included therein to those purposes that make the return or destruction infeasible, for so long as Recipient maintains such Limited Data Set.</w:t>
      </w:r>
    </w:p>
    <w:p>
      <w:pPr>
        <w:pStyle w:val="Compact"/>
        <w:numPr>
          <w:ilvl w:val="0"/>
          <w:numId w:val="1044"/>
        </w:numPr>
      </w:pPr>
      <w:r>
        <w:t xml:space="preserve">Miscellaneous.</w:t>
      </w:r>
    </w:p>
    <w:p>
      <w:pPr>
        <w:pStyle w:val="Compact"/>
        <w:numPr>
          <w:ilvl w:val="1"/>
          <w:numId w:val="1050"/>
        </w:numPr>
      </w:pPr>
      <w:r>
        <w:t xml:space="preserve">Regulatory References. A reference in this Agreement to a section in the Privacy Rule means the section as in effect or as amended.</w:t>
      </w:r>
    </w:p>
    <w:p>
      <w:pPr>
        <w:pStyle w:val="Compact"/>
        <w:numPr>
          <w:ilvl w:val="1"/>
          <w:numId w:val="1050"/>
        </w:numPr>
      </w:pPr>
      <w:r>
        <w:t xml:space="preserve">Amendment. The parties agree to take such action as is necessary to amend this Agreement from time to time as is necessary for Covered Entity to comply with the requirements of the Privacy Rule and HIPAA.</w:t>
      </w:r>
    </w:p>
    <w:p>
      <w:pPr>
        <w:pStyle w:val="Compact"/>
        <w:numPr>
          <w:ilvl w:val="1"/>
          <w:numId w:val="1050"/>
        </w:numPr>
      </w:pPr>
      <w:r>
        <w:t xml:space="preserve">Interpretation. Any ambiguity in this Agreement shall be resolved to permit Covered Entity to comply with the Privacy Rule.</w:t>
      </w:r>
    </w:p>
    <w:p>
      <w:pPr>
        <w:pStyle w:val="Compact"/>
        <w:numPr>
          <w:ilvl w:val="1"/>
          <w:numId w:val="1050"/>
        </w:numPr>
      </w:pPr>
      <w:r>
        <w:t xml:space="preserve">Entire Agreement. This Agreement constitutes the entire agreement between the parties with respect to the subject matter contained herein.</w:t>
      </w:r>
    </w:p>
    <w:p>
      <w:pPr>
        <w:pStyle w:val="Compact"/>
        <w:numPr>
          <w:ilvl w:val="1"/>
          <w:numId w:val="1050"/>
        </w:numPr>
      </w:pPr>
      <w:r>
        <w:t xml:space="preserve">Governing Law. This Agreement will be governed by and construed and enforced in accordance with the laws of the state of New York, without giving effect to any choice or conflict of law provision or rule that would cause the application of the laws of any other jurisdiction.</w:t>
      </w:r>
    </w:p>
    <w:p>
      <w:pPr>
        <w:pStyle w:val="Compact"/>
        <w:numPr>
          <w:ilvl w:val="1"/>
          <w:numId w:val="1050"/>
        </w:numPr>
      </w:pPr>
      <w:r>
        <w:t xml:space="preserve">Consent to Jurisdiction. Each party to this Agreement, by its execution hereof, hereby (i) irrevocably submits to the exclusive jurisdiction of the courts in the County of New York for the purpose of any and all actions, suits or proceedings arising in whole or in part out of, related to, based upon or in connection with this Agreement or the subject matter hereof (whether sounding in contract, tort, statute or otherwise), (ii) waives to the extent not prohibited by applicable law, and agrees not to assert, by way of motion, as a defense or otherwise, in any such action, suit or proceeding any claim that it is not subject personally to the jurisdiction of the above-named courts; that its property is exempt or immune from attachment or execution; that any such action, suit or proceeding brought in one of the above-named courts should be dismissed on grounds of improper venue or inconvenient forum, should be transferred or removed to any court other than one of the above-named courts, or should be stayed by reason of the pendency of some other action, suit or proceeding in any other court other than one of the above-named courts; or that this Agreement or the subject matter hereof may not be enforced in or by such court, and (iii) agrees not to commence or prosecute any such action, suit or proceeding other than before one of the above-named courts nor to make any motion or take any other action seeking or intending to cause the transfer or removal of any such action, suit or proceeding to any court other than one of the above-named courts whether on the grounds of lack of personal jurisdiction, improper venue, inconvenient forum or otherwise.</w:t>
      </w:r>
    </w:p>
    <w:p>
      <w:pPr>
        <w:pStyle w:val="FirstParagraph"/>
      </w:pPr>
      <w:r>
        <w:rPr>
          <w:b/>
          <w:bCs/>
        </w:rPr>
        <w:t xml:space="preserve">IN WITNESS WHEREOF</w:t>
      </w:r>
      <w:r>
        <w:t xml:space="preserve">, the parties have executed this Agreement as of the date set forth above.</w:t>
      </w:r>
    </w:p>
    <w:p>
      <w:pPr>
        <w:pStyle w:val="BodyText"/>
      </w:pPr>
      <w:r>
        <w:rPr>
          <w:b/>
          <w:bCs/>
        </w:rPr>
        <w:t xml:space="preserve">COMPANY [INSERT NAME OF RECIPIENT]</w:t>
      </w:r>
    </w:p>
    <w:p>
      <w:pPr>
        <w:pStyle w:val="BodyText"/>
      </w:pPr>
      <w:r>
        <w:t xml:space="preserve">By: _________________________ By: ________________________</w:t>
      </w:r>
    </w:p>
    <w:p>
      <w:pPr>
        <w:pStyle w:val="BodyText"/>
      </w:pPr>
      <w:r>
        <w:t xml:space="preserve">Name: Name:</w:t>
      </w:r>
    </w:p>
    <w:p>
      <w:pPr>
        <w:pStyle w:val="BodyText"/>
      </w:pPr>
      <w:r>
        <w:t xml:space="preserve">Title: Title;</w:t>
      </w:r>
    </w:p>
    <w:p>
      <w:r>
        <w:pict>
          <v:rect style="width:0;height:1.5pt" o:hralign="center" o:hrstd="t" o:hr="t"/>
        </w:pict>
      </w:r>
    </w:p>
    <w:bookmarkEnd w:id="21"/>
    <w:bookmarkEnd w:id="22"/>
    <w:bookmarkEnd w:id="23"/>
    <w:bookmarkStart w:id="28" w:name="iv.-marketing-patient-communications"/>
    <w:p>
      <w:pPr>
        <w:pStyle w:val="Heading2"/>
      </w:pPr>
      <w:r>
        <w:t xml:space="preserve">IV. Marketing &amp; Patient Communications</w:t>
      </w:r>
    </w:p>
    <w:p>
      <w:pPr>
        <w:pStyle w:val="FirstParagraph"/>
      </w:pPr>
      <w:r>
        <w:rPr>
          <w:i/>
          <w:iCs/>
        </w:rPr>
        <w:t xml:space="preserve">Originally:</w:t>
      </w:r>
      <w:r>
        <w:rPr>
          <w:i/>
          <w:iCs/>
        </w:rPr>
        <w:t xml:space="preserve"> </w:t>
      </w:r>
      <w:r>
        <w:rPr>
          <w:rStyle w:val="VerbatimChar"/>
          <w:i/>
          <w:iCs/>
        </w:rPr>
        <w:t xml:space="preserve">03h HIPAA and Marketing Policy.md</w:t>
      </w:r>
      <w:r>
        <w:rPr>
          <w:i/>
          <w:iCs/>
        </w:rPr>
        <w:t xml:space="preserve"> </w:t>
      </w:r>
      <w:r>
        <w:rPr>
          <w:i/>
          <w:iCs/>
        </w:rPr>
        <w:t xml:space="preserve">(Policy # L-006). Preserved verbatim below.</w:t>
      </w:r>
    </w:p>
    <w:bookmarkStart w:id="24" w:name="i.-scope-3"/>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24"/>
    <w:bookmarkStart w:id="25" w:name="ii.-policy-3"/>
    <w:p>
      <w:pPr>
        <w:pStyle w:val="Heading3"/>
      </w:pPr>
      <w:r>
        <w:t xml:space="preserve">II. Policy</w:t>
      </w:r>
    </w:p>
    <w:p>
      <w:pPr>
        <w:numPr>
          <w:ilvl w:val="0"/>
          <w:numId w:val="1051"/>
        </w:numPr>
      </w:pPr>
      <w:r>
        <w:t xml:space="preserve">It is Company’s policy to ensure that Company is in compliance with HIPAA’s requirements regarding Marketing (defined below).</w:t>
      </w:r>
    </w:p>
    <w:p>
      <w:pPr>
        <w:numPr>
          <w:ilvl w:val="0"/>
          <w:numId w:val="1051"/>
        </w:numPr>
      </w:pPr>
      <w:r>
        <w:t xml:space="preserve">HIPAA has specific rules about when Company can use PHI (including the name, address, dates of service or medical information of an Individual) for Marketing. When using PHI for Marketing, Company will follow this Policy.</w:t>
      </w:r>
      <w:r>
        <w:t xml:space="preserve"> </w:t>
      </w:r>
      <w:r>
        <w:t xml:space="preserve">### III. Definitions</w:t>
      </w:r>
    </w:p>
    <w:p>
      <w:pPr>
        <w:numPr>
          <w:ilvl w:val="0"/>
          <w:numId w:val="1051"/>
        </w:numPr>
      </w:pPr>
      <w:r>
        <w:t xml:space="preserve">“</w:t>
      </w:r>
      <w:r>
        <w:rPr>
          <w:i/>
          <w:iCs/>
        </w:rPr>
        <w:t xml:space="preserve">Marketing</w:t>
      </w:r>
      <w:r>
        <w:t xml:space="preserve">” means any communication (oral or written) about a product or service that encourages the recipients of the communication to purchase or use the product or service.</w:t>
      </w:r>
    </w:p>
    <w:p>
      <w:pPr>
        <w:numPr>
          <w:ilvl w:val="0"/>
          <w:numId w:val="1051"/>
        </w:numPr>
      </w:pPr>
      <w:r>
        <w:rPr>
          <w:i/>
          <w:iCs/>
        </w:rPr>
        <w:t xml:space="preserve">Exceptions</w:t>
      </w:r>
      <w:r>
        <w:t xml:space="preserve">. The following are exceptions to the Marketing definition, regardless of whether there is Financial Remuneration (as defined below) in exchange for the communication:</w:t>
      </w:r>
    </w:p>
    <w:p>
      <w:pPr>
        <w:pStyle w:val="Compact"/>
        <w:numPr>
          <w:ilvl w:val="1"/>
          <w:numId w:val="1052"/>
        </w:numPr>
      </w:pPr>
      <w:r>
        <w:t xml:space="preserve">A face-to-face communication between Company personnel and the patient; or</w:t>
      </w:r>
    </w:p>
    <w:p>
      <w:pPr>
        <w:pStyle w:val="Compact"/>
        <w:numPr>
          <w:ilvl w:val="1"/>
          <w:numId w:val="1052"/>
        </w:numPr>
      </w:pPr>
      <w:r>
        <w:t xml:space="preserve">Promotional gifts to the patient of nominal value provided by Company (e.g., Company can distribute pens, toothbrushes or key chains with the name of Company on them); however, please note that there are other laws, regulations and guidelines that may restrict the giving of such gifts.</w:t>
      </w:r>
    </w:p>
    <w:p>
      <w:pPr>
        <w:numPr>
          <w:ilvl w:val="0"/>
          <w:numId w:val="1051"/>
        </w:numPr>
      </w:pPr>
      <w:r>
        <w:rPr>
          <w:i/>
          <w:iCs/>
        </w:rPr>
        <w:t xml:space="preserve">Not Included in Marketing Definition</w:t>
      </w:r>
      <w:r>
        <w:t xml:space="preserve">.In addition, the following communications are considered to be made for Health Care Operations or Treatment purposes and are not Marketing, as long as Financial Remuneration is not received from a third party in exchange for Company communicating about the third party’s services or products:</w:t>
      </w:r>
    </w:p>
    <w:p>
      <w:pPr>
        <w:pStyle w:val="Compact"/>
        <w:numPr>
          <w:ilvl w:val="1"/>
          <w:numId w:val="1053"/>
        </w:numPr>
      </w:pPr>
      <w:r>
        <w:t xml:space="preserve">Describing a health-related product or service (or payment for such product or service) that is provided by Company, including communications about Company participating in a healthcare provider network or health plan network;</w:t>
      </w:r>
    </w:p>
    <w:p>
      <w:pPr>
        <w:pStyle w:val="Compact"/>
        <w:numPr>
          <w:ilvl w:val="1"/>
          <w:numId w:val="1053"/>
        </w:numPr>
      </w:pPr>
      <w:r>
        <w:t xml:space="preserve">Communications about Treatment of an Individual;</w:t>
      </w:r>
    </w:p>
    <w:p>
      <w:pPr>
        <w:pStyle w:val="Compact"/>
        <w:numPr>
          <w:ilvl w:val="1"/>
          <w:numId w:val="1053"/>
        </w:numPr>
      </w:pPr>
      <w:r>
        <w:t xml:space="preserve">Case management or care coordination;</w:t>
      </w:r>
    </w:p>
    <w:p>
      <w:pPr>
        <w:pStyle w:val="Compact"/>
        <w:numPr>
          <w:ilvl w:val="1"/>
          <w:numId w:val="1053"/>
        </w:numPr>
      </w:pPr>
      <w:r>
        <w:t xml:space="preserve">Contacting a patient with information about Treatment alternatives and related functions to the extent these activities do not fall within the definition of Treatment;</w:t>
      </w:r>
    </w:p>
    <w:p>
      <w:pPr>
        <w:pStyle w:val="Compact"/>
        <w:numPr>
          <w:ilvl w:val="1"/>
          <w:numId w:val="1053"/>
        </w:numPr>
      </w:pPr>
      <w:r>
        <w:t xml:space="preserve">Communications that merely promote health in a general manner and do not promote a specific product or service;</w:t>
      </w:r>
    </w:p>
    <w:p>
      <w:pPr>
        <w:pStyle w:val="Compact"/>
        <w:numPr>
          <w:ilvl w:val="1"/>
          <w:numId w:val="1053"/>
        </w:numPr>
      </w:pPr>
      <w:r>
        <w:t xml:space="preserve">Communications to promote health fairs, wellness classes, support groups and population-based activities to improve health or reduce health costs; or</w:t>
      </w:r>
    </w:p>
    <w:p>
      <w:pPr>
        <w:pStyle w:val="Compact"/>
        <w:numPr>
          <w:ilvl w:val="1"/>
          <w:numId w:val="1053"/>
        </w:numPr>
      </w:pPr>
      <w:r>
        <w:t xml:space="preserve">Sending information about government sponsored programs (e.g., Medicaid, Medicare).</w:t>
      </w:r>
    </w:p>
    <w:p>
      <w:pPr>
        <w:numPr>
          <w:ilvl w:val="0"/>
          <w:numId w:val="1051"/>
        </w:numPr>
      </w:pPr>
      <w:r>
        <w:t xml:space="preserve">“</w:t>
      </w:r>
      <w:r>
        <w:rPr>
          <w:i/>
          <w:iCs/>
        </w:rPr>
        <w:t xml:space="preserve">Financial Remuneration</w:t>
      </w:r>
      <w:r>
        <w:t xml:space="preserve">”means direct or indirect payment to Company or its Business Associate from or on behalf of a third party whose product or service is being described in exchange for making a communication about the third party’s product or service (i.e., to qualify as Financial Remuneration, the remuneration must be for the purpose making the communication).</w:t>
      </w:r>
    </w:p>
    <w:p>
      <w:pPr>
        <w:numPr>
          <w:ilvl w:val="0"/>
          <w:numId w:val="1051"/>
        </w:numPr>
      </w:pPr>
      <w:r>
        <w:t xml:space="preserve">Example: If a third party provides Financial Remuneration to Company in order for Company to develop a disease management program, Company can use PHI to inform patients about Company’s disease management program because the Financial Remuneration was not received in exchange for making the communication and the communication was not about the third party’s products or services (i.e., the communication is about Company’s disease management program).</w:t>
      </w:r>
      <w:r>
        <w:t xml:space="preserve"> </w:t>
      </w:r>
      <w:r>
        <w:rPr>
          <w:i/>
          <w:iCs/>
        </w:rPr>
        <w:t xml:space="preserve">In comparison</w:t>
      </w:r>
      <w:r>
        <w:t xml:space="preserve">, if a third party provides Financial Remuneration for Company to inform its patients about the third party’s disease management program, this would be considered Marketing and patient authorization would be required in order to use or disclose the patient information.</w:t>
      </w:r>
    </w:p>
    <w:p>
      <w:pPr>
        <w:numPr>
          <w:ilvl w:val="0"/>
          <w:numId w:val="1051"/>
        </w:numPr>
      </w:pPr>
      <w:r>
        <w:t xml:space="preserve">Financial Remuneration does not include nonfinancial benefits, such as in-kind benefits, provided to a covered entity in exchange for making a communication about a product or service.</w:t>
      </w:r>
    </w:p>
    <w:p>
      <w:pPr>
        <w:numPr>
          <w:ilvl w:val="0"/>
          <w:numId w:val="1051"/>
        </w:numPr>
      </w:pPr>
      <w:r>
        <w:t xml:space="preserve">Company may provide refill reminders or communications about a drug or biologic currently being prescribed for the Individual, even if Financial Remuneration is exchanged, provided that the Financial Remuneration provided in exchange for making the communication is reasonably related to Company’s cost of making the communication (the costs of labor, supplies and postage to make the communication) and does not provide Company with a profit.</w:t>
      </w:r>
    </w:p>
    <w:p>
      <w:pPr>
        <w:numPr>
          <w:ilvl w:val="0"/>
          <w:numId w:val="1051"/>
        </w:numPr>
      </w:pPr>
      <w:r>
        <w:t xml:space="preserve">If Financial Remuneration is otherwise received by Company in exchange for making a communication about a third party’s services or products, even if the communication would otherwise be considered to be Health Care Operations or Treatment as discussed under the definition of Marketing above, the communication is considered to be Marketing, and Step 2 under Section IV(b) below must be followed.</w:t>
      </w:r>
    </w:p>
    <w:bookmarkEnd w:id="25"/>
    <w:bookmarkStart w:id="27" w:name="iv.-procedure"/>
    <w:p>
      <w:pPr>
        <w:pStyle w:val="Heading3"/>
      </w:pPr>
      <w:r>
        <w:t xml:space="preserve">IV. Procedure</w:t>
      </w:r>
    </w:p>
    <w:bookmarkStart w:id="26" w:name="X2be05ca9b1f3a61457a3119c60d2b8d57ac9998"/>
    <w:p>
      <w:pPr>
        <w:pStyle w:val="Heading4"/>
      </w:pPr>
      <w:r>
        <w:t xml:space="preserve">a. Step 1: Determine Whether the Communication is Marketing</w:t>
      </w:r>
    </w:p>
    <w:p>
      <w:pPr>
        <w:numPr>
          <w:ilvl w:val="0"/>
          <w:numId w:val="1054"/>
        </w:numPr>
      </w:pPr>
      <w:r>
        <w:t xml:space="preserve">Following the definitions of Marketing and Financial Remuneration above, personnel must first determine whether a communication is Marketing. If the communication is considered to be Marketing, then personnel must follow Step 2 under Section IV(b) below.</w:t>
      </w:r>
    </w:p>
    <w:p>
      <w:pPr>
        <w:numPr>
          <w:ilvl w:val="0"/>
          <w:numId w:val="1054"/>
        </w:numPr>
      </w:pPr>
      <w:r>
        <w:t xml:space="preserve">If it is determined that the communication is not Marketing because one of the exceptions is met and no prohibited Financial Remuneration is received, PHI can be used to make the communication consistent with Company’s policies regarding Health Care Operations and Treatment.</w:t>
      </w:r>
      <w:r>
        <w:t xml:space="preserve"> </w:t>
      </w:r>
      <w:r>
        <w:t xml:space="preserve">#### b. Step 2: Obtain Patient Authorization</w:t>
      </w:r>
    </w:p>
    <w:p>
      <w:pPr>
        <w:numPr>
          <w:ilvl w:val="0"/>
          <w:numId w:val="1054"/>
        </w:numPr>
      </w:pPr>
      <w:r>
        <w:t xml:space="preserve">If it is determined that a communication falls within the HIPAA definition of Marketing, Company must obtain the patient’s written HIPAA authorization prior to using or disclosing the PHI for Marketing. If Marketing involves direct or indirect Financial Remuneration to Company from a third party, the authorization must state that Company is receiving such Financial Remuneration.</w:t>
      </w:r>
    </w:p>
    <w:p>
      <w:pPr>
        <w:numPr>
          <w:ilvl w:val="0"/>
          <w:numId w:val="1054"/>
        </w:numPr>
      </w:pPr>
      <w:r>
        <w:t xml:space="preserve">Note: Company may not give away or sell lists of patients for Marketing purposes without obtaining a HIPAA authorization from each patient on the list. If a Business Associate is engaged to assist Company with Marketing (e.g</w:t>
      </w:r>
      <w:r>
        <w:rPr>
          <w:i/>
          <w:iCs/>
        </w:rPr>
        <w:t xml:space="preserve">.</w:t>
      </w:r>
      <w:r>
        <w:t xml:space="preserve">, a telemarketer), Company will require compliance (by the Business Associate) with all applicable HIPAA rules regarding Marketing.</w:t>
      </w:r>
      <w:r>
        <w:t xml:space="preserve"> </w:t>
      </w:r>
      <w:r>
        <w:t xml:space="preserve">#### c. Step 3: Obtain Advice if Unsure</w:t>
      </w:r>
    </w:p>
    <w:p>
      <w:pPr>
        <w:numPr>
          <w:ilvl w:val="0"/>
          <w:numId w:val="1054"/>
        </w:numPr>
      </w:pPr>
      <w:r>
        <w:t xml:space="preserve">In certain circumstances, it may be difficult to determine whether a particular communication is considered Marketing. Any questions regarding Marketing issues should be reviewed by Company’s Chief Privacy Officer prior to making the communication.</w:t>
      </w:r>
      <w:r>
        <w:t xml:space="preserve"> </w:t>
      </w:r>
      <w:r>
        <w:t xml:space="preserve">### V. References</w:t>
      </w:r>
    </w:p>
    <w:p>
      <w:pPr>
        <w:numPr>
          <w:ilvl w:val="0"/>
          <w:numId w:val="1054"/>
        </w:numPr>
      </w:pPr>
      <w:r>
        <w:t xml:space="preserve">45 C.F.R. §§ 164.501 &amp; 164.508(a)(3)</w:t>
      </w:r>
    </w:p>
    <w:p>
      <w:r>
        <w:pict>
          <v:rect style="width:0;height:1.5pt" o:hralign="center" o:hrstd="t" o:hr="t"/>
        </w:pict>
      </w:r>
    </w:p>
    <w:bookmarkEnd w:id="26"/>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2026-05-28T15:24:36Z</dcterms:created>
  <dcterms:modified xsi:type="dcterms:W3CDTF">2026-05-28T15:24:36Z</dcterms:modified>
</cp:coreProperties>
</file>

<file path=docProps/custom.xml><?xml version="1.0" encoding="utf-8"?>
<Properties xmlns="http://schemas.openxmlformats.org/officeDocument/2006/custom-properties" xmlns:vt="http://schemas.openxmlformats.org/officeDocument/2006/docPropsVTypes"/>
</file>