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795338" cy="300280"/>
                          </a:xfrm>
                          <a:prstGeom prst="rect"/>
                          <a:ln/>
                        </pic:spPr>
                      </pic:pic>
                    </a:graphicData>
                  </a:graphic>
                </wp:inline>
              </w:drawing>
            </w:r>
            <w:r w:rsidDel="00000000" w:rsidR="00000000" w:rsidRPr="00000000">
              <w:rPr>
                <w:b w:val="1"/>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Minimum Necessary Rule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L-010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complies with the “Minimum Necessary Rule,” which requires that, when using, disclosing, or requesting PHI, Company take reasonable steps to limit the PHI to the minimum amount necessary to accomplish the intended purpose of the use, disclosure, or request. For example, if Company discloses PHI for the purpose of receiving payment for services rendered, the amount of PHI disclosed should be limited to the minimum amount necessary to receive payment.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126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Minimum Necessary Rule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does 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apply to:</w:t>
      </w:r>
    </w:p>
    <w:p w:rsidR="00000000" w:rsidDel="00000000" w:rsidP="00000000" w:rsidRDefault="00000000" w:rsidRPr="00000000" w14:paraId="0000001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pos="1980"/>
        </w:tabs>
        <w:spacing w:after="24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Disclosures of PHI to or requests for PHI by a healthcare provider for Treatment purposes;</w:t>
      </w:r>
    </w:p>
    <w:p w:rsidR="00000000" w:rsidDel="00000000" w:rsidP="00000000" w:rsidRDefault="00000000" w:rsidRPr="00000000" w14:paraId="0000001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pos="1260"/>
          <w:tab w:val="left" w:pos="1980"/>
        </w:tabs>
        <w:spacing w:after="24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 of PHI for Treatment purposes;</w:t>
      </w:r>
    </w:p>
    <w:p w:rsidR="00000000" w:rsidDel="00000000" w:rsidP="00000000" w:rsidRDefault="00000000" w:rsidRPr="00000000" w14:paraId="0000001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pos="1260"/>
          <w:tab w:val="left" w:pos="1980"/>
        </w:tabs>
        <w:spacing w:after="24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Disclosures to the Individual;</w:t>
      </w:r>
    </w:p>
    <w:p w:rsidR="00000000" w:rsidDel="00000000" w:rsidP="00000000" w:rsidRDefault="00000000" w:rsidRPr="00000000" w14:paraId="0000001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pos="1260"/>
          <w:tab w:val="left" w:pos="1980"/>
        </w:tabs>
        <w:spacing w:after="24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 or disclosures made pursuant to an Individual’s authorization;</w:t>
      </w:r>
    </w:p>
    <w:p w:rsidR="00000000" w:rsidDel="00000000" w:rsidP="00000000" w:rsidRDefault="00000000" w:rsidRPr="00000000" w14:paraId="000000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pos="1260"/>
          <w:tab w:val="left" w:pos="1980"/>
        </w:tabs>
        <w:spacing w:after="24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Disclosures to the U.S. Department of Health &amp; Human Services when disclosures of PHI are required under the Privacy Rule; or</w:t>
      </w:r>
    </w:p>
    <w:p w:rsidR="00000000" w:rsidDel="00000000" w:rsidP="00000000" w:rsidRDefault="00000000" w:rsidRPr="00000000" w14:paraId="000000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pos="1260"/>
          <w:tab w:val="left" w:pos="1980"/>
        </w:tabs>
        <w:spacing w:after="24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 or disclosures that are required by other laws.</w:t>
      </w:r>
    </w:p>
    <w:p w:rsidR="00000000" w:rsidDel="00000000" w:rsidP="00000000" w:rsidRDefault="00000000" w:rsidRPr="00000000" w14:paraId="0000001A">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Uses of Individual Information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will make reasonable efforts to limit the access of personnel to only the PHI that personnel need to receive. Only those personnel with a “need to know” in order to perform their job responsibilities should have access to PHI.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will be specifically instructed that they cannot: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information about themselves or their family members, friends, or co-workers. </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information about patients when they do not need that information to perform their jobs. </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information about celebrities or other famous people.</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with other personnel interesting cases or famous Individuals, unless there is a job-related reason for doing so.</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any Individual with family members or friends.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Individuals in public areas, such as elevators or the cafeteria. </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Routine or Recurring Disclosures or Requests of PHI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will not make a detailed determination about the propriety of each and every routine or recurring disclosure. Additionally, Company may reasonably rely on the assumption that a requested disclosure meets the Minimum Necessary Rule in the following circumstances: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Requests from public officials;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Requests from other covered entities;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Requests from business associates that are consistent with the services provided by the business associate; or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Researchers who have provided appropriate representations.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Nonroutine or Nonrecurring Disclosures of, or Requests for, PHI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nonroutine or nonrecurring disclosures of or requests for PHI, Company must review each disclosure or request on a case-by-case basis. In each instance, Company must determine whether the minimum amount of PHI is being disclosed or requested. The criteria which Company will consider in evaluating each disclosure or request will include: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16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purpose of the disclosure/request;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type of PHI to be disclosed or requested (e.g., whether it unnecessarily includes particularly sensitive information such as a diagnosis or Social Security number);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minimum amount of PHI necessary to achieve the purpose of the disclosure or request;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amount of PHI requested for disclosure;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individuals/entities to whom a disclosure or request will be made;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time frame for the disclosure or request; and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1260"/>
        </w:tabs>
        <w:spacing w:after="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specific considerations.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164.502(b) &amp; 164.514(d)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 Department of Health and Human Services, “Protecting the Privacy of Patients’ Health Information,” (July 6, 2001)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widowControl w:val="0"/>
        <w:tabs>
          <w:tab w:val="left" w:pos="820"/>
          <w:tab w:val="left" w:pos="821"/>
        </w:tabs>
        <w:jc w:val="both"/>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400989915.1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400989915.1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C3E3E"/>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iPriority w:val="99"/>
    <w:semiHidden w:val="1"/>
    <w:unhideWhenUsed w:val="1"/>
    <w:rsid w:val="004C3E3E"/>
    <w:rPr>
      <w:sz w:val="20"/>
      <w:szCs w:val="20"/>
    </w:rPr>
  </w:style>
  <w:style w:type="character" w:styleId="CommentTextChar" w:customStyle="1">
    <w:name w:val="Comment Text Char"/>
    <w:basedOn w:val="DefaultParagraphFont"/>
    <w:link w:val="CommentText"/>
    <w:uiPriority w:val="99"/>
    <w:semiHidden w:val="1"/>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iPriority w:val="99"/>
    <w:semiHidden w:val="1"/>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1"/>
      </w:numPr>
      <w:contextualSpacing w:val="1"/>
    </w:pPr>
  </w:style>
  <w:style w:type="paragraph" w:styleId="ListBullet2">
    <w:name w:val="List Bullet 2"/>
    <w:basedOn w:val="Normal"/>
    <w:uiPriority w:val="9"/>
    <w:qFormat w:val="1"/>
    <w:rsid w:val="004C3E3E"/>
    <w:pPr>
      <w:numPr>
        <w:numId w:val="13"/>
      </w:numPr>
      <w:contextualSpacing w:val="1"/>
    </w:pPr>
  </w:style>
  <w:style w:type="paragraph" w:styleId="ListBullet3">
    <w:name w:val="List Bullet 3"/>
    <w:basedOn w:val="Normal"/>
    <w:uiPriority w:val="9"/>
    <w:qFormat w:val="1"/>
    <w:rsid w:val="004C3E3E"/>
    <w:pPr>
      <w:numPr>
        <w:numId w:val="15"/>
      </w:numPr>
      <w:contextualSpacing w:val="1"/>
    </w:pPr>
  </w:style>
  <w:style w:type="paragraph" w:styleId="ListBullet4">
    <w:name w:val="List Bullet 4"/>
    <w:basedOn w:val="Normal"/>
    <w:uiPriority w:val="9"/>
    <w:qFormat w:val="1"/>
    <w:rsid w:val="004C3E3E"/>
    <w:pPr>
      <w:numPr>
        <w:numId w:val="17"/>
      </w:numPr>
      <w:contextualSpacing w:val="1"/>
    </w:pPr>
  </w:style>
  <w:style w:type="paragraph" w:styleId="ListBullet5">
    <w:name w:val="List Bullet 5"/>
    <w:basedOn w:val="Normal"/>
    <w:uiPriority w:val="9"/>
    <w:qFormat w:val="1"/>
    <w:rsid w:val="004C3E3E"/>
    <w:pPr>
      <w:numPr>
        <w:numId w:val="19"/>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21"/>
      </w:numPr>
      <w:contextualSpacing w:val="1"/>
    </w:pPr>
  </w:style>
  <w:style w:type="paragraph" w:styleId="ListNumber2">
    <w:name w:val="List Number 2"/>
    <w:basedOn w:val="Normal"/>
    <w:uiPriority w:val="99"/>
    <w:semiHidden w:val="1"/>
    <w:unhideWhenUsed w:val="1"/>
    <w:rsid w:val="004C3E3E"/>
    <w:pPr>
      <w:numPr>
        <w:numId w:val="23"/>
      </w:numPr>
      <w:contextualSpacing w:val="1"/>
    </w:pPr>
  </w:style>
  <w:style w:type="paragraph" w:styleId="ListNumber3">
    <w:name w:val="List Number 3"/>
    <w:basedOn w:val="Normal"/>
    <w:uiPriority w:val="99"/>
    <w:semiHidden w:val="1"/>
    <w:unhideWhenUsed w:val="1"/>
    <w:rsid w:val="004C3E3E"/>
    <w:pPr>
      <w:numPr>
        <w:numId w:val="25"/>
      </w:numPr>
      <w:contextualSpacing w:val="1"/>
    </w:pPr>
  </w:style>
  <w:style w:type="paragraph" w:styleId="ListNumber4">
    <w:name w:val="List Number 4"/>
    <w:basedOn w:val="Normal"/>
    <w:uiPriority w:val="99"/>
    <w:semiHidden w:val="1"/>
    <w:unhideWhenUsed w:val="1"/>
    <w:rsid w:val="004C3E3E"/>
    <w:pPr>
      <w:numPr>
        <w:numId w:val="27"/>
      </w:numPr>
      <w:contextualSpacing w:val="1"/>
    </w:pPr>
  </w:style>
  <w:style w:type="paragraph" w:styleId="ListNumber5">
    <w:name w:val="List Number 5"/>
    <w:basedOn w:val="Normal"/>
    <w:uiPriority w:val="99"/>
    <w:semiHidden w:val="1"/>
    <w:unhideWhenUsed w:val="1"/>
    <w:rsid w:val="004C3E3E"/>
    <w:pPr>
      <w:numPr>
        <w:numId w:val="29"/>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054C97"/>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9HG5bFaZ7vieTJuzDYz5Er9noQ==">AMUW2mVTQHy7HEu/E04U0xbposym23HA5MfCktHaU56NB7YEoXsVK2NrwaCi5XVLuC8QqvM3h8FdqMT3nTfgECa2E9jVLBeiTDp7hU5+Lscp64GoC81u4uABqFao+PgJAOlg6hie0Aoa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2022-01-31T15:49:00Z</dcterms:created>
  <dc:creator>Goodwin Procter</dc:creator>
</cp:coreProperties>
</file>