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Title</w:t>
      </w:r>
      <w:r>
        <w:t xml:space="preserve">: Contingency Planning Policy |</w:t>
      </w:r>
      <w:r>
        <w:t xml:space="preserve"> </w:t>
      </w:r>
      <w:r>
        <w:rPr>
          <w:b/>
          <w:bCs/>
        </w:rPr>
        <w:t xml:space="preserve">Policy #</w:t>
      </w:r>
      <w:r>
        <w:t xml:space="preserve">: IT-003 |</w:t>
      </w:r>
      <w:r>
        <w:br/>
      </w:r>
      <w:r>
        <w:rPr>
          <w:b/>
          <w:bCs/>
        </w:rPr>
        <w:t xml:space="preserve">Effective Date</w:t>
      </w:r>
      <w:r>
        <w:t xml:space="preserve">: May 18, 2022 |</w:t>
      </w:r>
      <w:r>
        <w:t xml:space="preserve"> </w:t>
      </w:r>
      <w:r>
        <w:rPr>
          <w:b/>
          <w:bCs/>
        </w:rPr>
        <w:t xml:space="preserve">Last Revised</w:t>
      </w:r>
      <w:r>
        <w:t xml:space="preserve">: May 6, 2026 |</w:t>
      </w:r>
    </w:p>
    <w:bookmarkStart w:id="9" w:name="i.-scope"/>
    <w:p>
      <w:pPr>
        <w:pStyle w:val="Heading2"/>
      </w:pPr>
      <w:r>
        <w:t xml:space="preserve">I. Scope</w:t>
      </w:r>
    </w:p>
    <w:p>
      <w:pPr>
        <w:pStyle w:val="FirstParagraph"/>
      </w:pPr>
      <w:r>
        <w:t xml:space="preserve">This Policy applies to all facilities and locations owned, operated, or managed by Millie, Inc.(“Company”), and all Company personnel. For purposes of this Policy, the term “personnel” includes all licensed professionals and staff who perform services on behalf of Company.</w:t>
      </w:r>
    </w:p>
    <w:bookmarkEnd w:id="9"/>
    <w:bookmarkStart w:id="10" w:name="ii.-policy"/>
    <w:p>
      <w:pPr>
        <w:pStyle w:val="Heading2"/>
      </w:pPr>
      <w:r>
        <w:t xml:space="preserve">II. Policy</w:t>
      </w:r>
    </w:p>
    <w:p>
      <w:pPr>
        <w:numPr>
          <w:ilvl w:val="0"/>
          <w:numId w:val="1001"/>
        </w:numPr>
      </w:pPr>
      <w:r>
        <w:t xml:space="preserve">It is Company’s policy to establish the essential elements of a contingency plan that ensures the continuity of Company’s business operations and facilitates and the timely and orderly restoration of business activities in the event of a disaster or other emergency.</w:t>
      </w:r>
    </w:p>
    <w:p>
      <w:pPr>
        <w:numPr>
          <w:ilvl w:val="0"/>
          <w:numId w:val="1001"/>
        </w:numPr>
      </w:pPr>
      <w:r>
        <w:t xml:space="preserve">This Policy is designed to guide Company in responding to natural disasters, emergencies, accidents and equipment or security failures that could adversely affect the safety of Company’s personnel, the performance of the IT System, the security or integrity of Company’s data (including PHI) or Company’s ability to continue its business operations.</w:t>
      </w:r>
      <w:r>
        <w:t xml:space="preserve"> </w:t>
      </w:r>
      <w:r>
        <w:t xml:space="preserve">## III. Procedure</w:t>
      </w:r>
      <w:r>
        <w:t xml:space="preserve"> </w:t>
      </w:r>
      <w:r>
        <w:t xml:space="preserve">### a. Personnel Safety</w:t>
      </w:r>
    </w:p>
    <w:p>
      <w:pPr>
        <w:numPr>
          <w:ilvl w:val="0"/>
          <w:numId w:val="1001"/>
        </w:numPr>
      </w:pPr>
      <w:r>
        <w:t xml:space="preserve">It is of the utmost importance to Company to prevent harm to its personnel. Personnel safety takes precedence over all other priorities, including the security of Company’s assets. All personnel shall receive regular training regarding this Policy. In the event of an emergency situation or a disaster, all personnel shall comply with this Policy; provided, however, personnel may elect not to participate in the implementation of specific contingency plans developed by Company if they have reason to believe that their participation might jeopardize their safety.</w:t>
      </w:r>
      <w:r>
        <w:t xml:space="preserve"> </w:t>
      </w:r>
      <w:r>
        <w:t xml:space="preserve">### b. Data and Software Backup</w:t>
      </w:r>
    </w:p>
    <w:p>
      <w:pPr>
        <w:numPr>
          <w:ilvl w:val="0"/>
          <w:numId w:val="1001"/>
        </w:numPr>
      </w:pPr>
      <w:r>
        <w:t xml:space="preserve">In order to ensure the recovery of electronic data and software applications that may be lost or otherwise inaccessible to Company as a result of large-scale emergencies, communications failures, electric power interruption or other incidents, the Chief Security Officer shall be responsible for ensuring that backup of all data residing on the IT System is performed consistently. In addition, Company shall make and retain copies of all supporting software applications and related documentation required to process such data.</w:t>
      </w:r>
    </w:p>
    <w:p>
      <w:pPr>
        <w:numPr>
          <w:ilvl w:val="0"/>
          <w:numId w:val="1001"/>
        </w:numPr>
      </w:pPr>
      <w:r>
        <w:t xml:space="preserve">All backup copies of electronic data and software (including any updates thereof) shall be stored in an encrypted form in an off-site facility that has fire and theft protection and environmental controls satisfactory to Company’s Chief Security Officer.</w:t>
      </w:r>
    </w:p>
    <w:p>
      <w:pPr>
        <w:numPr>
          <w:ilvl w:val="0"/>
          <w:numId w:val="1001"/>
        </w:numPr>
      </w:pPr>
      <w:r>
        <w:t xml:space="preserve">Written detailed documentation describing backup procedures shall be maintained at Company’s Facility and at an off-site location at all times and shall be reviewed, and, if necessary updated, at least quarterly.</w:t>
      </w:r>
      <w:r>
        <w:t xml:space="preserve"> </w:t>
      </w:r>
      <w:r>
        <w:t xml:space="preserve">### c. IT System Inventory</w:t>
      </w:r>
    </w:p>
    <w:p>
      <w:pPr>
        <w:numPr>
          <w:ilvl w:val="0"/>
          <w:numId w:val="1001"/>
        </w:numPr>
      </w:pPr>
      <w:r>
        <w:t xml:space="preserve">To ensure that Company has an accurate list of its critical IT System components in the event of an emergency, the Chief Security Officer shall cause to be maintained an inventory of all of Company’s computer hardware, software and communications devices. This inventory shall be updated as needed to reflect the acquisition, modification or removal of equipment or other IT System components. Personnel shall not purchase any IT System components without the approval of the Chief Security Officer.</w:t>
      </w:r>
      <w:r>
        <w:t xml:space="preserve"> </w:t>
      </w:r>
      <w:r>
        <w:t xml:space="preserve">### d. Other Protective Measures</w:t>
      </w:r>
    </w:p>
    <w:p>
      <w:pPr>
        <w:numPr>
          <w:ilvl w:val="0"/>
          <w:numId w:val="1001"/>
        </w:numPr>
      </w:pPr>
      <w:r>
        <w:t xml:space="preserve">The Chief Security Officer shall ensure that any support services that are necessary in connection with disaster recovery are coordinated with others in Company and any third-party service providers, and shall be responsible for preparing a disaster recovery plan to restore any loss of data, which must be approved by the Chief Executive Officer. The Chief Security Officer shall cause to be maintained a list of the names and telephone numbers of all third-party computer maintenance and support vendors and data storage facilities that are currently providing or will provide services to Company in the event of a disaster, and, to the extent possible, a list of alternative vendors. The Chief Security Officer shall maintain a list of all nontechnology service providers that may be required to assist in the implementation of the disaster recovery plan.</w:t>
      </w:r>
    </w:p>
    <w:p>
      <w:pPr>
        <w:numPr>
          <w:ilvl w:val="0"/>
          <w:numId w:val="1001"/>
        </w:numPr>
      </w:pPr>
      <w:r>
        <w:t xml:space="preserve">Contracts with any critical service providers to Company shall contain business continuity clauses that require the provider to furnish uninterrupted services in the event that a disaster or other adverse event affects its normal services. The Chief Security Officer shall determine that the disaster recovery and business continuity policies of critical service providers are adequate.</w:t>
      </w:r>
      <w:r>
        <w:t xml:space="preserve"> </w:t>
      </w:r>
      <w:r>
        <w:t xml:space="preserve">### e. Emergency Operations</w:t>
      </w:r>
    </w:p>
    <w:p>
      <w:pPr>
        <w:numPr>
          <w:ilvl w:val="0"/>
          <w:numId w:val="1001"/>
        </w:numPr>
      </w:pPr>
      <w:r>
        <w:t xml:space="preserve">In the event that, as a result of an emergency, all or part of Company’s offices or facilities become unusable, this Policy and such other IT-focused emergency plans the Chief Security Officer adopts shall be initiated.</w:t>
      </w:r>
      <w:r>
        <w:t xml:space="preserve"> </w:t>
      </w:r>
      <w:r>
        <w:t xml:space="preserve">### f. Confidentiality</w:t>
      </w:r>
    </w:p>
    <w:p>
      <w:pPr>
        <w:numPr>
          <w:ilvl w:val="0"/>
          <w:numId w:val="1001"/>
        </w:numPr>
      </w:pPr>
      <w:r>
        <w:t xml:space="preserve">Personnel shall not disclose to any third parties the terms of this Policy or the elements of any specific plans and procedures that are developed by Company pursuant to this Policy except as necessary to carry out this Policy.</w:t>
      </w:r>
      <w:r>
        <w:t xml:space="preserve"> </w:t>
      </w:r>
      <w:r>
        <w:t xml:space="preserve">### g. Insurance</w:t>
      </w:r>
    </w:p>
    <w:p>
      <w:pPr>
        <w:numPr>
          <w:ilvl w:val="0"/>
          <w:numId w:val="1001"/>
        </w:numPr>
      </w:pPr>
      <w:r>
        <w:t xml:space="preserve">The Chief Security Officer, together with the General Counsel, shall take steps to obtain the appropriate type and level of insurance coverage to be procured and maintained by Company to cover Company in the event of emergencies.</w:t>
      </w:r>
      <w:r>
        <w:t xml:space="preserve"> </w:t>
      </w:r>
      <w:r>
        <w:t xml:space="preserve">### h. Pandemic Operations &amp; Multi-Vendor Risk</w:t>
      </w:r>
    </w:p>
    <w:p>
      <w:pPr>
        <w:numPr>
          <w:ilvl w:val="0"/>
          <w:numId w:val="1001"/>
        </w:numPr>
      </w:pPr>
      <w:r>
        <w:t xml:space="preserve">For pandemic or widespread infectious-disease events, Company’s separately maintained COVID Policy (and any successor policy) governs patient-facing clinical interactions, including isolation, exposure, and PPE protocols, which follow current CDPH and CDC guidance. From an operational continuity standpoint, clinical operations may shift to a telehealth-first scheduling posture, on-site staffing may reduce to essential personnel, and the Chief Security Officer in coordination with the Chief Executive Officer is responsible for activating remote-work, telehealth-fallback, and supply-continuity provisions.</w:t>
      </w:r>
    </w:p>
    <w:p>
      <w:pPr>
        <w:numPr>
          <w:ilvl w:val="0"/>
          <w:numId w:val="1001"/>
        </w:numPr>
      </w:pPr>
      <w:r>
        <w:t xml:space="preserve">Company operates a cloud-first technology stack with single-vendor dependencies on Aptible (compute and managed databases), AWS (storage, logging, and identity), Cloudflare (DNS and CDN), and Google Workspace (collaboration). This vendor concentration is a documented accepted risk reviewed at least annually by the Chief Security Officer. The review covers each critical vendor’s availability posture, data portability and exit considerations, and Business Associate Agreement status, and is factored into Company’s broader risk management process.</w:t>
      </w:r>
      <w:r>
        <w:t xml:space="preserve"> </w:t>
      </w:r>
      <w:r>
        <w:t xml:space="preserve">## IV. References</w:t>
      </w:r>
    </w:p>
    <w:p>
      <w:pPr>
        <w:numPr>
          <w:ilvl w:val="0"/>
          <w:numId w:val="1001"/>
        </w:numPr>
      </w:pPr>
      <w:r>
        <w:t xml:space="preserve">45 C.F.R. §§ 164.530 &amp; 164.308(a)(7)</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2026-05-28T17:58:36Z</dcterms:created>
  <dcterms:modified xsi:type="dcterms:W3CDTF">2026-05-28T17:58:36Z</dcterms:modified>
</cp:coreProperties>
</file>

<file path=docProps/custom.xml><?xml version="1.0" encoding="utf-8"?>
<Properties xmlns="http://schemas.openxmlformats.org/officeDocument/2006/custom-properties" xmlns:vt="http://schemas.openxmlformats.org/officeDocument/2006/docPropsVTypes"/>
</file>