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1160"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3">
            <w:pPr>
              <w:tabs>
                <w:tab w:val="left" w:leader="none" w:pos="3570"/>
              </w:tabs>
              <w:jc w:val="center"/>
              <w:rPr>
                <w:b w:val="1"/>
                <w:bCs w:val="1"/>
              </w:rPr>
            </w:pPr>
            <w:bookmarkStart w:colFirst="0" w:colLast="0" w:name="_heading=h.gjdgxs" w:id="0"/>
            <w:bookmarkEnd w:id="0"/>
            <w:r w:rsidDel="00000000" w:rsidR="00000000" w:rsidRPr="00000000">
              <w:rPr>
                <w:b w:val="1"/>
                <w:bCs w:val="1"/>
              </w:rPr>
              <w:drawing>
                <wp:inline distB="114300" distT="114300" distL="114300" distR="114300">
                  <wp:extent cx="795338" cy="300280"/>
                  <wp:effectExtent b="0" l="0" r="0" t="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795338" cy="300280"/>
                          </a:xfrm>
                          <a:prstGeom prst="rect"/>
                          <a:ln/>
                        </pic:spPr>
                      </pic:pic>
                    </a:graphicData>
                  </a:graphic>
                </wp:inline>
              </w:drawing>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Contingency Planning Policy</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Policy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IT-003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Effective Date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May 18, 2022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Last Revised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May 6, 2026</w:t>
            </w:r>
            <w:r w:rsidDel="00000000" w:rsidR="00000000" w:rsidRPr="00000000">
              <w:rPr>
                <w:rtl w:val="0"/>
              </w:rPr>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Scope</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applies to all facilities and locations owned, operated, or managed by </w:t>
      </w:r>
      <w:r w:rsidDel="00000000" w:rsidR="00000000" w:rsidRPr="00000000">
        <w:rPr>
          <w:rtl w:val="0"/>
        </w:rPr>
        <w:t xml:space="preserve">Millie, Inc.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(“Company”), and all  Company</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For purposes of this Policy, the term “personnel” includes all licensed professionals and staff who perform services on behalf of Company.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Policy</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Company’s policy to establish the essential elements of a contingency plan that ensures the continuity of Company’s business operations and facilitates and the timely and orderly restoration of business activities in the event of a disaster or other emergency.</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Policy is designed to guide Company in responding to natural disasters, emergencies, accidents and equipment or security failures that could adversely affect the safety of Company’s personnel, the performance of the IT System, the security or integrity of Company’s data (including PHI) or Company’s ability to continue its business operations.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Procedure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72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Personnel Safety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is of the utmost importance to Company to prevent harm to its personnel. Personnel safety takes precedence over all other priorities, including the security of Company’s assets. All personnel shall receive regular training regarding this Policy. In the event of an emergency situation or a disaster, all personnel shall comply with this Policy; provided, however,  personnel may elect not to participate in the implementation of specific contingency plans developed by Company if they have reason to believe that their participation might jeopardize their safety.</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Data and Software Backup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order to ensure the recovery of electronic data and software applications that may be lost or otherwise inaccessible to Company as a result of large-scale emergencies, communications failures, electric power interruption or other incidents, the Chief Security Officer shall be responsible for ensuring that backup of all data residing on the IT System is performed </w:t>
      </w:r>
      <w:r w:rsidDel="00000000" w:rsidR="00000000" w:rsidRPr="00000000">
        <w:rPr>
          <w:rtl w:val="0"/>
        </w:rPr>
        <w:t xml:space="preserve">consistently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addition, Company shall make and retain copies of all supporting software applications and related documentation required to process such data.</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backup copies of electronic data and software (including any updates thereof) shall be stored in an encrypted form in an off-site facility that has fire and theft protection and environmental controls satisfactory to Company’s Chief Security Officer.</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firstLine="144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Written detailed documentation describing backup procedures shall be maintained at Company’s Facility and at an off-site location at all times and shall be reviewed, and, if necessary updated, at least quarterly.</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IT System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ensure that Company has an accurate list of its critical IT System components in the event of an emergency, the Chief Security Officer shall cause to be maintained an inventory of all of Company’s computer hardware, software and communications devices. This inventory shall be updated as needed to reflect the acquisition, modification or removal of equipment or other IT System components. Personnel shall not purchase any IT System components without the approval of the Chief Security Officer.</w:t>
      </w:r>
    </w:p>
    <w:p w:rsidR="00000000" w:rsidDel="00000000" w:rsidP="00000000" w:rsidRDefault="00000000" w:rsidRPr="00000000" w14:paraId="00000026">
      <w:pPr>
        <w:tabs>
          <w:tab w:val="left" w:leader="none" w:pos="1260"/>
        </w:tabs>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Other Protective Measures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8">
      <w:pPr>
        <w:tabs>
          <w:tab w:val="left" w:leader="none" w:pos="1260"/>
        </w:tabs>
        <w:ind w:left="0" w:firstLine="0"/>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Chief Security Officer shall ensure that any support services that are necessary in connection with disaster recovery are coordinated with others in Company and any third-party service providers, and shall be responsible for preparing a disaster recovery plan to restore any loss of data, which must be approved by the Chief Executive Officer. The Chief Security Officer shall cause to be maintained a list of the names and telephone numbers of all third-party computer maintenance and support vendors and data storage facilities that are currently providing or will provide services to Company in the event of a disaster, and, to the extent possible, a list of alternative vendors. The Chief Security Officer shall maintain a list of all nontechnology service providers that may be required to assist in the implementation of the disaster recovery plan.</w:t>
      </w:r>
    </w:p>
    <w:p w:rsidR="00000000" w:rsidDel="00000000" w:rsidP="00000000" w:rsidRDefault="00000000" w:rsidRPr="00000000" w14:paraId="0000002A">
      <w:pPr>
        <w:tabs>
          <w:tab w:val="left" w:leader="none" w:pos="1260"/>
        </w:tabs>
        <w:ind w:firstLine="1440"/>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Contracts with any critical service providers to Company shall contain business continuity clauses that require the provider to furnish uninterrupted services in the event that a disaster or other adverse event affects its normal services. The Chief Security Officer shall determine that the disaster recovery and business continuity policies of critical service providers are adequate.</w:t>
      </w:r>
    </w:p>
    <w:p w:rsidR="00000000" w:rsidDel="00000000" w:rsidP="00000000" w:rsidRDefault="00000000" w:rsidRPr="00000000" w14:paraId="0000002C">
      <w:pPr>
        <w:tabs>
          <w:tab w:val="left" w:leader="none" w:pos="1260"/>
        </w:tabs>
        <w:jc w:val="both"/>
        <w:rPr/>
      </w:pPr>
      <w:r w:rsidDel="00000000" w:rsidR="00000000" w:rsidRPr="00000000">
        <w:rPr>
          <w:rtl w:val="0"/>
        </w:rPr>
      </w:r>
    </w:p>
    <w:p w:rsidR="00000000" w:rsidDel="00000000" w:rsidP="00000000" w:rsidRDefault="00000000" w:rsidRPr="00000000" w14:paraId="0000002D">
      <w:pPr>
        <w:keepNext w:val="1"/>
        <w:keepLines w:val="1"/>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Emergency Operations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1"/>
        <w:keepLines w:val="1"/>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the event that, as a result of an emergency, all or part of Company’s offices or facilities become unusable, this Policy and such other IT-focused emergency plans the Chief Security Officer adopts shall be initiated.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tabs>
          <w:tab w:val="left" w:leader="none" w:pos="1260"/>
        </w:tabs>
        <w:jc w:val="both"/>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Confidentiality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26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Personnel shall not disclose to any third parties the terms of this Policy or the elements of any specific plans and procedures that are developed by Company pursuant to this Policy except as necessary to carry out this Policy.</w:t>
      </w:r>
    </w:p>
    <w:p w:rsidR="00000000" w:rsidDel="00000000" w:rsidP="00000000" w:rsidRDefault="00000000" w:rsidRPr="00000000" w14:paraId="00000035">
      <w:pPr>
        <w:tabs>
          <w:tab w:val="left" w:leader="none" w:pos="1260"/>
        </w:tabs>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260" w:right="0" w:hanging="54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
        <w:t xml:space="preserve">Insurance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1260"/>
          <w:tab w:val="left" w:leader="none" w:pos="1980"/>
        </w:tabs>
        <w:spacing w:after="0" w:before="0" w:line="240" w:lineRule="auto"/>
        <w:ind w:left="0" w:right="0" w:firstLine="144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Chief Security Officer, together with the General Counsel, shall take steps to obtain the appropriate type and level of insurance coverage to be procured and maintained by Company to cover Company in the event of emergencies.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C.F.R. §§ 164.530 &amp; 164.308(a)(7)</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widowControl w:val="0"/>
        <w:tabs>
          <w:tab w:val="left" w:leader="none" w:pos="820"/>
          <w:tab w:val="left" w:leader="none" w:pos="821"/>
        </w:tabs>
        <w:jc w:val="both"/>
        <w:rPr/>
      </w:pPr>
      <w:r w:rsidDel="00000000" w:rsidR="00000000" w:rsidRPr="00000000">
        <w:rPr>
          <w:rtl w:val="0"/>
        </w:rPr>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1" name=""/>
              <a:graphic>
                <a:graphicData uri="http://schemas.microsoft.com/office/word/2010/wordprocessingShape">
                  <wps:wsp>
                    <wps:cNvSpPr/>
                    <wps:cNvPr id="2" name="Shape 2"/>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400989890.1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579370" cy="27495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2" name=""/>
              <a:graphic>
                <a:graphicData uri="http://schemas.microsoft.com/office/word/2010/wordprocessingShape">
                  <wps:wsp>
                    <wps:cNvSpPr/>
                    <wps:cNvPr id="3" name="Shape 3"/>
                    <wps:spPr>
                      <a:xfrm>
                        <a:off x="4065840" y="3652048"/>
                        <a:ext cx="2560320" cy="255905"/>
                      </a:xfrm>
                      <a:custGeom>
                        <a:rect b="b" l="l" r="r" t="t"/>
                        <a:pathLst>
                          <a:path extrusionOk="0" h="255905" w="2560320">
                            <a:moveTo>
                              <a:pt x="0" y="0"/>
                            </a:moveTo>
                            <a:lnTo>
                              <a:pt x="0" y="255905"/>
                            </a:lnTo>
                            <a:lnTo>
                              <a:pt x="2560320" y="255905"/>
                            </a:lnTo>
                            <a:lnTo>
                              <a:pt x="2560320" y="0"/>
                            </a:lnTo>
                            <a:close/>
                          </a:path>
                        </a:pathLst>
                      </a:custGeom>
                      <a:noFill/>
                      <a:ln>
                        <a:noFill/>
                      </a:ln>
                    </wps:spPr>
                    <wps:txbx>
                      <w:txbxContent>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t xml:space="preserve">400989890.1</w:t>
                          </w:r>
                        </w:p>
                        <w:p w:rsidR="00000000" w:rsidDel="00000000" w:rsidP="00000000" w:rsidRDefault="00000000" w:rsidRPr="00000000">
                          <w:pPr>
                            <w:spacing w:after="0" w:before="0" w:line="200.00000953674316"/>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6"/>
                              <w:vertAlign w:val="baseline"/>
                            </w:rPr>
                          </w:r>
                        </w:p>
                      </w:txbxContent>
                    </wps:txbx>
                    <wps:bodyPr anchorCtr="0" anchor="t" bIns="0" lIns="114300" spcFirstLastPara="1" rIns="11430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109538</wp:posOffset>
              </wp:positionH>
              <wp:positionV relativeFrom="paragraph">
                <wp:posOffset>-4761</wp:posOffset>
              </wp:positionV>
              <wp:extent cx="2579370" cy="27495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579370" cy="27495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low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Roman"/>
      <w:lvlText w:val="%1."/>
      <w:lvlJc w:val="righ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40" w:lineRule="auto"/>
    </w:pPr>
    <w:rPr>
      <w:color w:val="000000"/>
      <w:u w:val="none"/>
    </w:rPr>
  </w:style>
  <w:style w:type="paragraph" w:styleId="Heading2">
    <w:name w:val="heading 2"/>
    <w:basedOn w:val="Normal"/>
    <w:next w:val="Normal"/>
    <w:pPr>
      <w:spacing w:after="240" w:lineRule="auto"/>
    </w:pPr>
    <w:rPr>
      <w:color w:val="000000"/>
      <w:u w:val="none"/>
    </w:rPr>
  </w:style>
  <w:style w:type="paragraph" w:styleId="Heading3">
    <w:name w:val="heading 3"/>
    <w:basedOn w:val="Normal"/>
    <w:next w:val="Normal"/>
    <w:pPr>
      <w:spacing w:after="240" w:lineRule="auto"/>
    </w:pPr>
    <w:rPr>
      <w:color w:val="000000"/>
      <w:u w:val="none"/>
    </w:rPr>
  </w:style>
  <w:style w:type="paragraph" w:styleId="Heading4">
    <w:name w:val="heading 4"/>
    <w:basedOn w:val="Normal"/>
    <w:next w:val="Normal"/>
    <w:pPr>
      <w:widowControl w:val="0"/>
      <w:spacing w:after="240" w:lineRule="auto"/>
    </w:pPr>
    <w:rPr>
      <w:color w:val="000000"/>
      <w:u w:val="none"/>
    </w:rPr>
  </w:style>
  <w:style w:type="paragraph" w:styleId="Heading5">
    <w:name w:val="heading 5"/>
    <w:basedOn w:val="Normal"/>
    <w:next w:val="Normal"/>
    <w:pPr>
      <w:spacing w:after="240" w:lineRule="auto"/>
    </w:pPr>
    <w:rPr>
      <w:color w:val="000000"/>
      <w:u w:val="none"/>
    </w:rPr>
  </w:style>
  <w:style w:type="paragraph" w:styleId="Heading6">
    <w:name w:val="heading 6"/>
    <w:basedOn w:val="Normal"/>
    <w:next w:val="Normal"/>
    <w:pPr>
      <w:widowControl w:val="0"/>
      <w:spacing w:after="240" w:lineRule="auto"/>
    </w:pPr>
    <w:rPr>
      <w:color w:val="000000"/>
      <w:u w:val="none"/>
    </w:rPr>
  </w:style>
  <w:style w:type="paragraph" w:styleId="Title">
    <w:name w:val="Title"/>
    <w:basedOn w:val="Normal"/>
    <w:next w:val="Normal"/>
    <w:pPr>
      <w:spacing w:after="480" w:lineRule="auto"/>
      <w:jc w:val="center"/>
    </w:pPr>
    <w:rPr>
      <w:rFonts w:ascii="Times New Roman" w:cs="Times New Roman" w:eastAsia="Times New Roman" w:hAnsi="Times New Roman"/>
      <w:b w:val="1"/>
      <w:bCs w:val="1"/>
      <w:smallCaps w:val="1"/>
    </w:rPr>
  </w:style>
  <w:style w:type="paragraph" w:styleId="Subtitle">
    <w:name w:val="Subtitle"/>
    <w:basedOn w:val="Normal"/>
    <w:next w:val="Normal"/>
    <w:pPr>
      <w:spacing w:after="480" w:lineRule="auto"/>
      <w:jc w:val="center"/>
    </w:pPr>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pKoqUPg4CDvGNdxAzz1PEQ4bg==">CgMxLjAyCGguZ2pkZ3hzMgloLjMwajB6bGw4AHIhMXFOZjVocGRfVE1qcHhRWlFsTk5YZlltUWR5Q0QwYUdi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