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De-Identifying and Re-Identifying PHI and Creation of Limited Data Sets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L-005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is required by law to maintain the confidentiality and privacy of PHI. This Policy explains how Company de-identifies PHI so that it is not subject to HIPAA. This Policy also explains the circumstances pursuant to which de-identified health information may be re-identified by Company or third parties. Finally, this Policy explains (i) the method by which a limited data set can be created and (ii) the circumstances under which limited data sets can be used and disclosed for research, public health and Health Care Operations purposes.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De-Identified Health Information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pPr>
      <w:bookmarkStart w:colFirst="0" w:colLast="0" w:name="_heading=h.2et92p0" w:id="4"/>
      <w:bookmarkEnd w:id="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PHI which has been “de-identified” (as described below) can be used or disclosed without complying with HIPAA. Information is considered de-identified if it does not directly or indirectly identify an Individual.</w:t>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individual or department wishing to create or utilize de-identified information should contact the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Chief Privacy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who will ensure one of the two following HIPAA-compliant de-identification methodologies is properly followed.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person or entity with appropriate knowledge of generally accepted statistical and scientific principles and methods for rendering information anonymous is engaged to determine that (i) the risk is very small that the information could be used (alone or in combination with other reasonably available information) by an anticipated recipient to identify an Individual, and (ii) documents the basis for such determination; or</w:t>
      </w:r>
    </w:p>
    <w:p w:rsidR="00000000" w:rsidDel="00000000" w:rsidP="00000000" w:rsidRDefault="00000000" w:rsidRPr="00000000" w14:paraId="0000001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the following identifiers of the Individual, as well as relatives, employers or household members of the Individual, have been properly removed from the information:</w:t>
      </w:r>
    </w:p>
    <w:p w:rsidR="00000000" w:rsidDel="00000000" w:rsidP="00000000" w:rsidRDefault="00000000" w:rsidRPr="00000000" w14:paraId="0000001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Names;</w:t>
      </w:r>
    </w:p>
    <w:p w:rsidR="00000000" w:rsidDel="00000000" w:rsidP="00000000" w:rsidRDefault="00000000" w:rsidRPr="00000000" w14:paraId="0000001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geographic subdivisions smaller than a state, including street address, city, county, precinct, zip code and their equivalent geocodes (except for the initial three digits of a zip code if the geographic unit formed by such three digits contains more than 20,000 people); </w:t>
      </w:r>
    </w:p>
    <w:p w:rsidR="00000000" w:rsidDel="00000000" w:rsidP="00000000" w:rsidRDefault="00000000" w:rsidRPr="00000000" w14:paraId="0000001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Except for calendar years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dates related to an Individual such as birth date, admission date, discharge date or date of death,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provided, however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all Individuals over 89 years of age may only be aggregated into a single category of age 90 or older and may not be categorized by calendar year;</w:t>
      </w:r>
    </w:p>
    <w:p w:rsidR="00000000" w:rsidDel="00000000" w:rsidP="00000000" w:rsidRDefault="00000000" w:rsidRPr="00000000" w14:paraId="0000002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Telephone numbers;</w:t>
      </w:r>
    </w:p>
    <w:p w:rsidR="00000000" w:rsidDel="00000000" w:rsidP="00000000" w:rsidRDefault="00000000" w:rsidRPr="00000000" w14:paraId="0000002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Fax numbers;</w:t>
      </w:r>
    </w:p>
    <w:p w:rsidR="00000000" w:rsidDel="00000000" w:rsidP="00000000" w:rsidRDefault="00000000" w:rsidRPr="00000000" w14:paraId="0000002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addresses;</w:t>
      </w:r>
    </w:p>
    <w:p w:rsidR="00000000" w:rsidDel="00000000" w:rsidP="00000000" w:rsidRDefault="00000000" w:rsidRPr="00000000" w14:paraId="0000002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Security numbers;</w:t>
      </w:r>
    </w:p>
    <w:p w:rsidR="00000000" w:rsidDel="00000000" w:rsidP="00000000" w:rsidRDefault="00000000" w:rsidRPr="00000000" w14:paraId="0000002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record numbers;</w:t>
      </w:r>
    </w:p>
    <w:p w:rsidR="00000000" w:rsidDel="00000000" w:rsidP="00000000" w:rsidRDefault="00000000" w:rsidRPr="00000000" w14:paraId="0000002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plan beneficiary numbers;</w:t>
      </w:r>
    </w:p>
    <w:p w:rsidR="00000000" w:rsidDel="00000000" w:rsidP="00000000" w:rsidRDefault="00000000" w:rsidRPr="00000000" w14:paraId="0000002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 numbers;</w:t>
      </w:r>
    </w:p>
    <w:p w:rsidR="00000000" w:rsidDel="00000000" w:rsidP="00000000" w:rsidRDefault="00000000" w:rsidRPr="00000000" w14:paraId="0000002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Certificate/license numbers;</w:t>
      </w:r>
    </w:p>
    <w:p w:rsidR="00000000" w:rsidDel="00000000" w:rsidP="00000000" w:rsidRDefault="00000000" w:rsidRPr="00000000" w14:paraId="0000002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Vehicle identifiers and serial numbers, including license plate numbers;</w:t>
      </w:r>
    </w:p>
    <w:p w:rsidR="00000000" w:rsidDel="00000000" w:rsidP="00000000" w:rsidRDefault="00000000" w:rsidRPr="00000000" w14:paraId="0000002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identifiers and serial numbers;</w:t>
      </w:r>
    </w:p>
    <w:p w:rsidR="00000000" w:rsidDel="00000000" w:rsidP="00000000" w:rsidRDefault="00000000" w:rsidRPr="00000000" w14:paraId="0000002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Universal Resource Locators (URLs);</w:t>
      </w:r>
    </w:p>
    <w:p w:rsidR="00000000" w:rsidDel="00000000" w:rsidP="00000000" w:rsidRDefault="00000000" w:rsidRPr="00000000" w14:paraId="0000002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protocol (IP) address numbers;</w:t>
      </w:r>
    </w:p>
    <w:p w:rsidR="00000000" w:rsidDel="00000000" w:rsidP="00000000" w:rsidRDefault="00000000" w:rsidRPr="00000000" w14:paraId="0000002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Biometric identifiers, including fingerprints and voiceprints;</w:t>
      </w:r>
    </w:p>
    <w:p w:rsidR="00000000" w:rsidDel="00000000" w:rsidP="00000000" w:rsidRDefault="00000000" w:rsidRPr="00000000" w14:paraId="0000002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Full-face photographic images and any comparable images; and</w:t>
      </w:r>
    </w:p>
    <w:p w:rsidR="00000000" w:rsidDel="00000000" w:rsidP="00000000" w:rsidRDefault="00000000" w:rsidRPr="00000000" w14:paraId="0000002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240" w:before="0" w:line="240" w:lineRule="auto"/>
        <w:ind w:left="306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other unique identifying number, characteristic or code (excluding the re-identification code described below).</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198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requires that any information de-identified in this manner is approved by the Chief Privacy Officer or his/her designee prior to use or disclosure.</w:t>
      </w:r>
    </w:p>
    <w:p w:rsidR="00000000" w:rsidDel="00000000" w:rsidP="00000000" w:rsidRDefault="00000000" w:rsidRPr="00000000" w14:paraId="00000030">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tyjcwt" w:id="5"/>
      <w:bookmarkEnd w:id="5"/>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Re-Identifying De-Identified PHI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may, at its discretion, decode or translate de-identified information in order to re-identify the information with respect to a specific Individual. Before any information is de-identified,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Chief Privacy Officer will determine whether a re-identification code is necessary. In creating a re-identification code, the following requirements must be met:</w:t>
      </w:r>
    </w:p>
    <w:p w:rsidR="00000000" w:rsidDel="00000000" w:rsidP="00000000" w:rsidRDefault="00000000" w:rsidRPr="00000000" w14:paraId="00000033">
      <w:pPr>
        <w:keepNext w:val="1"/>
        <w:keepLines w:val="1"/>
        <w:tabs>
          <w:tab w:val="left" w:pos="1260"/>
        </w:tabs>
        <w:jc w:val="both"/>
        <w:rPr/>
      </w:pPr>
      <w:r w:rsidDel="00000000" w:rsidR="00000000" w:rsidRPr="00000000">
        <w:rPr>
          <w:rtl w:val="0"/>
        </w:rPr>
      </w:r>
    </w:p>
    <w:p w:rsidR="00000000" w:rsidDel="00000000" w:rsidP="00000000" w:rsidRDefault="00000000" w:rsidRPr="00000000" w14:paraId="00000034">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re-identification process must be performed in a secure manner so that no one other than Company can re-identify such information.</w:t>
      </w:r>
    </w:p>
    <w:p w:rsidR="00000000" w:rsidDel="00000000" w:rsidP="00000000" w:rsidRDefault="00000000" w:rsidRPr="00000000" w14:paraId="00000035">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code, algorithm, table or other tool for re-identification may not be disclosed to any third party or used for any purpose other than re-identification by Company.</w:t>
      </w:r>
    </w:p>
    <w:p w:rsidR="00000000" w:rsidDel="00000000" w:rsidP="00000000" w:rsidRDefault="00000000" w:rsidRPr="00000000" w14:paraId="00000036">
      <w:pPr>
        <w:keepNext w:val="1"/>
        <w:keepLines w:val="1"/>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re-identification process utilized must be incapable of being translated or decoded by a third party so as to identify the Individual (e.g., the code cannot be a derivative of the Individual’s name).</w:t>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12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requires that any re-identification code be approved by the Chief Privacy Officer prior to use or disclosure. Prior to re-identification of any information, a proper plan must be developed to ensure HIPAA-compliant protection of information subsequent to re-identification</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Limited Data Sets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data sets of PHI may be used and disclosed only for research, public health and Health Care Operations purposes. Each limited data set must exclude all the identifiers listed below and may be disclosed only after obtaining from the recipient a data use agreement as described below.</w:t>
      </w:r>
    </w:p>
    <w:p w:rsidR="00000000" w:rsidDel="00000000" w:rsidP="00000000" w:rsidRDefault="00000000" w:rsidRPr="00000000" w14:paraId="0000003B">
      <w:pPr>
        <w:ind w:firstLine="144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limited data set is a set of PHI from which all the following direct identifiers of the Individual, as well as relatives, employers or household members of the Individual, have been removed:</w:t>
      </w:r>
    </w:p>
    <w:p w:rsidR="00000000" w:rsidDel="00000000" w:rsidP="00000000" w:rsidRDefault="00000000" w:rsidRPr="00000000" w14:paraId="0000003D">
      <w:pPr>
        <w:tabs>
          <w:tab w:val="left" w:pos="1980"/>
        </w:tabs>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Names;</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Postal address information, other than town or city, state, and zip code;</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Telephone numbers;</w:t>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Fax numbers;</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addresses;</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Security numbers;</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record numbers;</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plan beneficiary numbers;</w:t>
      </w:r>
    </w:p>
    <w:p w:rsidR="00000000" w:rsidDel="00000000" w:rsidP="00000000" w:rsidRDefault="00000000" w:rsidRPr="00000000" w14:paraId="0000004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Account numbers;</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Certificate/license numbers;</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Vehicle identifiers and serial numbers, including license plate numbers;</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Device identifiers and serial numbers;</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Universal Resource Locators (URLs);</w:t>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Internet protocol (IP) address numbers;</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Biometric identifiers, including fingerprints and voiceprints; and</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Full-face photographic images and any comparable images.</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individual who wishes to create a limited data set shall notify the Chief Privacy Officer, who shall work with the individual to ensure one of the following is accomplished:</w:t>
      </w:r>
    </w:p>
    <w:p w:rsidR="00000000" w:rsidDel="00000000" w:rsidP="00000000" w:rsidRDefault="00000000" w:rsidRPr="00000000" w14:paraId="0000004F">
      <w:pPr>
        <w:tabs>
          <w:tab w:val="left" w:pos="1980"/>
        </w:tabs>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individual properly removes all the identifiers listed above from the PHI; or</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individual properly removes all the identifiers listed above from the PHI.</w:t>
      </w:r>
    </w:p>
    <w:p w:rsidR="00000000" w:rsidDel="00000000" w:rsidP="00000000" w:rsidRDefault="00000000" w:rsidRPr="00000000" w14:paraId="000000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Data use Agreement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3">
      <w:pPr>
        <w:tabs>
          <w:tab w:val="left" w:pos="1980"/>
        </w:tabs>
        <w:jc w:val="both"/>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 to disclosing a limited data set (created in compliance with the provisions above) to any recipient, a data use agreement must be obtained from the intended recipient. The data use agreement will list the purposes for which the recipient of the limited data set can use the information and provide Company with satisfactory assurance that the recipient of the limited data set will use or disclose the Individual’s information only for the purposes listed.</w:t>
      </w:r>
    </w:p>
    <w:p w:rsidR="00000000" w:rsidDel="00000000" w:rsidP="00000000" w:rsidRDefault="00000000" w:rsidRPr="00000000" w14:paraId="00000055">
      <w:pPr>
        <w:tabs>
          <w:tab w:val="left" w:pos="1980"/>
        </w:tabs>
        <w:ind w:firstLine="1440"/>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data use agreement must contain the following:</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indicating whether the limited data set was created for research, public health or Health Care Operations;</w:t>
      </w:r>
    </w:p>
    <w:p w:rsidR="00000000" w:rsidDel="00000000" w:rsidP="00000000" w:rsidRDefault="00000000" w:rsidRPr="00000000" w14:paraId="000000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of the purposes for which the recipient can use or disclose the Individual’s information being provided in the limited data set, which purposes must be consistent with the reason the data use set was originally created in III(d)(i);</w:t>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list of the names of all individuals or entities being provided permission to receive the limited data set under the data use agreement;</w:t>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that the recipient agrees not to use or further disclose the information in the limited data set other than as agreed to in the data use agreement or as required by law;</w:t>
      </w:r>
    </w:p>
    <w:p w:rsidR="00000000" w:rsidDel="00000000" w:rsidP="00000000" w:rsidRDefault="00000000" w:rsidRPr="00000000" w14:paraId="000000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that the recipient agrees to use appropriate safeguards to prevent the use or disclosure of the Individual’s information in the limited data set in any manner other than as agreed to in the data use agreement;</w:t>
      </w:r>
    </w:p>
    <w:p w:rsidR="00000000" w:rsidDel="00000000" w:rsidP="00000000" w:rsidRDefault="00000000" w:rsidRPr="00000000" w14:paraId="000000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that the recipient agrees to report to Company if it becomes aware of any use or disclosure of the Individual’s information in the limited data set outside of the agreed-upon uses in the limited data set;</w:t>
      </w:r>
    </w:p>
    <w:p w:rsidR="00000000" w:rsidDel="00000000" w:rsidP="00000000" w:rsidRDefault="00000000" w:rsidRPr="00000000" w14:paraId="000000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that the recipient agrees to ensure any agents, including any subcontractors, to whom it provides the limited data set will follow the same restrictions and conditions with respect to the use, disclosure and protection of the data set;</w:t>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that the recipient agrees not to identify the information in the limited data set or attempt to contact the Individuals; and</w:t>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statement that Company can terminate the data use agreement and use of the limited data set by the recipient if it becomes aware of any pattern of behavior or activity or practice of the recipient which materially breaches or violates the data use agreement. The statement should further indicate Company will report any such breach or violation to the Secretary of the Department of Health &amp; Human Services.</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data use agreements must be approved by the Chief Privacy Officer prior to execution and disclosure of the related limited data set. A sample of a data use agreement is attached in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Exhibit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126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requires that the individual continue to comply with Company’s Minimum Necessary Rule Policy in using and disclosing the information included in the limited data set.</w:t>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pos="820"/>
          <w:tab w:val="left" w:pos="821"/>
        </w:tabs>
        <w:spacing w:after="240" w:before="0" w:line="240" w:lineRule="auto"/>
        <w:ind w:left="720" w:right="0" w:hanging="360"/>
        <w:jc w:val="both"/>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164.502(d) &amp; 164.514(a)-(c) &amp; (e)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single"/>
          <w:shd w:fill="auto" w:val="clear"/>
          <w:vertAlign w:val="baseline"/>
          <w:rtl w:val="0"/>
        </w:rPr>
        <w:t xml:space="preserve">EXHIBIT 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1"/>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4"/>
          <w:szCs w:val="24"/>
          <w:u w:val="single"/>
          <w:shd w:fill="auto" w:val="clear"/>
          <w:vertAlign w:val="baseline"/>
          <w:rtl w:val="0"/>
        </w:rPr>
        <w:t xml:space="preserve">FORM OF DATA USE AGREEMENT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Use Agreement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dated as of ____________, 20___ (Agreement), is by and between Company (Covered Entity)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_________________________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(Recipient).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WHEREAS, Covered Entity has created a Limited Data Set which contains PHI in full compliance with the federal Health Insurance Portability and Accountability Act of 1996, Pub. L. No. 104-191 (HIPAA) and related regulations promulgated by the Secretary (HIPAA Regulations) and specifically 45 CFR § 164.514(e).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WHEREAS, Recipient desires to use and/or disclose the PHI in the Limited Data Set which was created by Covered Entity and is subject to protection under the HIPAA Regulations.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WHEREAS, in light of the foregoing and the requirements of the HIPAA Regulations, Recipient and Covered Entity agree to be bound by the following terms and conditions:</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Definitions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Terms used, but not otherwise defined, in this Agreement shall have the same meaning as those terms in the Standards for Privacy of Individually Identifiable Health Information at 45 CFR part 160 and part 164, subparts A and E (Privacy Rule).</w:t>
      </w:r>
    </w:p>
    <w:p w:rsidR="00000000" w:rsidDel="00000000" w:rsidP="00000000" w:rsidRDefault="00000000" w:rsidRPr="00000000" w14:paraId="0000006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shall have the same meaning as the term “PHI” in 45 CFR 160.103, limited to the information created or received by Recipient from Covered Entity as part of the Limited Data Set.</w:t>
      </w:r>
    </w:p>
    <w:p w:rsidR="00000000" w:rsidDel="00000000" w:rsidP="00000000" w:rsidRDefault="00000000" w:rsidRPr="00000000" w14:paraId="0000007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Required by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“Required by Law” shall have the same meaning as the term “required by law” in 45 CFR 164.103.</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Use and Disclosure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Recipient agrees not to use or disclose the PHI in the Limited Data Set for purposes other than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research, public health or Health Care Operations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[Indicate Correct Purpose]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specifically only with respect to ______________________________________________________________________________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[Indicate Intended 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Recipient has requested inclusion of and will utilize only the following elements in the Limited Data Set: __________________________________________________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[Indicate Specific Data Elements or Categories of Data Elements]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Recipient further agrees not to use or disclose the Limited Data Set other than as permitted or required by this Agreement or as Required by Law.</w:t>
      </w:r>
    </w:p>
    <w:p w:rsidR="00000000" w:rsidDel="00000000" w:rsidP="00000000" w:rsidRDefault="00000000" w:rsidRPr="00000000" w14:paraId="0000007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Limitation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Except as otherwise limited in this Agreement, Recipient may use or disclose the Limited Data Set to perform functions, activities or services in connection with its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research, public health or Health Care Operations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[Indicate Correct Function]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provided that such use or disclosure would not violate the Privacy Rule if done by Covered Entity or Company’s Minimum Necessary Rule Policy.</w:t>
      </w:r>
    </w:p>
    <w:p w:rsidR="00000000" w:rsidDel="00000000" w:rsidP="00000000" w:rsidRDefault="00000000" w:rsidRPr="00000000" w14:paraId="000000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Authorized Users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Limited Data Set shall be used or disclosed only by entities or persons authorized under this Agreement. Recipient represents and warrants that the following is a list of the persons within the Recipient who are authorized to use or disclose the Limited Data Set: ___________________________________________________________</w:t>
        <w:br w:type="textWrapping"/>
        <w:t xml:space="preserve">_____________________________________________________________________________.</w:t>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Agents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Recipient agrees to ensure that any agent, including a subcontractor, to whom it provides the Limited Data Set agrees to the same restrictions and conditions that apply through this Data Use Agreement to Recipient with respect to such information. Recipient further agrees that each such agent shall enter into a Data Use Agreement substantially similar to this Agreement.</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Appropriate Safeguards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Recipient agrees to use appropriate safeguards to prevent use or disclosure of the Limited Data Set other than as provided for in this Agreement. Without limiting the generality of the foregoing, Recipient agrees to protect the integrity and confidentiality of any PHI it electronically exchanges with Covered Entity.</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Reporting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Recipient agrees to promptly report to Covered Entity any use or disclosure of the Limited Data Set not provided for by this Agreement of which it becomes aware.</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Protection of Individuals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Recipient agrees that it will not identify any of the PHI provided to it in the Limited Data Set nor will it attempt to contact the Individuals whose PHI is included in the Limited Data Set.</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Permissible Requests by Covered Entity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Covered Entity shall not request Recipient to use or disclose PHI in any manner that would not be permissible under the Privacy Rule, if done by Covered Entity.</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Term and Termination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Term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Agreement shall be effective as of the date set forth above, and shall terminate when all of the Limited Data Set provided by Covered Entity to Recipient, or created or received by Recipient on behalf of Covered Entity, is destroyed or returned to Covered Entity, or, if it is infeasible to return or destroy the Limited Data Set, protections are extended to such information, in accordance with the termination provisions in this section.</w:t>
      </w:r>
    </w:p>
    <w:p w:rsidR="00000000" w:rsidDel="00000000" w:rsidP="00000000" w:rsidRDefault="00000000" w:rsidRPr="00000000" w14:paraId="0000007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Termination for 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Upon Covered Entity’s knowledge of a material breach by Recipient, Covered Entity shall:</w:t>
      </w:r>
    </w:p>
    <w:p w:rsidR="00000000" w:rsidDel="00000000" w:rsidP="00000000" w:rsidRDefault="00000000" w:rsidRPr="00000000" w14:paraId="0000007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21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 opportunity for Recipient to cure the breach or end the violation. If Recipient does not cure the breach or end the violation within the time specified by Covered Entity, Covered Entity shall terminate this Agreement.</w:t>
      </w:r>
    </w:p>
    <w:p w:rsidR="00000000" w:rsidDel="00000000" w:rsidP="00000000" w:rsidRDefault="00000000" w:rsidRPr="00000000" w14:paraId="0000007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21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Immediately terminate this Agreement if Recipient has breached a material term of this Agreement and cure is not possible.</w:t>
      </w:r>
    </w:p>
    <w:p w:rsidR="00000000" w:rsidDel="00000000" w:rsidP="00000000" w:rsidRDefault="00000000" w:rsidRPr="00000000" w14:paraId="0000007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21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neither termination nor cure are feasible, Covered Entity shall report the violation to the Secretary of the Department of Health &amp; Human Services.</w:t>
      </w:r>
    </w:p>
    <w:p w:rsidR="00000000" w:rsidDel="00000000" w:rsidP="00000000" w:rsidRDefault="00000000" w:rsidRPr="00000000" w14:paraId="0000008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Effect of Termination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21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 as provided in paragraph (ii) of this section 9(c), upon termination of this Agreement, for any reason, Recipient shall return or destroy the Limited Data Set and all PHI received from Covered Entity, or created or received by Recipient on behalf of Covered Entity, and shall provide a certificate evidencing such destruction. This provision shall apply to PHI that is in the possession of subcontractors or agents of Recipient. Recipient shall retain no copies of the Limited Data Set or any other PHI.</w:t>
      </w:r>
    </w:p>
    <w:p w:rsidR="00000000" w:rsidDel="00000000" w:rsidP="00000000" w:rsidRDefault="00000000" w:rsidRPr="00000000" w14:paraId="0000008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21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event that Recipient determines that returning or destroying the Limited Data Set and the PHI is infeasible, Recipient shall provide to Covered Entity notification of the conditions that make return or destruction infeasible. Upon mutual agreement of the parties that return or destruction of the Limited Data Set and PHI is infeasible, Recipient shall extend the protections of this Agreement to such Limited Data Set and all PHI and limit further uses and disclosures of such Limited Data Set and all PHI included therein to those purposes that make the return or destruction infeasible, for so long as Recipient maintains such Limited Data Set.</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Miscellaneous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Regulatory References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reference in this Agreement to a section in the Privacy Rule means the section as in effect or as amended.</w:t>
      </w:r>
    </w:p>
    <w:p w:rsidR="00000000" w:rsidDel="00000000" w:rsidP="00000000" w:rsidRDefault="00000000" w:rsidRPr="00000000" w14:paraId="0000008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parties agree to take such action as is necessary to amend this Agreement from time to time as is necessary for Covered Entity to comply with the requirements of the Privacy Rule and HIPAA.</w:t>
      </w:r>
    </w:p>
    <w:p w:rsidR="00000000" w:rsidDel="00000000" w:rsidP="00000000" w:rsidRDefault="00000000" w:rsidRPr="00000000" w14:paraId="0000008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Interpretation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ambiguity in this Agreement shall be resolved to permit Covered Entity to comply with the Privacy Rule.</w:t>
      </w:r>
    </w:p>
    <w:p w:rsidR="00000000" w:rsidDel="00000000" w:rsidP="00000000" w:rsidRDefault="00000000" w:rsidRPr="00000000" w14:paraId="0000008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Agreement constitutes the entire agreement between the parties with respect to the subject matter contained herein.</w:t>
      </w:r>
    </w:p>
    <w:p w:rsidR="00000000" w:rsidDel="00000000" w:rsidP="00000000" w:rsidRDefault="00000000" w:rsidRPr="00000000" w14:paraId="0000008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bookmarkStart w:colFirst="0" w:colLast="0" w:name="_heading=h.3dy6vkm" w:id="6"/>
      <w:bookmarkEnd w:id="6"/>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Governing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Agreement will be governed by and construed and enforced in accordance with the laws of the state of New York, without giving effect to any choice or conflict of law provision or rule that would cause the application of the laws of any other jurisdiction.</w:t>
      </w:r>
    </w:p>
    <w:p w:rsidR="00000000" w:rsidDel="00000000" w:rsidP="00000000" w:rsidRDefault="00000000" w:rsidRPr="00000000" w14:paraId="0000008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20" w:right="0" w:firstLine="1440"/>
        <w:jc w:val="both"/>
        <w:rPr/>
      </w:pPr>
      <w:bookmarkStart w:colFirst="0" w:colLast="0" w:name="_heading=h.1t3h5sf" w:id="10"/>
      <w:bookmarkEnd w:id="1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Consent to Jurisdiction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party to this Agreement, by its execution hereof, hereby </w:t>
      </w:r>
      <w:bookmarkStart w:colFirst="0" w:colLast="0" w:name="bookmark=id.4d34og8" w:id="7"/>
      <w:bookmarkEnd w:id="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irrevocably submits to the exclusive jurisdiction of the courts in the County of New York for the purpose of any and all actions, suits or proceedings arising in whole or in part out of, related to, based upon or in connection with this Agreement or the subject matter hereof (whether sounding in contract, tort, statute or otherwise), </w:t>
      </w:r>
      <w:bookmarkStart w:colFirst="0" w:colLast="0" w:name="bookmark=id.2s8eyo1" w:id="8"/>
      <w:bookmarkEnd w: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waives to the extent not prohibited by applicable law, and agrees not to assert, by way of motion, as a defense or otherwise, in any such action, suit or proceeding any claim that it is not subject personally to the jurisdiction of the above-named courts; that its property is exempt or immune from attachment or execution; that any such action, suit or proceeding brought in one of the above-named courts should be dismissed on grounds of improper venue or inconvenient forum, should be transferred or removed to any court other than one of the above-named courts, or should be stayed by reason of the pendency of some other action, suit or proceeding in any other court other than one of the above-named courts; or that this Agreement or the subject matter hereof may not be enforced in or by such court, and </w:t>
      </w:r>
      <w:bookmarkStart w:colFirst="0" w:colLast="0" w:name="bookmark=id.17dp8vu" w:id="9"/>
      <w:bookmarkEnd w: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(iii) agrees not to commence or prosecute any such action, suit or proceeding other than before one of the above-named courts nor to make any motion or take any other action seeking or intending to cause the transfer or removal of any such action, suit or proceeding to any court other than one of the above-named courts whether on the grounds of lack of personal jurisdiction, improper venue, inconvenient forum or otherwise.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 WITNESS WHEREOF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parties have executed this Agreement as of the date set forth above.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5016" w:right="0" w:hanging="507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COMPANY</w:t>
        <w:tab/>
        <w:t xml:space="preserve">[INSERT NAME OF RECIPIENT]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1" w:right="0" w:hanging="501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_________________________</w:t>
        <w:tab/>
        <w:t xml:space="preserve">By: ________________________</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15" w:right="0" w:hanging="501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tab/>
        <w:t xml:space="preserve">Name: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15" w:right="0" w:hanging="501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w:t>
        <w:tab/>
        <w:t xml:space="preserve">Title;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20"/>
          <w:tab w:val="left" w:pos="821"/>
        </w:tabs>
        <w:spacing w:after="24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14" w:type="default"/>
      <w:headerReference r:id="rId15" w:type="first"/>
      <w:footerReference r:id="rId16"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rmal text)"/>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400989891.1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3" name=""/>
              <a:graphic>
                <a:graphicData uri="http://schemas.microsoft.com/office/word/2010/wordprocessingShape">
                  <wps:wsp>
                    <wps:cNvSpPr/>
                    <wps:cNvPr id="4" name="Shape 4"/>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400989891.1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 w:val="right" w:pos="9348"/>
      </w:tabs>
      <w:spacing w:after="0" w:before="0" w:line="20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tab/>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400989891.1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bullet"/>
      <w:lvlText w:val="o"/>
      <w:lvlJc w:val="left"/>
      <w:pPr>
        <w:ind w:left="0" w:firstLine="2160"/>
      </w:pPr>
      <w:rPr>
        <w:rFonts w:ascii="Courier New" w:cs="Courier New" w:eastAsia="Courier New" w:hAnsi="Courier New"/>
        <w:b w:val="0"/>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2">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firstLine="720"/>
      </w:pPr>
      <w:rPr>
        <w:rFonts w:ascii="(normal text)" w:cs="(normal text)" w:eastAsia="(normal text)" w:hAnsi="(normal text)"/>
        <w:b w:val="0"/>
        <w:i w:val="0"/>
        <w:smallCaps w:val="0"/>
        <w:strike w:val="0"/>
        <w:color w:val="000000"/>
        <w:sz w:val="24"/>
        <w:szCs w:val="24"/>
        <w:u w:val="none"/>
        <w:vertAlign w:val="baseline"/>
      </w:rPr>
    </w:lvl>
    <w:lvl w:ilvl="1">
      <w:start w:val="1"/>
      <w:numFmt w:val="lowerLetter"/>
      <w:lvlText w:val="(%2)"/>
      <w:lvlJc w:val="left"/>
      <w:pPr>
        <w:ind w:left="720" w:firstLine="1440"/>
      </w:pPr>
      <w:rPr>
        <w:rFonts w:ascii="(normal text)" w:cs="(normal text)" w:eastAsia="(normal text)" w:hAnsi="(normal text)"/>
        <w:b w:val="0"/>
        <w:i w:val="0"/>
        <w:smallCaps w:val="0"/>
        <w:strike w:val="0"/>
        <w:color w:val="000000"/>
        <w:sz w:val="24"/>
        <w:szCs w:val="24"/>
        <w:u w:val="none"/>
        <w:vertAlign w:val="baseline"/>
      </w:rPr>
    </w:lvl>
    <w:lvl w:ilvl="2">
      <w:start w:val="1"/>
      <w:numFmt w:val="lowerRoman"/>
      <w:lvlText w:val="(%3)"/>
      <w:lvlJc w:val="left"/>
      <w:pPr>
        <w:ind w:left="720" w:firstLine="2160"/>
      </w:pPr>
      <w:rPr>
        <w:rFonts w:ascii="(normal text)" w:cs="(normal text)" w:eastAsia="(normal text)" w:hAnsi="(normal text)"/>
        <w:b w:val="0"/>
        <w:i w:val="0"/>
        <w:smallCaps w:val="0"/>
        <w:strike w:val="0"/>
        <w:color w:val="000000"/>
        <w:sz w:val="24"/>
        <w:szCs w:val="24"/>
        <w:u w:val="none"/>
        <w:vertAlign w:val="baseline"/>
      </w:rPr>
    </w:lvl>
    <w:lvl w:ilvl="3">
      <w:start w:val="1"/>
      <w:numFmt w:val="decimal"/>
      <w:lvlText w:val=""/>
      <w:lvlJc w:val="left"/>
      <w:pPr>
        <w:ind w:left="720" w:firstLine="0"/>
      </w:pPr>
      <w:rPr>
        <w:rFonts w:ascii="Times New Roman" w:cs="Times New Roman" w:eastAsia="Times New Roman" w:hAnsi="Times New Roman"/>
        <w:b w:val="0"/>
        <w:i w:val="0"/>
        <w:smallCaps w:val="0"/>
        <w:strike w:val="0"/>
        <w:color w:val="000000"/>
        <w:sz w:val="24"/>
        <w:szCs w:val="24"/>
        <w:u w:val="none"/>
        <w:vertAlign w:val="baseline"/>
      </w:rPr>
    </w:lvl>
    <w:lvl w:ilvl="4">
      <w:start w:val="1"/>
      <w:numFmt w:val="decimal"/>
      <w:lvlText w:val=""/>
      <w:lvlJc w:val="left"/>
      <w:pPr>
        <w:ind w:left="720" w:firstLine="0"/>
      </w:pPr>
      <w:rPr>
        <w:rFonts w:ascii="Times New Roman" w:cs="Times New Roman" w:eastAsia="Times New Roman" w:hAnsi="Times New Roman"/>
        <w:b w:val="0"/>
        <w:i w:val="0"/>
        <w:smallCaps w:val="0"/>
        <w:strike w:val="0"/>
        <w:color w:val="000000"/>
        <w:sz w:val="24"/>
        <w:szCs w:val="24"/>
        <w:u w:val="none"/>
        <w:vertAlign w:val="baseline"/>
      </w:rPr>
    </w:lvl>
    <w:lvl w:ilvl="5">
      <w:start w:val="1"/>
      <w:numFmt w:val="decimal"/>
      <w:lvlText w:val=""/>
      <w:lvlJc w:val="left"/>
      <w:pPr>
        <w:ind w:left="720" w:firstLine="0"/>
      </w:pPr>
      <w:rPr>
        <w:rFonts w:ascii="Times New Roman" w:cs="Times New Roman" w:eastAsia="Times New Roman" w:hAnsi="Times New Roman"/>
        <w:b w:val="0"/>
        <w:i w:val="0"/>
        <w:smallCaps w:val="0"/>
        <w:strike w:val="0"/>
        <w:color w:val="000000"/>
        <w:sz w:val="24"/>
        <w:szCs w:val="24"/>
        <w:u w:val="none"/>
        <w:vertAlign w:val="baseline"/>
      </w:rPr>
    </w:lvl>
    <w:lvl w:ilvl="6">
      <w:start w:val="1"/>
      <w:numFmt w:val="decimal"/>
      <w:lvlText w:val=""/>
      <w:lvlJc w:val="left"/>
      <w:pPr>
        <w:ind w:left="720" w:firstLine="0"/>
      </w:pPr>
      <w:rPr>
        <w:rFonts w:ascii="Times New Roman" w:cs="Times New Roman" w:eastAsia="Times New Roman" w:hAnsi="Times New Roman"/>
        <w:b w:val="0"/>
        <w:i w:val="0"/>
        <w:smallCaps w:val="0"/>
        <w:strike w:val="0"/>
        <w:color w:val="000000"/>
        <w:sz w:val="24"/>
        <w:szCs w:val="24"/>
        <w:u w:val="none"/>
        <w:vertAlign w:val="baseline"/>
      </w:rPr>
    </w:lvl>
    <w:lvl w:ilvl="7">
      <w:start w:val="1"/>
      <w:numFmt w:val="decimal"/>
      <w:lvlText w:val=""/>
      <w:lvlJc w:val="left"/>
      <w:pPr>
        <w:ind w:left="720" w:firstLine="0"/>
      </w:pPr>
      <w:rPr>
        <w:rFonts w:ascii="Times New Roman" w:cs="Times New Roman" w:eastAsia="Times New Roman" w:hAnsi="Times New Roman"/>
        <w:b w:val="0"/>
        <w:i w:val="0"/>
        <w:smallCaps w:val="0"/>
        <w:strike w:val="0"/>
        <w:color w:val="000000"/>
        <w:sz w:val="24"/>
        <w:szCs w:val="24"/>
        <w:u w:val="none"/>
        <w:vertAlign w:val="baseline"/>
      </w:rPr>
    </w:lvl>
    <w:lvl w:ilvl="8">
      <w:start w:val="1"/>
      <w:numFmt w:val="decimal"/>
      <w:lvlText w:val=""/>
      <w:lvlJc w:val="left"/>
      <w:pPr>
        <w:ind w:left="720" w:firstLine="0"/>
      </w:pPr>
      <w:rPr>
        <w:rFonts w:ascii="Times New Roman" w:cs="Times New Roman" w:eastAsia="Times New Roman" w:hAnsi="Times New Roman"/>
        <w:b w:val="0"/>
        <w:i w:val="0"/>
        <w:smallCaps w:val="0"/>
        <w:strike w:val="0"/>
        <w:color w:val="000000"/>
        <w:sz w:val="24"/>
        <w:szCs w:val="24"/>
        <w:u w:val="none"/>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6643C"/>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nhideWhenUsed w:val="1"/>
    <w:rsid w:val="004C3E3E"/>
    <w:pPr>
      <w:tabs>
        <w:tab w:val="center" w:pos="4680"/>
        <w:tab w:val="right" w:pos="9360"/>
      </w:tabs>
    </w:pPr>
  </w:style>
  <w:style w:type="character" w:styleId="FooterChar" w:customStyle="1">
    <w:name w:val="Footer Char"/>
    <w:basedOn w:val="DefaultParagraphFont"/>
    <w:link w:val="Footer"/>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nhideWhenUsed w:val="1"/>
    <w:rsid w:val="004C3E3E"/>
    <w:pPr>
      <w:tabs>
        <w:tab w:val="center" w:pos="4680"/>
        <w:tab w:val="right" w:pos="9360"/>
      </w:tabs>
    </w:pPr>
  </w:style>
  <w:style w:type="character" w:styleId="HeaderChar" w:customStyle="1">
    <w:name w:val="Header Char"/>
    <w:basedOn w:val="DefaultParagraphFont"/>
    <w:link w:val="Header"/>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613CB5"/>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18"/>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link w:val="Outline1L4Char"/>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OutlineL1" w:customStyle="1">
    <w:name w:val="Outline_L1"/>
    <w:basedOn w:val="Normal"/>
    <w:rsid w:val="006A1437"/>
    <w:pPr>
      <w:keepNext w:val="1"/>
      <w:keepLines w:val="1"/>
      <w:spacing w:after="240"/>
      <w:outlineLvl w:val="0"/>
    </w:pPr>
    <w:rPr>
      <w:szCs w:val="20"/>
    </w:rPr>
  </w:style>
  <w:style w:type="paragraph" w:styleId="OutlineL2" w:customStyle="1">
    <w:name w:val="Outline_L2"/>
    <w:basedOn w:val="OutlineL1"/>
    <w:rsid w:val="006A1437"/>
    <w:pPr>
      <w:keepNext w:val="0"/>
      <w:keepLines w:val="0"/>
      <w:outlineLvl w:val="1"/>
    </w:pPr>
  </w:style>
  <w:style w:type="paragraph" w:styleId="OutlineL3" w:customStyle="1">
    <w:name w:val="Outline_L3"/>
    <w:basedOn w:val="OutlineL2"/>
    <w:link w:val="OutlineL3Char"/>
    <w:rsid w:val="006A1437"/>
    <w:pPr>
      <w:outlineLvl w:val="2"/>
    </w:pPr>
  </w:style>
  <w:style w:type="paragraph" w:styleId="OutlineL4" w:customStyle="1">
    <w:name w:val="Outline_L4"/>
    <w:basedOn w:val="OutlineL3"/>
    <w:rsid w:val="006A1437"/>
    <w:pPr>
      <w:outlineLvl w:val="3"/>
    </w:pPr>
  </w:style>
  <w:style w:type="paragraph" w:styleId="OutlineL5" w:customStyle="1">
    <w:name w:val="Outline_L5"/>
    <w:basedOn w:val="OutlineL4"/>
    <w:rsid w:val="006A1437"/>
    <w:pPr>
      <w:outlineLvl w:val="4"/>
    </w:pPr>
  </w:style>
  <w:style w:type="paragraph" w:styleId="OutlineL6" w:customStyle="1">
    <w:name w:val="Outline_L6"/>
    <w:basedOn w:val="OutlineL5"/>
    <w:rsid w:val="006A1437"/>
    <w:pPr>
      <w:outlineLvl w:val="5"/>
    </w:pPr>
  </w:style>
  <w:style w:type="paragraph" w:styleId="OutlineL7" w:customStyle="1">
    <w:name w:val="Outline_L7"/>
    <w:basedOn w:val="OutlineL6"/>
    <w:rsid w:val="006A1437"/>
    <w:pPr>
      <w:outlineLvl w:val="6"/>
    </w:pPr>
  </w:style>
  <w:style w:type="paragraph" w:styleId="OutlineL8" w:customStyle="1">
    <w:name w:val="Outline_L8"/>
    <w:basedOn w:val="OutlineL7"/>
    <w:rsid w:val="006A1437"/>
    <w:pPr>
      <w:outlineLvl w:val="7"/>
    </w:pPr>
  </w:style>
  <w:style w:type="paragraph" w:styleId="OutlineL9" w:customStyle="1">
    <w:name w:val="Outline_L9"/>
    <w:basedOn w:val="OutlineL8"/>
    <w:rsid w:val="006A1437"/>
    <w:pPr>
      <w:outlineLvl w:val="8"/>
    </w:pPr>
  </w:style>
  <w:style w:type="character" w:styleId="OutlineL3Char" w:customStyle="1">
    <w:name w:val="Outline_L3 Char"/>
    <w:basedOn w:val="DefaultParagraphFont"/>
    <w:link w:val="OutlineL3"/>
    <w:rsid w:val="006A1437"/>
    <w:rPr>
      <w:rFonts w:ascii="Times New Roman" w:cs="Times New Roman" w:hAnsi="Times New Roman"/>
      <w:sz w:val="24"/>
      <w:szCs w:val="20"/>
    </w:rPr>
  </w:style>
  <w:style w:type="character" w:styleId="Outline1L4Char" w:customStyle="1">
    <w:name w:val="Outline1_L4 Char"/>
    <w:link w:val="Outline1L4"/>
    <w:rsid w:val="008131BF"/>
    <w:rPr>
      <w:rFonts w:ascii="Times New Roman" w:cs="Times New Roman" w:hAnsi="Times New Roman"/>
      <w:sz w:val="24"/>
      <w:szCs w:val="20"/>
    </w:rPr>
  </w:style>
  <w:style w:type="character" w:styleId="FootnoteReference">
    <w:name w:val="footnote reference"/>
    <w:basedOn w:val="DefaultParagraphFont"/>
    <w:uiPriority w:val="99"/>
    <w:semiHidden w:val="1"/>
    <w:unhideWhenUsed w:val="1"/>
    <w:rsid w:val="00030435"/>
    <w:rPr>
      <w:vertAlign w:val="superscript"/>
    </w:rPr>
  </w:style>
  <w:style w:type="paragraph" w:styleId="BodytextF5" w:customStyle="1">
    <w:name w:val="Bodytext F.5"/>
    <w:basedOn w:val="Normal"/>
    <w:rsid w:val="009F04AE"/>
    <w:pPr>
      <w:spacing w:after="240"/>
      <w:ind w:firstLine="720"/>
      <w:jc w:val="both"/>
    </w:pPr>
  </w:style>
  <w:style w:type="paragraph" w:styleId="Bold" w:customStyle="1">
    <w:name w:val="Bold"/>
    <w:basedOn w:val="Normal"/>
    <w:rsid w:val="009F04AE"/>
    <w:pPr>
      <w:spacing w:after="240"/>
      <w:jc w:val="both"/>
    </w:pPr>
    <w:rPr>
      <w:b w:val="1"/>
    </w:rPr>
  </w:style>
  <w:style w:type="paragraph" w:styleId="TitleBUCUpper" w:customStyle="1">
    <w:name w:val="Title BUC Upper"/>
    <w:basedOn w:val="Normal"/>
    <w:rsid w:val="009F04AE"/>
    <w:pPr>
      <w:spacing w:after="240"/>
      <w:jc w:val="center"/>
    </w:pPr>
    <w:rPr>
      <w:b w:val="1"/>
      <w:caps w:val="1"/>
      <w:u w:val="single"/>
    </w:rPr>
  </w:style>
  <w:style w:type="paragraph" w:styleId="GEB1" w:customStyle="1">
    <w:name w:val="GEB 1"/>
    <w:basedOn w:val="Normal"/>
    <w:next w:val="BodytextF5"/>
    <w:rsid w:val="009F04AE"/>
    <w:pPr>
      <w:numPr>
        <w:numId w:val="39"/>
      </w:numPr>
      <w:spacing w:after="240"/>
      <w:ind w:left="0"/>
      <w:jc w:val="both"/>
      <w:outlineLvl w:val="0"/>
    </w:pPr>
  </w:style>
  <w:style w:type="paragraph" w:styleId="GEB2" w:customStyle="1">
    <w:name w:val="GEB 2"/>
    <w:basedOn w:val="Normal"/>
    <w:next w:val="BodytextF5"/>
    <w:rsid w:val="009F04AE"/>
    <w:pPr>
      <w:numPr>
        <w:ilvl w:val="1"/>
        <w:numId w:val="39"/>
      </w:numPr>
      <w:spacing w:after="240"/>
      <w:ind w:left="0"/>
      <w:jc w:val="both"/>
      <w:outlineLvl w:val="1"/>
    </w:pPr>
  </w:style>
  <w:style w:type="paragraph" w:styleId="GEB3" w:customStyle="1">
    <w:name w:val="GEB 3"/>
    <w:basedOn w:val="Normal"/>
    <w:next w:val="BodytextF5"/>
    <w:rsid w:val="009F04AE"/>
    <w:pPr>
      <w:numPr>
        <w:ilvl w:val="2"/>
        <w:numId w:val="39"/>
      </w:numPr>
      <w:spacing w:after="240"/>
      <w:ind w:left="0"/>
      <w:jc w:val="both"/>
      <w:outlineLvl w:val="2"/>
    </w:pPr>
  </w:style>
  <w:style w:type="paragraph" w:styleId="GEB4" w:customStyle="1">
    <w:name w:val="GEB 4"/>
    <w:basedOn w:val="Normal"/>
    <w:next w:val="BodytextF5"/>
    <w:rsid w:val="009F04AE"/>
    <w:pPr>
      <w:numPr>
        <w:ilvl w:val="3"/>
        <w:numId w:val="39"/>
      </w:numPr>
      <w:spacing w:after="240"/>
      <w:ind w:left="0"/>
      <w:outlineLvl w:val="3"/>
    </w:pPr>
  </w:style>
  <w:style w:type="paragraph" w:styleId="GEB5" w:customStyle="1">
    <w:name w:val="GEB 5"/>
    <w:basedOn w:val="Normal"/>
    <w:next w:val="BodytextF5"/>
    <w:rsid w:val="009F04AE"/>
    <w:pPr>
      <w:widowControl w:val="0"/>
      <w:numPr>
        <w:ilvl w:val="4"/>
        <w:numId w:val="39"/>
      </w:numPr>
      <w:spacing w:after="240"/>
      <w:ind w:left="0"/>
      <w:outlineLvl w:val="4"/>
    </w:pPr>
  </w:style>
  <w:style w:type="paragraph" w:styleId="GEB6" w:customStyle="1">
    <w:name w:val="GEB 6"/>
    <w:basedOn w:val="Normal"/>
    <w:next w:val="BodytextF5"/>
    <w:rsid w:val="009F04AE"/>
    <w:pPr>
      <w:widowControl w:val="0"/>
      <w:numPr>
        <w:ilvl w:val="5"/>
        <w:numId w:val="39"/>
      </w:numPr>
      <w:spacing w:after="240"/>
      <w:ind w:left="0"/>
      <w:outlineLvl w:val="5"/>
    </w:pPr>
  </w:style>
  <w:style w:type="paragraph" w:styleId="GEB7" w:customStyle="1">
    <w:name w:val="GEB 7"/>
    <w:basedOn w:val="Normal"/>
    <w:next w:val="BodytextF5"/>
    <w:rsid w:val="009F04AE"/>
    <w:pPr>
      <w:numPr>
        <w:ilvl w:val="6"/>
        <w:numId w:val="39"/>
      </w:numPr>
      <w:spacing w:after="240"/>
      <w:ind w:left="0"/>
      <w:outlineLvl w:val="6"/>
    </w:pPr>
  </w:style>
  <w:style w:type="paragraph" w:styleId="GEB8" w:customStyle="1">
    <w:name w:val="GEB 8"/>
    <w:basedOn w:val="Normal"/>
    <w:next w:val="BodytextF5"/>
    <w:rsid w:val="009F04AE"/>
    <w:pPr>
      <w:numPr>
        <w:ilvl w:val="7"/>
        <w:numId w:val="39"/>
      </w:numPr>
      <w:spacing w:after="240"/>
      <w:ind w:left="0"/>
      <w:outlineLvl w:val="7"/>
    </w:pPr>
    <w:rPr>
      <w:rFonts w:ascii="t" w:hAnsi="t"/>
    </w:rPr>
  </w:style>
  <w:style w:type="paragraph" w:styleId="GEB9" w:customStyle="1">
    <w:name w:val="GEB 9"/>
    <w:basedOn w:val="Normal"/>
    <w:next w:val="BodytextF5"/>
    <w:rsid w:val="009F04AE"/>
    <w:pPr>
      <w:numPr>
        <w:ilvl w:val="8"/>
        <w:numId w:val="39"/>
      </w:numPr>
      <w:spacing w:after="240"/>
      <w:ind w:left="0"/>
      <w:outlineLvl w:val="8"/>
    </w:pPr>
    <w:rPr>
      <w:rFonts w:ascii="t" w:hAnsi="t"/>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eader" Target="header4.xml"/><Relationship Id="rId14" Type="http://schemas.openxmlformats.org/officeDocument/2006/relationships/header" Target="header5.xml"/><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hOvm5uveSMYRbm2gzLYjt9dfwg==">AMUW2mUO8Jo5KjZKNNw0kOUy4rR9a3cla/PM2nMvT9eBuRNUPA83Uy326czfDgKQGDXiQGLLOB0T0zXRZTc72RMIlObXh0Pg4u/6EwLEyH0ggpv8ZXrfsLedg3GUCHfQxrIYJxUOroCzXCa9z6SJ/jcTQGHbL9MHDVJufQAyPcl6Mac8FwiHPg9D3N7g9B0kfhaftnSbkzN7u2ztBZEzdk108KbX/beHaRCeOAjRVRTKb+RSUx3EpeZEB1Jdy8g3oxiUcXmS5aBtbuaGDUDp5mEpMIvvk4rl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2022-01-31T15:21:00Z</dcterms:created>
  <dc:creator>Goodwin Procter</dc:creator>
</cp:coreProperties>
</file>