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Encryption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w:t>
      </w:r>
      <w:r w:rsidDel="00000000" w:rsidR="00000000" w:rsidRPr="00000000">
        <w:rPr>
          <w:rtl w:val="0"/>
        </w:rPr>
        <w:t xml:space="preserve">managed by 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safeguard electronic PHI (“ePHI”) that is electronically transmitted over open networks by Company.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requires the encryption of ePHI transmitted over open networks such as the Internet, and provides for the secure administration of Company’s encryption protocols.  This Policy covers data transmission over an open network only and not transmissions through private wire arrangements, dial-in lines or intranets. This Policy does not cover “at rest” data residing on local components of the Company Computer Network, which is subject to other applicable Company policies. Any encryption of data not required under this Policy must be approved in writing by the Chief Security Officer.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personnel are subject to this Policy to the </w:t>
      </w:r>
      <w:r w:rsidDel="00000000" w:rsidR="00000000" w:rsidRPr="00000000">
        <w:rPr>
          <w:rtl w:val="0"/>
        </w:rPr>
        <w:t xml:space="preserve">extent that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transmit ePHI over the open network.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ePHI will be encrypted before it is emailed or otherwise transmitted over open networks such as the Internet. To ensure that ePHI is transmitted only to authorized third parties, personnel must comply with all protocols established by Company for confirming that the intended recipient of any encrypted data is identified and authenticated.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Encryption Keys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must exercise the same precautions in protecting encryption keys from disclosure as is required for passwords under Company’s Password Management Policy. Encryption keys must not be sent by electronic mail over the Internet or any other open network, unless such information is encrypted using keys that have been previously exchanged using secure means. In the event that this is not possible, encryption keys should be mailed to the authorized recipient in an envelope clearly marked as confidential or disclosed to the recipient by phone. Personnel must not attempt to break encryption codes used by Company, or modify, destroy or otherwise compromise the efficacy of Company’s encryption system or related keys.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Company’s encryption protocols will be restricted to authorized third parties and those personnel requiring such access to perform their job responsibilities.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Security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maintain a list of all authorized encryption users issued encryption keys.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will be responsible for training all applicable personnel in the use of encryption, identification and authentication protocols, as well as the manner in which personnel will instruct recipients with respect to the decryption of any encrypted data transmitted by Company.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Deactivation of Keys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promptly report to the Chief Security Officer any instance in which they believe that an unauthorized party has had access to an encryption key, or circumstances in which the security of Company’s encryption system has been otherwise compromised. In such instances, immediate steps will be taken by the Chief Security Officer to deactivate the compromised key and remedy the specific security breach, as applicable.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Chief Security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immediately deactivate and archive encryption keys upon notification by Human Resources of the termination of an individual’s employment with Company.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Encryption Technology and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consistency within the Company Computer Network and interoperability between the Company Computer Network and third-party systems, all algorithms and products used by Company in connection with encryption must be approved by the Chief Security Officer. The encryption system must provide a sufficient level of security to safeguard against the unauthorized access to or modification of ePHI. For data in motion, encryption must be in accordance with Federal Information Processing Standards (FIPS) 140-2. These include, as appropriate, standards described in NIST Special Publications 800-52,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Guidelines for the Selection and Use of Transport Layer Security (TLS) Implementations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800-77,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Guide to IPsec VPNs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800-113,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Guide to SSL VPNs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may include others which are FIPS 140-2 validated.</w:t>
      </w:r>
    </w:p>
    <w:p w:rsidR="00000000" w:rsidDel="00000000" w:rsidP="00000000" w:rsidRDefault="00000000" w:rsidRPr="00000000" w14:paraId="0000002C">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Encryption keys will be developed through mechanisms that are not easily reproducible by third parties (e.g., computerized random number generation). The Chief Security Officer will be responsible for reviewing and determining (a) the length of the keys, (b) the quality of the encryption and (c) the frequency of modifications to the key configurations. Any increase in the length of the encryption keys, upgrades to the applicable technology or routine changes to key configurations will be performed in accordance with applicable standards published by government agencies, or if such standards are not available, in accordance with industry standards and guidelines.</w:t>
      </w:r>
    </w:p>
    <w:p w:rsidR="00000000" w:rsidDel="00000000" w:rsidP="00000000" w:rsidRDefault="00000000" w:rsidRPr="00000000" w14:paraId="0000002E">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data that has been encrypted may be irretrievable in the event an encryption key is lost or damaged, all encryption products used by Company must support a technology that will make keys available to authorized individuals and include key recovery capabilities. Any use of encryption without such technology must be approved in writing by the Chief Security Officer. In addition, the Chief Security Officer or his or her designee will maintain, in a secure environment, an archive of all encryption keys used by Company. In no event will such keys be stored on the same media as that which is used for ePHI.</w:t>
      </w:r>
    </w:p>
    <w:p w:rsidR="00000000" w:rsidDel="00000000" w:rsidP="00000000" w:rsidRDefault="00000000" w:rsidRPr="00000000" w14:paraId="00000030">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Security Officer will be responsible for (a) ensuring that the import, export and use of any encryption services and products involving foreign countries complies with all applicable laws and regulations and (b) handling any requests for access to encrypted ePHI that may need to be made available in unencrypted form as required by law.</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164.530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semiHidden w:val="1"/>
    <w:unhideWhenUsed w:val="1"/>
    <w:rsid w:val="004C3E3E"/>
    <w:rPr>
      <w:sz w:val="20"/>
      <w:szCs w:val="20"/>
    </w:rPr>
  </w:style>
  <w:style w:type="character" w:styleId="CommentTextChar" w:customStyle="1">
    <w:name w:val="Comment Text Char"/>
    <w:basedOn w:val="DefaultParagraphFont"/>
    <w:link w:val="CommentText"/>
    <w:semiHidden w:val="1"/>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1"/>
      </w:numPr>
      <w:contextualSpacing w:val="1"/>
    </w:pPr>
  </w:style>
  <w:style w:type="paragraph" w:styleId="ListBullet2">
    <w:name w:val="List Bullet 2"/>
    <w:basedOn w:val="Normal"/>
    <w:uiPriority w:val="9"/>
    <w:qFormat w:val="1"/>
    <w:rsid w:val="004C3E3E"/>
    <w:pPr>
      <w:numPr>
        <w:numId w:val="13"/>
      </w:numPr>
      <w:contextualSpacing w:val="1"/>
    </w:pPr>
  </w:style>
  <w:style w:type="paragraph" w:styleId="ListBullet3">
    <w:name w:val="List Bullet 3"/>
    <w:basedOn w:val="Normal"/>
    <w:uiPriority w:val="9"/>
    <w:qFormat w:val="1"/>
    <w:rsid w:val="004C3E3E"/>
    <w:pPr>
      <w:numPr>
        <w:numId w:val="15"/>
      </w:numPr>
      <w:contextualSpacing w:val="1"/>
    </w:pPr>
  </w:style>
  <w:style w:type="paragraph" w:styleId="ListBullet4">
    <w:name w:val="List Bullet 4"/>
    <w:basedOn w:val="Normal"/>
    <w:uiPriority w:val="9"/>
    <w:qFormat w:val="1"/>
    <w:rsid w:val="004C3E3E"/>
    <w:pPr>
      <w:numPr>
        <w:numId w:val="17"/>
      </w:numPr>
      <w:contextualSpacing w:val="1"/>
    </w:pPr>
  </w:style>
  <w:style w:type="paragraph" w:styleId="ListBullet5">
    <w:name w:val="List Bullet 5"/>
    <w:basedOn w:val="Normal"/>
    <w:uiPriority w:val="9"/>
    <w:qFormat w:val="1"/>
    <w:rsid w:val="004C3E3E"/>
    <w:pPr>
      <w:numPr>
        <w:numId w:val="19"/>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21"/>
      </w:numPr>
      <w:contextualSpacing w:val="1"/>
    </w:pPr>
  </w:style>
  <w:style w:type="paragraph" w:styleId="ListNumber2">
    <w:name w:val="List Number 2"/>
    <w:basedOn w:val="Normal"/>
    <w:uiPriority w:val="99"/>
    <w:semiHidden w:val="1"/>
    <w:unhideWhenUsed w:val="1"/>
    <w:rsid w:val="004C3E3E"/>
    <w:pPr>
      <w:numPr>
        <w:numId w:val="23"/>
      </w:numPr>
      <w:contextualSpacing w:val="1"/>
    </w:pPr>
  </w:style>
  <w:style w:type="paragraph" w:styleId="ListNumber3">
    <w:name w:val="List Number 3"/>
    <w:basedOn w:val="Normal"/>
    <w:uiPriority w:val="99"/>
    <w:semiHidden w:val="1"/>
    <w:unhideWhenUsed w:val="1"/>
    <w:rsid w:val="004C3E3E"/>
    <w:pPr>
      <w:numPr>
        <w:numId w:val="25"/>
      </w:numPr>
      <w:contextualSpacing w:val="1"/>
    </w:pPr>
  </w:style>
  <w:style w:type="paragraph" w:styleId="ListNumber4">
    <w:name w:val="List Number 4"/>
    <w:basedOn w:val="Normal"/>
    <w:uiPriority w:val="99"/>
    <w:semiHidden w:val="1"/>
    <w:unhideWhenUsed w:val="1"/>
    <w:rsid w:val="004C3E3E"/>
    <w:pPr>
      <w:numPr>
        <w:numId w:val="27"/>
      </w:numPr>
      <w:contextualSpacing w:val="1"/>
    </w:pPr>
  </w:style>
  <w:style w:type="paragraph" w:styleId="ListNumber5">
    <w:name w:val="List Number 5"/>
    <w:basedOn w:val="Normal"/>
    <w:uiPriority w:val="99"/>
    <w:semiHidden w:val="1"/>
    <w:unhideWhenUsed w:val="1"/>
    <w:rsid w:val="004C3E3E"/>
    <w:pPr>
      <w:numPr>
        <w:numId w:val="29"/>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DD78B7"/>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semiHidden w:val="1"/>
    <w:rsid w:val="008E35A3"/>
    <w:rPr>
      <w:sz w:val="16"/>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z0l+uznBTKzRl202z7c6l9B9Bw==">AMUW2mWJMwM72a9sTgUWfBxp51k1WALTf6Vi1WjIpnBRGhVEasRA6QD0R+mQRubkXXxXIJjJdUVb/9xLqSn2sURe0zT0jwvdz5QKAnFYQpsW7Pcl/KgEl+YqZpVyIJwgNq1hufzgenll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2022-01-31T15:27:00Z</dcterms:created>
  <dc:creator>Goodwin Procter</dc:creator>
</cp:coreProperties>
</file>