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ech-gap-analysis-section-level-summary"/>
    <w:p>
      <w:pPr>
        <w:pStyle w:val="Heading1"/>
      </w:pPr>
      <w:r>
        <w:t xml:space="preserve">ECH Gap Analysis — Section-Level Summary</w:t>
      </w:r>
    </w:p>
    <w:p>
      <w:pPr>
        <w:pStyle w:val="FirstParagraph"/>
      </w:pPr>
      <w:r>
        <w:t xml:space="preserve">Across 7 questionnaires and 36 sections (covering 182 CSV rows), Millie’s existing originals already cover the bulk of what ECH asks for — but a section-level pass was too coarse and hid real row-level gaps. The numbers below reflect a follow-up row-level verification (see</w:t>
      </w:r>
      <w:r>
        <w:t xml:space="preserve"> </w:t>
      </w:r>
      <w:hyperlink r:id="rId9">
        <w:r>
          <w:rPr>
            <w:rStyle w:val="Hyperlink"/>
          </w:rPr>
          <w:t xml:space="preserve">ROW-LEVEL-VERIFICATION.md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Counts: 11 No Gap, 17 N/A, 8 Gap.</w:t>
      </w:r>
    </w:p>
    <w:p>
      <w:pPr>
        <w:pStyle w:val="BodyText"/>
      </w:pPr>
      <w:r>
        <w:t xml:space="preserve">Recommended action set (3 from the original section pass, 5 from row-level verification — short clauses appended to existing policies, no new files needed):</w:t>
      </w:r>
    </w:p>
    <w:p>
      <w:pPr>
        <w:pStyle w:val="Compact"/>
        <w:numPr>
          <w:ilvl w:val="0"/>
          <w:numId w:val="1001"/>
        </w:numPr>
      </w:pPr>
      <w:r>
        <w:t xml:space="preserve">Email-authentication / DMARC clause → Information Security Framework §6.</w:t>
      </w:r>
    </w:p>
    <w:p>
      <w:pPr>
        <w:pStyle w:val="Compact"/>
        <w:numPr>
          <w:ilvl w:val="0"/>
          <w:numId w:val="1001"/>
        </w:numPr>
      </w:pPr>
      <w:r>
        <w:t xml:space="preserve">BYOD / MDM clause → Workstation Use Policy.</w:t>
      </w:r>
    </w:p>
    <w:p>
      <w:pPr>
        <w:pStyle w:val="Compact"/>
        <w:numPr>
          <w:ilvl w:val="0"/>
          <w:numId w:val="1001"/>
        </w:numPr>
      </w:pPr>
      <w:r>
        <w:t xml:space="preserve">Pandemic-operations + multi-vendor-resiliency clause → Contingency Planning Policy.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DR exercise/testing cadence sentence → Contingency Planning Policy §III(d).</w:t>
      </w:r>
      <w:r>
        <w:t xml:space="preserve"> </w:t>
      </w:r>
      <w:r>
        <w:t xml:space="preserve">(K.2)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Change Management clause → SDLC &amp; Asset Lifecycle Policy §III(c).</w:t>
      </w:r>
      <w:r>
        <w:t xml:space="preserve"> </w:t>
      </w:r>
      <w:r>
        <w:t xml:space="preserve">(G.2)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C-SCRM framing paragraph → Information Security Framework §11.</w:t>
      </w:r>
      <w:r>
        <w:t xml:space="preserve"> </w:t>
      </w:r>
      <w:r>
        <w:t xml:space="preserve">(S.32 + S.57 + S.61 + S.80 + S.100 — one paragraph closes all five rows)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Proactive log-review cadence + Dependabot triage / patch SLA → Information Security Framework §6 and §7. Tamper-resistant incident log sentence → Security Incident Mgmt Policy §III(c).</w:t>
      </w:r>
      <w:r>
        <w:t xml:space="preserve"> </w:t>
      </w:r>
      <w:r>
        <w:t xml:space="preserve">(J.5 + J.14 + OWASP A06)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Password storage (hashing) + session-token protection sentences → Password Management Policy §III.</w:t>
      </w:r>
      <w:r>
        <w:t xml:space="preserve"> </w:t>
      </w:r>
      <w:r>
        <w:t xml:space="preserve">(OWASP A02 + A07)</w:t>
      </w:r>
    </w:p>
    <w:p>
      <w:pPr>
        <w:pStyle w:val="FirstParagraph"/>
      </w:pPr>
      <w:r>
        <w:t xml:space="preserve">Plus the evidence task (not a policy edit): attach cyber-liability certificate and pentest / audit attestation.</w:t>
      </w:r>
    </w:p>
    <w:p>
      <w:pPr>
        <w:pStyle w:val="BodyText"/>
      </w:pPr>
      <w:r>
        <w:t xml:space="preserve">Everything else is either already covered by an existing original or is honestly answered</w:t>
      </w:r>
      <w:r>
        <w:t xml:space="preserve"> </w:t>
      </w:r>
      <w:r>
        <w:t xml:space="preserve">“N/A — not in scope for our business.”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Questionnaire</w:t>
            </w:r>
          </w:p>
        </w:tc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Rationale (≤2 sentences)</w:t>
            </w:r>
          </w:p>
        </w:tc>
        <w:tc>
          <w:tcPr/>
          <w:p>
            <w:pPr>
              <w:pStyle w:val="Compact"/>
            </w:pPr>
            <w:r>
              <w:t xml:space="preserve">Recommended 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AWS Questionnaire</w:t>
            </w:r>
          </w:p>
        </w:tc>
        <w:tc>
          <w:tcPr/>
          <w:p>
            <w:pPr>
              <w:pStyle w:val="Compact"/>
            </w:pPr>
            <w:r>
              <w:t xml:space="preserve">AWS Account Management</w:t>
            </w:r>
          </w:p>
        </w:tc>
        <w:tc>
          <w:tcPr/>
          <w:p>
            <w:pPr>
              <w:pStyle w:val="Compact"/>
            </w:pPr>
            <w:r>
              <w:t xml:space="preserve">No Gap</w:t>
            </w:r>
          </w:p>
        </w:tc>
        <w:tc>
          <w:tcPr/>
          <w:p>
            <w:pPr>
              <w:pStyle w:val="Compact"/>
            </w:pPr>
            <w:r>
              <w:t xml:space="preserve">Operational answers already in CSV; AWS/Aptible Incident Mgmt Policy + Info Sec Framework cover the policy posture (single-account, root MFA, etc.).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AWS Questionnaire</w:t>
            </w:r>
          </w:p>
        </w:tc>
        <w:tc>
          <w:tcPr/>
          <w:p>
            <w:pPr>
              <w:pStyle w:val="Compact"/>
            </w:pPr>
            <w:r>
              <w:t xml:space="preserve">Encryption</w:t>
            </w:r>
          </w:p>
        </w:tc>
        <w:tc>
          <w:tcPr/>
          <w:p>
            <w:pPr>
              <w:pStyle w:val="Compact"/>
            </w:pPr>
            <w:r>
              <w:t xml:space="preserve">No Gap</w:t>
            </w:r>
          </w:p>
        </w:tc>
        <w:tc>
          <w:tcPr/>
          <w:p>
            <w:pPr>
              <w:pStyle w:val="Compact"/>
            </w:pPr>
            <w:r>
              <w:t xml:space="preserve">Encryption Policy + Info Sec Framework §5 cover at-rest/in-transit; Aptible-managed encryption referenced.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AWS Questionnaire</w:t>
            </w:r>
          </w:p>
        </w:tc>
        <w:tc>
          <w:tcPr/>
          <w:p>
            <w:pPr>
              <w:pStyle w:val="Compact"/>
            </w:pPr>
            <w:r>
              <w:t xml:space="preserve">Identity and Access Management</w:t>
            </w:r>
          </w:p>
        </w:tc>
        <w:tc>
          <w:tcPr/>
          <w:p>
            <w:pPr>
              <w:pStyle w:val="Compact"/>
            </w:pPr>
            <w:r>
              <w:t xml:space="preserve">No Gap</w:t>
            </w:r>
          </w:p>
        </w:tc>
        <w:tc>
          <w:tcPr/>
          <w:p>
            <w:pPr>
              <w:pStyle w:val="Compact"/>
            </w:pPr>
            <w:r>
              <w:t xml:space="preserve">Password Mgmt + Safeguards §III(b) Access Controls + Info Sec §4 cover RBAC / least-privilege / MFA; specific AWS deviations honestly answered in CSV.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AWS Questionnaire</w:t>
            </w:r>
          </w:p>
        </w:tc>
        <w:tc>
          <w:tcPr/>
          <w:p>
            <w:pPr>
              <w:pStyle w:val="Compact"/>
            </w:pPr>
            <w:r>
              <w:t xml:space="preserve">Network Security</w:t>
            </w:r>
          </w:p>
        </w:tc>
        <w:tc>
          <w:tcPr/>
          <w:p>
            <w:pPr>
              <w:pStyle w:val="Compact"/>
            </w:pPr>
            <w:r>
              <w:t xml:space="preserve">No Gap</w:t>
            </w:r>
          </w:p>
        </w:tc>
        <w:tc>
          <w:tcPr/>
          <w:p>
            <w:pPr>
              <w:pStyle w:val="Compact"/>
            </w:pPr>
            <w:r>
              <w:t xml:space="preserve">AWS/Aptible Incident Mgmt Policy + CSV operational answers cover security groups, private subnets, S3 public-access posture.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AWS Questionnaire</w:t>
            </w:r>
          </w:p>
        </w:tc>
        <w:tc>
          <w:tcPr/>
          <w:p>
            <w:pPr>
              <w:pStyle w:val="Compact"/>
            </w:pPr>
            <w:r>
              <w:t xml:space="preserve">Detection and Monitoring</w:t>
            </w:r>
          </w:p>
        </w:tc>
        <w:tc>
          <w:tcPr/>
          <w:p>
            <w:pPr>
              <w:pStyle w:val="Compact"/>
            </w:pPr>
            <w:r>
              <w:t xml:space="preserve">No Gap</w:t>
            </w:r>
          </w:p>
        </w:tc>
        <w:tc>
          <w:tcPr/>
          <w:p>
            <w:pPr>
              <w:pStyle w:val="Compact"/>
            </w:pPr>
            <w:r>
              <w:t xml:space="preserve">Info Sec Framework §7 (Logging/Monitoring) + AWS/Aptible Incident Mgmt §III.2 cover CloudTrail / GuardDuty.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AWS Questionnaire</w:t>
            </w:r>
          </w:p>
        </w:tc>
        <w:tc>
          <w:tcPr/>
          <w:p>
            <w:pPr>
              <w:pStyle w:val="Compact"/>
            </w:pPr>
            <w:r>
              <w:t xml:space="preserve">Processes</w:t>
            </w:r>
          </w:p>
        </w:tc>
        <w:tc>
          <w:tcPr/>
          <w:p>
            <w:pPr>
              <w:pStyle w:val="Compact"/>
            </w:pPr>
            <w:r>
              <w:t xml:space="preserve">No Gap</w:t>
            </w:r>
          </w:p>
        </w:tc>
        <w:tc>
          <w:tcPr/>
          <w:p>
            <w:pPr>
              <w:pStyle w:val="Compact"/>
            </w:pPr>
            <w:r>
              <w:t xml:space="preserve">SDLC Policy + AWS/Aptible Incident Mgmt Policy cover IaC, IR plan, backups; remaining items (dedicated backup account, custom AMIs) are operational answers, not policy gaps.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ISD IT Risk Assessment</w:t>
            </w:r>
          </w:p>
        </w:tc>
        <w:tc>
          <w:tcPr/>
          <w:p>
            <w:pPr>
              <w:pStyle w:val="Compact"/>
            </w:pPr>
            <w:r>
              <w:t xml:space="preserve">Request Details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Project-intake form fields, not policy questions.</w:t>
            </w:r>
          </w:p>
        </w:tc>
        <w:tc>
          <w:tcPr/>
          <w:p>
            <w:pPr>
              <w:pStyle w:val="Compact"/>
            </w:pPr>
            <w:r>
              <w:t xml:space="preserve">Answer in-form at submission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ISD IT Risk Assessment</w:t>
            </w:r>
          </w:p>
        </w:tc>
        <w:tc>
          <w:tcPr/>
          <w:p>
            <w:pPr>
              <w:pStyle w:val="Compact"/>
            </w:pPr>
            <w:r>
              <w:t xml:space="preserve">Server &amp; Storage Requirements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Project-intake field.</w:t>
            </w:r>
          </w:p>
        </w:tc>
        <w:tc>
          <w:tcPr/>
          <w:p>
            <w:pPr>
              <w:pStyle w:val="Compact"/>
            </w:pPr>
            <w:r>
              <w:t xml:space="preserve">Answer in-form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ISD IT Risk Assessment</w:t>
            </w:r>
          </w:p>
        </w:tc>
        <w:tc>
          <w:tcPr/>
          <w:p>
            <w:pPr>
              <w:pStyle w:val="Compact"/>
            </w:pPr>
            <w:r>
              <w:t xml:space="preserve">Network Requirements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Cloud-native — no new ports / WAN / site-VPN.</w:t>
            </w:r>
          </w:p>
        </w:tc>
        <w:tc>
          <w:tcPr/>
          <w:p>
            <w:pPr>
              <w:pStyle w:val="Compact"/>
            </w:pPr>
            <w:r>
              <w:t xml:space="preserve">Answer in-form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ISD IT Risk Assessment</w:t>
            </w:r>
          </w:p>
        </w:tc>
        <w:tc>
          <w:tcPr/>
          <w:p>
            <w:pPr>
              <w:pStyle w:val="Compact"/>
            </w:pPr>
            <w:r>
              <w:t xml:space="preserve">Identity &amp; Access Management</w:t>
            </w:r>
          </w:p>
        </w:tc>
        <w:tc>
          <w:tcPr/>
          <w:p>
            <w:pPr>
              <w:pStyle w:val="Compact"/>
            </w:pPr>
            <w:r>
              <w:t xml:space="preserve">No Gap</w:t>
            </w:r>
          </w:p>
        </w:tc>
        <w:tc>
          <w:tcPr/>
          <w:p>
            <w:pPr>
              <w:pStyle w:val="Compact"/>
            </w:pPr>
            <w:r>
              <w:t xml:space="preserve">Password Mgmt + Remote Access + Safeguards cover MFA, auth, vendor remote access.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ISD IT Risk Assessment</w:t>
            </w:r>
          </w:p>
        </w:tc>
        <w:tc>
          <w:tcPr/>
          <w:p>
            <w:pPr>
              <w:pStyle w:val="Compact"/>
            </w:pPr>
            <w:r>
              <w:t xml:space="preserve">Additional Cybersecurity Questions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/>
          <w:p>
            <w:pPr>
              <w:pStyle w:val="Compact"/>
            </w:pPr>
            <w:r>
              <w:t xml:space="preserve">DMARC / email-authentication (row 55) and AV-exclusion / vuln-scan-exclusion stance (rows 50–52) not in any original.</w:t>
            </w:r>
          </w:p>
        </w:tc>
        <w:tc>
          <w:tcPr/>
          <w:p>
            <w:pPr>
              <w:pStyle w:val="Compact"/>
            </w:pPr>
            <w:r>
              <w:t xml:space="preserve">Add 1-paragraph</w:t>
            </w:r>
            <w:r>
              <w:t xml:space="preserve"> </w:t>
            </w:r>
            <w:r>
              <w:t xml:space="preserve">“Email Authentication &amp; Anti-Malware Exclusions”</w:t>
            </w:r>
            <w:r>
              <w:t xml:space="preserve"> </w:t>
            </w:r>
            <w:r>
              <w:t xml:space="preserve">clause to the Info Sec &amp; Data Governance Framework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ISD IT Risk Assessment</w:t>
            </w:r>
          </w:p>
        </w:tc>
        <w:tc>
          <w:tcPr/>
          <w:p>
            <w:pPr>
              <w:pStyle w:val="Compact"/>
            </w:pPr>
            <w:r>
              <w:t xml:space="preserve">Integration Requirements</w:t>
            </w:r>
          </w:p>
        </w:tc>
        <w:tc>
          <w:tcPr/>
          <w:p>
            <w:pPr>
              <w:pStyle w:val="Compact"/>
            </w:pPr>
            <w:r>
              <w:t xml:space="preserve">No Gap</w:t>
            </w:r>
          </w:p>
        </w:tc>
        <w:tc>
          <w:tcPr/>
          <w:p>
            <w:pPr>
              <w:pStyle w:val="Compact"/>
            </w:pPr>
            <w:r>
              <w:t xml:space="preserve">SDLC Policy covers API / interface change considerations.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ISD IT Risk Assessment</w:t>
            </w:r>
          </w:p>
        </w:tc>
        <w:tc>
          <w:tcPr/>
          <w:p>
            <w:pPr>
              <w:pStyle w:val="Compact"/>
            </w:pPr>
            <w:r>
              <w:t xml:space="preserve">End-user Compute Requirements</w:t>
            </w:r>
          </w:p>
        </w:tc>
        <w:tc>
          <w:tcPr/>
          <w:p>
            <w:pPr>
              <w:pStyle w:val="Compact"/>
            </w:pPr>
            <w:r>
              <w:t xml:space="preserve">No Gap</w:t>
            </w:r>
          </w:p>
        </w:tc>
        <w:tc>
          <w:tcPr/>
          <w:p>
            <w:pPr>
              <w:pStyle w:val="Compact"/>
            </w:pPr>
            <w:r>
              <w:t xml:space="preserve">Workstation Use Policy + Remote Access Policy cover EUC posture.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ISD IT Risk Assessment</w:t>
            </w:r>
          </w:p>
        </w:tc>
        <w:tc>
          <w:tcPr/>
          <w:p>
            <w:pPr>
              <w:pStyle w:val="Compact"/>
            </w:pPr>
            <w:r>
              <w:t xml:space="preserve">Clinical Engineering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No Internet of Medical Things (IoMT) — clinic uses standard endpoints + cloud services.</w:t>
            </w:r>
          </w:p>
        </w:tc>
        <w:tc>
          <w:tcPr/>
          <w:p>
            <w:pPr>
              <w:pStyle w:val="Compact"/>
            </w:pPr>
            <w:r>
              <w:t xml:space="preserve">Answer N/A in submission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ISD IT Risk Assessment</w:t>
            </w:r>
          </w:p>
        </w:tc>
        <w:tc>
          <w:tcPr/>
          <w:p>
            <w:pPr>
              <w:pStyle w:val="Compact"/>
            </w:pPr>
            <w:r>
              <w:t xml:space="preserve">Telecommunications Requirements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Standard SaaS telephony (RingCentral); no special telecom requirements.</w:t>
            </w:r>
          </w:p>
        </w:tc>
        <w:tc>
          <w:tcPr/>
          <w:p>
            <w:pPr>
              <w:pStyle w:val="Compact"/>
            </w:pPr>
            <w:r>
              <w:t xml:space="preserve">Answer N/A in submission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ISD IT Risk Assessment</w:t>
            </w:r>
          </w:p>
        </w:tc>
        <w:tc>
          <w:tcPr/>
          <w:p>
            <w:pPr>
              <w:pStyle w:val="Compact"/>
            </w:pPr>
            <w:r>
              <w:t xml:space="preserve">Timeline / Vendor Support / Other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Project-intake fields.</w:t>
            </w:r>
          </w:p>
        </w:tc>
        <w:tc>
          <w:tcPr/>
          <w:p>
            <w:pPr>
              <w:pStyle w:val="Compact"/>
            </w:pPr>
            <w:r>
              <w:t xml:space="preserve">Answer in-form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OWASP Top 10</w:t>
            </w:r>
          </w:p>
        </w:tc>
        <w:tc>
          <w:tcPr/>
          <w:p>
            <w:pPr>
              <w:pStyle w:val="Compact"/>
            </w:pPr>
            <w:r>
              <w:t xml:space="preserve">A01–A10 (all 10 items)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/>
          <w:p>
            <w:pPr>
              <w:pStyle w:val="Compact"/>
            </w:pPr>
            <w:r>
              <w:t xml:space="preserve">A01 / A03 / A04 / A05 / A08 / A09 / A10 covered by Safeguards / Encryption / SDLC / AWS-Aptible IR. A02 (password storage / hashing), A06 (vuln-scan cadence + patch SLA), A07 (session-token protection) need explicit clauses. CSV flagged all three as FOLLOW UP / Remediate.</w:t>
            </w:r>
          </w:p>
        </w:tc>
        <w:tc>
          <w:tcPr/>
          <w:p>
            <w:pPr>
              <w:pStyle w:val="Compact"/>
            </w:pPr>
            <w:r>
              <w:t xml:space="preserve">A02 + A07 → 1-sentence each to Password Mgmt §III. A06 → Dependabot + patch-SLA sentence to Framework §6.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PCI DSS Assessment Form</w:t>
            </w:r>
          </w:p>
        </w:tc>
        <w:tc>
          <w:tcPr/>
          <w:p>
            <w:pPr>
              <w:pStyle w:val="Compact"/>
            </w:pPr>
            <w:r>
              <w:t xml:space="preserve">General (all 10)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Millie does not process, store, or transmit cardholder data — payments outsourced.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  <w:r>
              <w:t xml:space="preserve"> </w:t>
            </w:r>
            <w:r>
              <w:t xml:space="preserve">“N/A — payments outsourced; no cardholder data in scope”</w:t>
            </w:r>
            <w:r>
              <w:t xml:space="preserve"> </w:t>
            </w:r>
            <w:r>
              <w:t xml:space="preserve">in submission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 Lite 2025</w:t>
            </w:r>
          </w:p>
        </w:tc>
        <w:tc>
          <w:tcPr/>
          <w:p>
            <w:pPr>
              <w:pStyle w:val="Compact"/>
            </w:pPr>
            <w:r>
              <w:t xml:space="preserve">A. Enterprise Risk Management</w:t>
            </w:r>
          </w:p>
        </w:tc>
        <w:tc>
          <w:tcPr/>
          <w:p>
            <w:pPr>
              <w:pStyle w:val="Compact"/>
            </w:pPr>
            <w:r>
              <w:t xml:space="preserve">No Gap</w:t>
            </w:r>
          </w:p>
        </w:tc>
        <w:tc>
          <w:tcPr/>
          <w:p>
            <w:pPr>
              <w:pStyle w:val="Compact"/>
            </w:pPr>
            <w:r>
              <w:t xml:space="preserve">Risk Mgmt Policy + Info Sec Framework §2 cover ERM framing.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 Lite 2025</w:t>
            </w:r>
          </w:p>
        </w:tc>
        <w:tc>
          <w:tcPr/>
          <w:p>
            <w:pPr>
              <w:pStyle w:val="Compact"/>
            </w:pPr>
            <w:r>
              <w:t xml:space="preserve">B. Nth Party Management</w:t>
            </w:r>
          </w:p>
        </w:tc>
        <w:tc>
          <w:tcPr/>
          <w:p>
            <w:pPr>
              <w:pStyle w:val="Compact"/>
            </w:pPr>
            <w:r>
              <w:t xml:space="preserve">No Gap</w:t>
            </w:r>
          </w:p>
        </w:tc>
        <w:tc>
          <w:tcPr/>
          <w:p>
            <w:pPr>
              <w:pStyle w:val="Compact"/>
            </w:pPr>
            <w:r>
              <w:t xml:space="preserve">BAA Policy + Info Sec Framework (1).md §11 (Nth-party flow-down clause) cover it.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 Lite 2025</w:t>
            </w:r>
          </w:p>
        </w:tc>
        <w:tc>
          <w:tcPr/>
          <w:p>
            <w:pPr>
              <w:pStyle w:val="Compact"/>
            </w:pPr>
            <w:r>
              <w:t xml:space="preserve">C. Information Assurance</w:t>
            </w:r>
          </w:p>
        </w:tc>
        <w:tc>
          <w:tcPr/>
          <w:p>
            <w:pPr>
              <w:pStyle w:val="Compact"/>
            </w:pPr>
            <w:r>
              <w:t xml:space="preserve">No Gap</w:t>
            </w:r>
          </w:p>
        </w:tc>
        <w:tc>
          <w:tcPr/>
          <w:p>
            <w:pPr>
              <w:pStyle w:val="Compact"/>
            </w:pPr>
            <w:r>
              <w:t xml:space="preserve">Info Sec Framework + Risk Mgmt Policy answer C.1 and C.4.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 Lite 2025</w:t>
            </w:r>
          </w:p>
        </w:tc>
        <w:tc>
          <w:tcPr/>
          <w:p>
            <w:pPr>
              <w:pStyle w:val="Compact"/>
            </w:pPr>
            <w:r>
              <w:t xml:space="preserve">D. Asset and Info Management</w:t>
            </w:r>
          </w:p>
        </w:tc>
        <w:tc>
          <w:tcPr/>
          <w:p>
            <w:pPr>
              <w:pStyle w:val="Compact"/>
            </w:pPr>
            <w:r>
              <w:t xml:space="preserve">No Gap</w:t>
            </w:r>
          </w:p>
        </w:tc>
        <w:tc>
          <w:tcPr/>
          <w:p>
            <w:pPr>
              <w:pStyle w:val="Compact"/>
            </w:pPr>
            <w:r>
              <w:t xml:space="preserve">SDLC / Asset Lifecycle Policy, Workstation Use, and Info Sec §9 (Retention) cover D.1 / D.2 / D.3; the Platform Matrix is the IT asset inventory.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 Lite 2025</w:t>
            </w:r>
          </w:p>
        </w:tc>
        <w:tc>
          <w:tcPr/>
          <w:p>
            <w:pPr>
              <w:pStyle w:val="Compact"/>
            </w:pPr>
            <w:r>
              <w:t xml:space="preserve">E. Human Resources Security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HR policies owned by HR / Gusto; not a security-policy gap.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  <w:r>
              <w:t xml:space="preserve"> </w:t>
            </w:r>
            <w:r>
              <w:t xml:space="preserve">“HR policies maintained in Gusto / People Ops”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 Lite 2025</w:t>
            </w:r>
          </w:p>
        </w:tc>
        <w:tc>
          <w:tcPr/>
          <w:p>
            <w:pPr>
              <w:pStyle w:val="Compact"/>
            </w:pPr>
            <w:r>
              <w:t xml:space="preserve">F. Physical and Environmental Security</w:t>
            </w:r>
          </w:p>
        </w:tc>
        <w:tc>
          <w:tcPr/>
          <w:p>
            <w:pPr>
              <w:pStyle w:val="Compact"/>
            </w:pPr>
            <w:r>
              <w:t xml:space="preserve">No Gap</w:t>
            </w:r>
          </w:p>
        </w:tc>
        <w:tc>
          <w:tcPr/>
          <w:p>
            <w:pPr>
              <w:pStyle w:val="Compact"/>
            </w:pPr>
            <w:r>
              <w:t xml:space="preserve">Safeguards Policy §III(c) Facility Security Plan + Paper Document Mgmt cover physical security.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 Lite 2025</w:t>
            </w:r>
          </w:p>
        </w:tc>
        <w:tc>
          <w:tcPr/>
          <w:p>
            <w:pPr>
              <w:pStyle w:val="Compact"/>
            </w:pPr>
            <w:r>
              <w:t xml:space="preserve">G. IT Operations Management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/>
          <w:p>
            <w:pPr>
              <w:pStyle w:val="Compact"/>
            </w:pPr>
            <w:r>
              <w:t xml:space="preserve">G.1 / G.3 covered by SDLC + Info Sec Framework, but G.2 (named Change Management program with owner / cadence) is not discretely stated anywhere.</w:t>
            </w:r>
          </w:p>
        </w:tc>
        <w:tc>
          <w:tcPr/>
          <w:p>
            <w:pPr>
              <w:pStyle w:val="Compact"/>
            </w:pPr>
            <w:r>
              <w:t xml:space="preserve">Add 1-paragraph Change Management clause to SDLC §III(c).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 Lite 2025</w:t>
            </w:r>
          </w:p>
        </w:tc>
        <w:tc>
          <w:tcPr/>
          <w:p>
            <w:pPr>
              <w:pStyle w:val="Compact"/>
            </w:pPr>
            <w:r>
              <w:t xml:space="preserve">H. Access Control</w:t>
            </w:r>
          </w:p>
        </w:tc>
        <w:tc>
          <w:tcPr/>
          <w:p>
            <w:pPr>
              <w:pStyle w:val="Compact"/>
            </w:pPr>
            <w:r>
              <w:t xml:space="preserve">No Gap</w:t>
            </w:r>
          </w:p>
        </w:tc>
        <w:tc>
          <w:tcPr/>
          <w:p>
            <w:pPr>
              <w:pStyle w:val="Compact"/>
            </w:pPr>
            <w:r>
              <w:t xml:space="preserve">Password Mgmt Policy + Safeguards §III(b) cover both H.1 and H.2.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 Lite 2025</w:t>
            </w:r>
          </w:p>
        </w:tc>
        <w:tc>
          <w:tcPr/>
          <w:p>
            <w:pPr>
              <w:pStyle w:val="Compact"/>
            </w:pPr>
            <w:r>
              <w:t xml:space="preserve">I. Application Management</w:t>
            </w:r>
          </w:p>
        </w:tc>
        <w:tc>
          <w:tcPr/>
          <w:p>
            <w:pPr>
              <w:pStyle w:val="Compact"/>
            </w:pPr>
            <w:r>
              <w:t xml:space="preserve">No Gap</w:t>
            </w:r>
          </w:p>
        </w:tc>
        <w:tc>
          <w:tcPr/>
          <w:p>
            <w:pPr>
              <w:pStyle w:val="Compact"/>
            </w:pPr>
            <w:r>
              <w:t xml:space="preserve">Affirmative-fact questions; SDLC Policy covers the underlying program.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 Lite 2025</w:t>
            </w:r>
          </w:p>
        </w:tc>
        <w:tc>
          <w:tcPr/>
          <w:p>
            <w:pPr>
              <w:pStyle w:val="Compact"/>
            </w:pPr>
            <w:r>
              <w:t xml:space="preserve">J. Cybersecurity Incident Mgmt.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/>
          <w:p>
            <w:pPr>
              <w:pStyle w:val="Compact"/>
            </w:pPr>
            <w:r>
              <w:t xml:space="preserve">Reactive incident response is well-covered, but J.5 (proactive log-review methodology / cadence) and J.14 (tamper-resistant incident log) are not stated.</w:t>
            </w:r>
          </w:p>
        </w:tc>
        <w:tc>
          <w:tcPr/>
          <w:p>
            <w:pPr>
              <w:pStyle w:val="Compact"/>
            </w:pPr>
            <w:r>
              <w:t xml:space="preserve">Add proactive log-review cadence to Framework §7; add tamper-resistant log sentence to Security Incident Mgmt §III(c).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 Lite 2025</w:t>
            </w:r>
          </w:p>
        </w:tc>
        <w:tc>
          <w:tcPr/>
          <w:p>
            <w:pPr>
              <w:pStyle w:val="Compact"/>
            </w:pPr>
            <w:r>
              <w:t xml:space="preserve">K. Operational Resilience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/>
          <w:p>
            <w:pPr>
              <w:pStyle w:val="Compact"/>
            </w:pPr>
            <w:r>
              <w:t xml:space="preserve">K.4 (pandemic), K.30 (multi-vendor resiliency), and K.2 (DR exercise / testing cadence) all not addressed in originals.</w:t>
            </w:r>
          </w:p>
        </w:tc>
        <w:tc>
          <w:tcPr/>
          <w:p>
            <w:pPr>
              <w:pStyle w:val="Compact"/>
            </w:pPr>
            <w:r>
              <w:t xml:space="preserve">(1)</w:t>
            </w:r>
            <w:r>
              <w:t xml:space="preserve"> </w:t>
            </w:r>
            <w:r>
              <w:t xml:space="preserve">“Pandemic Operations &amp; Multi-Vendor Risk Acceptance”</w:t>
            </w:r>
            <w:r>
              <w:t xml:space="preserve"> </w:t>
            </w:r>
            <w:r>
              <w:t xml:space="preserve">clause to Contingency Planning Policy. (2) DR-exercise-cadence sentence to Contingency Planning §III(d).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 Lite 2025</w:t>
            </w:r>
          </w:p>
        </w:tc>
        <w:tc>
          <w:tcPr/>
          <w:p>
            <w:pPr>
              <w:pStyle w:val="Compact"/>
            </w:pPr>
            <w:r>
              <w:t xml:space="preserve">L. Compliance Management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L.3 (antitrust), L.4 (compliance &amp; ethics program), L.6 (fraud) not required for a 30-person clinic; handled via legal counsel + Gusto.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  <w:r>
              <w:t xml:space="preserve"> </w:t>
            </w:r>
            <w:r>
              <w:t xml:space="preserve">“handled via outside legal counsel and HR processes; no standalone program”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 Lite 2025</w:t>
            </w:r>
          </w:p>
        </w:tc>
        <w:tc>
          <w:tcPr/>
          <w:p>
            <w:pPr>
              <w:pStyle w:val="Compact"/>
            </w:pPr>
            <w:r>
              <w:t xml:space="preserve">M. Endpoint Security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/>
          <w:p>
            <w:pPr>
              <w:pStyle w:val="Compact"/>
            </w:pPr>
            <w:r>
              <w:t xml:space="preserve">M.1.3 (MDM), M.1.5 (non-company devices), M.1.6 (BYOD) flagged</w:t>
            </w:r>
            <w:r>
              <w:t xml:space="preserve"> </w:t>
            </w:r>
            <w:r>
              <w:t xml:space="preserve">“FOLLOW UP”</w:t>
            </w:r>
            <w:r>
              <w:t xml:space="preserve"> </w:t>
            </w:r>
            <w:r>
              <w:t xml:space="preserve">in CSV. Workstation Use mentions personal devices but no BYOD / MDM stance is documented.</w:t>
            </w:r>
          </w:p>
        </w:tc>
        <w:tc>
          <w:tcPr/>
          <w:p>
            <w:pPr>
              <w:pStyle w:val="Compact"/>
            </w:pPr>
            <w:r>
              <w:t xml:space="preserve">Add 1-paragraph</w:t>
            </w:r>
            <w:r>
              <w:t xml:space="preserve"> </w:t>
            </w:r>
            <w:r>
              <w:t xml:space="preserve">“BYOD &amp; Mobile Device Management”</w:t>
            </w:r>
            <w:r>
              <w:t xml:space="preserve"> </w:t>
            </w:r>
            <w:r>
              <w:t xml:space="preserve">clause to the Workstation Use Policy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 Lite 2025</w:t>
            </w:r>
          </w:p>
        </w:tc>
        <w:tc>
          <w:tcPr/>
          <w:p>
            <w:pPr>
              <w:pStyle w:val="Compact"/>
            </w:pPr>
            <w:r>
              <w:t xml:space="preserve">N. Network Security</w:t>
            </w:r>
          </w:p>
        </w:tc>
        <w:tc>
          <w:tcPr/>
          <w:p>
            <w:pPr>
              <w:pStyle w:val="Compact"/>
            </w:pPr>
            <w:r>
              <w:t xml:space="preserve">No Gap</w:t>
            </w:r>
          </w:p>
        </w:tc>
        <w:tc>
          <w:tcPr/>
          <w:p>
            <w:pPr>
              <w:pStyle w:val="Compact"/>
            </w:pPr>
            <w:r>
              <w:t xml:space="preserve">AWS/Aptible Incident Mgmt + Info Sec Framework + Encryption Policy cover N.1–N.12; no on-prem network exists.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 Lite 2025</w:t>
            </w:r>
          </w:p>
        </w:tc>
        <w:tc>
          <w:tcPr/>
          <w:p>
            <w:pPr>
              <w:pStyle w:val="Compact"/>
            </w:pPr>
            <w:r>
              <w:t xml:space="preserve">O. Environmental, Social and Governance (ESG)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12 of 14 ESG rows not in scope for a 30-person women’s-health clinic. O.4 (hazardous-substance handling) and O.9 (Health &amp; Safety policy) are now Partial — the Medical Waste Management Plan documents biohazardous-waste handling and codifies a workplace-health-and-safety commitment for clinical operations.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  <w:r>
              <w:t xml:space="preserve"> </w:t>
            </w:r>
            <w:r>
              <w:t xml:space="preserve">“not formally documented — not applicable to Millie’s scope”</w:t>
            </w:r>
            <w:r>
              <w:t xml:space="preserve"> </w:t>
            </w:r>
            <w:r>
              <w:t xml:space="preserve">for the other 12; cite Medical Waste Management Plan for O.4 and O.9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 Lite 2025</w:t>
            </w:r>
          </w:p>
        </w:tc>
        <w:tc>
          <w:tcPr/>
          <w:p>
            <w:pPr>
              <w:pStyle w:val="Compact"/>
            </w:pPr>
            <w:r>
              <w:t xml:space="preserve">P. Privacy Management</w:t>
            </w:r>
          </w:p>
        </w:tc>
        <w:tc>
          <w:tcPr/>
          <w:p>
            <w:pPr>
              <w:pStyle w:val="Compact"/>
            </w:pPr>
            <w:r>
              <w:t xml:space="preserve">No Gap</w:t>
            </w:r>
          </w:p>
        </w:tc>
        <w:tc>
          <w:tcPr/>
          <w:p>
            <w:pPr>
              <w:pStyle w:val="Compact"/>
            </w:pPr>
            <w:r>
              <w:t xml:space="preserve">HIPAA suite (Privacy Policy, Use &amp; Disclosure, Accounting, Right to Access / Amend, Min Necessary, De-ID, BAA) + Info Sec Framework cover P.2 / P.3 / P.4 / P.5 / P.8 / P.10 / P.11. P.9 GLBA + P.12 EU-registration are N/A.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 Lite 2025</w:t>
            </w:r>
          </w:p>
        </w:tc>
        <w:tc>
          <w:tcPr/>
          <w:p>
            <w:pPr>
              <w:pStyle w:val="Compact"/>
            </w:pPr>
            <w:r>
              <w:t xml:space="preserve">R. Artificial Intelligence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AI use limited to listed AI platforms in Platform Matrix (BAA-covered); no AI-system policy required at Millie’s size.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  <w:r>
              <w:t xml:space="preserve"> </w:t>
            </w:r>
            <w:r>
              <w:t xml:space="preserve">“AI vendors reviewed under BAA process; no separate AI policy”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 Lite 2025</w:t>
            </w:r>
          </w:p>
        </w:tc>
        <w:tc>
          <w:tcPr/>
          <w:p>
            <w:pPr>
              <w:pStyle w:val="Compact"/>
            </w:pPr>
            <w:r>
              <w:t xml:space="preserve">S. Supply Chain Risk Management (SCRM)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/>
          <w:p>
            <w:pPr>
              <w:pStyle w:val="Compact"/>
            </w:pPr>
            <w:r>
              <w:t xml:space="preserve">S.1 (sub-tier flow-down) is covered by Framework §11, but S.32 / S.57 / S.61 / S.80 / S.100 ask specifically for</w:t>
            </w:r>
            <w:r>
              <w:t xml:space="preserve"> </w:t>
            </w:r>
            <w:r>
              <w:rPr>
                <w:b/>
                <w:bCs/>
              </w:rPr>
              <w:t xml:space="preserve">Cybersecurity Supply Chain Risk Management (C-SCRM)</w:t>
            </w:r>
            <w:r>
              <w:t xml:space="preserve"> </w:t>
            </w:r>
            <w:r>
              <w:t xml:space="preserve">framing with named owner — Millie’s</w:t>
            </w:r>
            <w:r>
              <w:t xml:space="preserve"> </w:t>
            </w:r>
            <w:r>
              <w:t xml:space="preserve">“third-party risk management”</w:t>
            </w:r>
            <w:r>
              <w:t xml:space="preserve"> </w:t>
            </w:r>
            <w:r>
              <w:t xml:space="preserve">answers a different question.</w:t>
            </w:r>
          </w:p>
        </w:tc>
        <w:tc>
          <w:tcPr/>
          <w:p>
            <w:pPr>
              <w:pStyle w:val="Compact"/>
            </w:pPr>
            <w:r>
              <w:t xml:space="preserve">Add 1-paragraph C-SCRM framing to Framework §11 (closes all 5 rows in one addition).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Insurances</w:t>
            </w:r>
          </w:p>
        </w:tc>
        <w:tc>
          <w:tcPr/>
          <w:p>
            <w:pPr>
              <w:pStyle w:val="Compact"/>
            </w:pPr>
            <w:r>
              <w:t xml:space="preserve">Cyber Liability / Data Privacy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/>
          <w:p>
            <w:pPr>
              <w:pStyle w:val="Compact"/>
            </w:pPr>
            <w:r>
              <w:t xml:space="preserve">Evidence question, not policy. We need to attach the actual cyber-liability certificate to the submission.</w:t>
            </w:r>
          </w:p>
        </w:tc>
        <w:tc>
          <w:tcPr/>
          <w:p>
            <w:pPr>
              <w:pStyle w:val="Compact"/>
            </w:pPr>
            <w:r>
              <w:t xml:space="preserve">Attach cyber-liability certificate to ECH submission (no policy change needed)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Audits</w:t>
            </w:r>
          </w:p>
        </w:tc>
        <w:tc>
          <w:tcPr/>
          <w:p>
            <w:pPr>
              <w:pStyle w:val="Compact"/>
            </w:pPr>
            <w:r>
              <w:t xml:space="preserve">Penetration Testing + General Security Audit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/>
          <w:p>
            <w:pPr>
              <w:pStyle w:val="Compact"/>
            </w:pPr>
            <w:r>
              <w:t xml:space="preserve">Evidence questions. Millie has no recent third-party pentest or SOC 2 / HITRUST attestation.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  <w:r>
              <w:t xml:space="preserve"> </w:t>
            </w:r>
            <w:r>
              <w:t xml:space="preserve">“none on file”</w:t>
            </w:r>
            <w:r>
              <w:t xml:space="preserve"> </w:t>
            </w:r>
            <w:r>
              <w:t xml:space="preserve">or commission a pentest</w:t>
            </w:r>
          </w:p>
        </w:tc>
      </w:tr>
    </w:tbl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ROW-LEVEL-VERIFICATIO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ROW-LEVEL-VERIFICATIO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2026-05-28T15:13:37Z</dcterms:created>
  <dcterms:modified xsi:type="dcterms:W3CDTF">2026-05-28T15:13:37Z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