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18" w:rsidRPr="00BB6118" w:rsidRDefault="00BB6118" w:rsidP="00BB6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 - код,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прийнятий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Консорціуму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Wide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(W3C),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аналогічний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зручним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застосуванні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належить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ідмножини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розмітки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SGML,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використовуваного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будівельним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блоком XML є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початковими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кінцевими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тегами.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містяться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зовнішньому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відомому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кореневої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вміст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структура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відносини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елементами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вкладені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ієрархічною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структурою.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Історія</w:t>
      </w:r>
      <w:proofErr w:type="spellEnd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BB6118" w:rsidRPr="00BB6118" w:rsidRDefault="00BB6118" w:rsidP="00BB6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з'явився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подолати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недоліки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попередників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SGML і HTML.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1980-х до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видавці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ЗМІ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реалізували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SGML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динамічного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надзвичайно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потужним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розширюваним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інструментом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семантичної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розмітки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особливо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каталогізації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індексації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SGML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нескінченної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розмітки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SGML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досить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дорогим, особливо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повсякденного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SGML до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текстового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процесору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подвоює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влаштовує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Нарешті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комерційні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ясно дали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не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наміру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небудь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ідтримувати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SGML. Одним 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найпопулярніших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SGML став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розмітки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гіпертексту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створеного</w:t>
      </w:r>
      <w:proofErr w:type="spellEnd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імом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Бернерсом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1980-х.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став жертвою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прийнятий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розширено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багатьма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способами,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виходять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рамки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первісного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287520" cy="1587500"/>
            <wp:effectExtent l="0" t="0" r="0" b="0"/>
            <wp:docPr id="5" name="Рисунок 5" descr="https://hi-news.pp.ua/uploads/posts/2018-12/thumbs/xml-priklad-funkcyi-ta-mozhlivost-plyusi-mnusi-formatu_341.jpe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-news.pp.ua/uploads/posts/2018-12/thumbs/xml-priklad-funkcyi-ta-mozhlivost-plyusi-mnusi-formatu_341.jpe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18" w:rsidRPr="00BB6118" w:rsidRDefault="00BB6118" w:rsidP="00BB61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вважається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невідповідним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формат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Приклад: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усуває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прогалину, будучи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комп'ютера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в той же час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досить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гнучким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незалежної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1998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році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W3C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схвалив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версію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1.0 таким чином,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офіційно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створено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B6118" w:rsidRPr="00BB6118" w:rsidRDefault="00BB6118" w:rsidP="00BB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Структура </w:t>
      </w:r>
      <w:proofErr w:type="spellStart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елементі</w:t>
      </w:r>
      <w:proofErr w:type="gramStart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</w:t>
      </w:r>
      <w:proofErr w:type="spellEnd"/>
      <w:proofErr w:type="gramEnd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BB6118" w:rsidRPr="00BB6118" w:rsidRDefault="00BB6118" w:rsidP="00BB6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XML-документа (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(DTD)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XML).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DTD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SGML.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розширеній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Backus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Naur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(EBNF). </w:t>
      </w:r>
    </w:p>
    <w:p w:rsidR="00BB6118" w:rsidRPr="00BB6118" w:rsidRDefault="00BB6118" w:rsidP="00BB61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287520" cy="2907030"/>
            <wp:effectExtent l="0" t="0" r="0" b="7620"/>
            <wp:docPr id="4" name="Рисунок 4" descr="https://hi-news.pp.ua/uploads/posts/2018-12/thumbs/xml-priklad-funkcyi-ta-mozhlivost-plyusi-mnusi-formatu_512.jpe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i-news.pp.ua/uploads/posts/2018-12/thumbs/xml-priklad-funkcyi-ta-mozhlivost-plyusi-mnusi-formatu_512.jpe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18" w:rsidRPr="00BB6118" w:rsidRDefault="00BB6118" w:rsidP="00BB6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пишуться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синтаксису коду. Як DTD, так і XML-схема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застосовуються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вмісту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документі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ірника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коду. Вони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приймають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 правил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кореневий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подэлементы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подэлементы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т. д.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призводить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ієрархічної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деревоподібної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них.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розробці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SGML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ідходять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орієнтованих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таких як HTML. В HTML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DTD.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документа, але не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застосовуватися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містяться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XML-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DTD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обробляються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рядок.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ідходить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розмітки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Але не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ідходить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контролювати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містяться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Документ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вважається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«правильно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сформованим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зрозумілий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аналізатором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специфікації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розмічений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чином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вкладені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Код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 в початковому тегу.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XML, приклад тексту "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Привіт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!":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BB61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6118">
        <w:rPr>
          <w:rFonts w:ascii="Courier New" w:eastAsia="Times New Roman" w:hAnsi="Courier New" w:cs="Courier New"/>
          <w:sz w:val="20"/>
          <w:szCs w:val="20"/>
          <w:lang w:eastAsia="ru-RU"/>
        </w:rPr>
        <w:t>world</w:t>
      </w:r>
      <w:proofErr w:type="spellEnd"/>
      <w:r w:rsidRPr="00BB61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Керівництво</w:t>
      </w:r>
      <w:proofErr w:type="spellEnd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 </w:t>
      </w:r>
      <w:proofErr w:type="spellStart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безпеки</w:t>
      </w:r>
      <w:proofErr w:type="spellEnd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брандмауера</w:t>
      </w:r>
      <w:proofErr w:type="spellEnd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брандмауера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роблять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суттєвим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доповненням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будь-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брандмауер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глибоку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безл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іч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роблять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конкурентом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запобігання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вразливостей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загроз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Виробники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тримати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зловмисників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напрузі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страху,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запобігаючи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шкідливі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жаль,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брандмауери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ринку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знаходяться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межами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заходить про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веб-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Брандмауери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захищають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потужно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ніж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традиційні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Приклад XML-файлу,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екрану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&lt;script type="text/j</w:t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vascript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"&gt; </w:t>
      </w: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var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blockSettings3 = {blockId:"R-A-271049-6",renderTo:"yandex_rtb_R-A-70350-44",async:!0}; </w:t>
      </w: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if(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document.cookie.indexOf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abmatch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=") &gt;= 0) blockSettings3.statId = 70350; </w:t>
      </w: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!function(a,b,c,d,e){a[c]=a[c]||[],a[c].push(function(){Ya.Context.AdvManager.render(blockSettings3)}),e=b.getElementsByTagName("script")[0],d=b.createElement("script"),d.type="text/j</w:t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vascript",d.src="//an.yandex.ru/system/context.js",d.async=!0e.parentNode.insertBefore(d,e)}(this,this.document,"yandexContextAsyncCallbacks"); </w:t>
      </w:r>
    </w:p>
    <w:p w:rsidR="00BB6118" w:rsidRPr="00BB6118" w:rsidRDefault="00BB6118" w:rsidP="00BB61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287520" cy="1276985"/>
            <wp:effectExtent l="0" t="0" r="0" b="0"/>
            <wp:docPr id="3" name="Рисунок 3" descr="https://hi-news.pp.ua/uploads/posts/2018-12/thumbs/xml-priklad-funkcyi-ta-mozhlivost-plyusi-mnusi-formatu_113.jpe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i-news.pp.ua/uploads/posts/2018-12/thumbs/xml-priklad-funkcyi-ta-mozhlivost-plyusi-mnusi-formatu_113.jpe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Традиційні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брандмауери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добре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звичайним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трафіком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екранування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вимагає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забезпечити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брандмауер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одним 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ідприємства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розробляють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веб-служб на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коду, все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частіше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звертаються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розмітки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тверджень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(SAML)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ідентифікаційних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захищати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атак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і SAML на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самого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Брандмауер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адекватним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засобом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багаторівневих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Управління</w:t>
      </w:r>
      <w:proofErr w:type="spellEnd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 SOA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установки SOA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стикаються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проблемами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продуктивності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вистачає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належного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Незважаючи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весь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галас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SOA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прагнуть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інтегрувати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сервіс-орієнтовану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ітектуру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свою ІТ-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інфраструктуру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розробники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враховують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інтеграцією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проектах.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Приклад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sitemap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нюанси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287520" cy="3105785"/>
            <wp:effectExtent l="0" t="0" r="0" b="0"/>
            <wp:docPr id="2" name="Рисунок 2" descr="https://hi-news.pp.ua/uploads/posts/2018-12/thumbs/xml-priklad-funkcyi-ta-mozhlivost-plyusi-mnusi-formatu_384.jpe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i-news.pp.ua/uploads/posts/2018-12/thumbs/xml-priklad-funkcyi-ta-mozhlivost-plyusi-mnusi-formatu_384.jpe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тому,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розпізнати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цінність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б вони не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знаходилися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парасолькою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SOA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межами)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виробниками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споживачами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мінімальною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складністю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Приклад XML-файлу SOA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представлений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нижче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287520" cy="1104265"/>
            <wp:effectExtent l="0" t="0" r="0" b="635"/>
            <wp:docPr id="1" name="Рисунок 1" descr="https://hi-news.pp.ua/uploads/posts/2018-12/thumbs/xml-priklad-funkcyi-ta-mozhlivost-plyusi-mnusi-formatu_855.jpe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i-news.pp.ua/uploads/posts/2018-12/thumbs/xml-priklad-funkcyi-ta-mozhlivost-plyusi-mnusi-formatu_855.jpe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Формуючи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метадані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XML, 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spellEnd"/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створюючи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XSLT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SOA і з них,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розробники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BB6118" w:rsidRPr="00BB6118" w:rsidRDefault="00BB6118" w:rsidP="00BB6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ключових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взаємодій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семантики. Вони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полегшують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переміщення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компонентами SOA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припущення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уявлення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компонентами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(а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 та масштаб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перенаправляти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міру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-потреб і по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як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виробники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споживачі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об'єднуються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загальній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та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SOAP,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дійсно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спрощують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абстрагування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переміщення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Але вони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ідвищують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важливість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де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знаходяться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вони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контекст і як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синтаксис, семантику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реальною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інформацією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яку вони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Процес</w:t>
      </w:r>
      <w:proofErr w:type="spellEnd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парсера</w:t>
      </w:r>
      <w:proofErr w:type="spellEnd"/>
      <w:r w:rsidRPr="00BB61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Однією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цілей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формату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поліпшення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необроблених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таких як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текст, шляхом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докладних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вмісту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можливість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аналізатор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основному)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spellEnd"/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 через так званий API-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прикладного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словами,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клієнтське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до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вмісту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XML-документа через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замість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інтерпретувати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продемонструвати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parser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JAVA XML. </w:t>
      </w:r>
    </w:p>
    <w:p w:rsidR="00BB6118" w:rsidRPr="00BB6118" w:rsidRDefault="00BB6118" w:rsidP="00BB6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async="//pagead2.googlesyndication.com/pagead/js/adsbygoogle.js"&gt; </w:t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adsbygoogle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window.adsbygoogle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||[]).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({});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аналізатор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сформований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вбудований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рядок поле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проаналізовані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вихідний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аналізатора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поля. Перше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документ, друге -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проаналізованих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роздільника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розділити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Parser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весь документ в поле 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спрощене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безпосередньо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кореневим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вузлом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спрощене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глибокого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доступу до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XML). </w:t>
      </w:r>
    </w:p>
    <w:p w:rsidR="00BB6118" w:rsidRPr="00BB6118" w:rsidRDefault="00BB6118" w:rsidP="00BB6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&lt;script type="text/j</w:t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vascript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"&gt; </w:t>
      </w: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blockSettings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{blockId:"R-A-70350-45",renderTo:"yandex_rtb_R-A-70350-45",async:!0}; </w:t>
      </w: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if(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document.cookie.indexOf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abmatch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=") &gt;= 0)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blockSettings.statId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70350; </w:t>
      </w: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!function(a,b,c,d,e){a[c]=a[c]||[],a[c].push(function(){Ya.Context.AdvManager.render(blockSettings)}),e=b.getElementsByTagName("script")[0],d=b.createElement("script"),d.type="text/j</w:t>
      </w: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B6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vascript",d.src="//an.yandex.ru/system/context.js",d.async=!0e.parentNode.insertBefore(d,e)}(this,this.document,"yandexContextAsyncCallbacks");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повернути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згенерувати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кожного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процесор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вхідні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згенеровану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кількох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них,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процесор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з-за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безл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ічі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вхідні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згенерованої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процесор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включався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аналізований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XML в атрибутах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поміщає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атрибут заголовка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xmlns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процесор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атрибутів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оголошень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простору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(як атрибут поля). За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замовчуванням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атрибути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і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оголошення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простору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</w:t>
      </w:r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6118" w:rsidRPr="00BB6118" w:rsidRDefault="00BB6118" w:rsidP="00BB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аналізатора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XML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поле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виводу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на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вкладці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налаштовують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властивості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</w:t>
      </w:r>
      <w:proofErr w:type="gram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таблиці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нижче</w:t>
      </w:r>
      <w:proofErr w:type="spellEnd"/>
      <w:r w:rsidRPr="00BB6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45"/>
        <w:gridCol w:w="7860"/>
      </w:tblGrid>
      <w:tr w:rsidR="00BB6118" w:rsidRPr="00BB6118" w:rsidTr="00BB611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Призначення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Опис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</w:tr>
      <w:tr w:rsidR="00BB6118" w:rsidRPr="00BB6118" w:rsidTr="00BB611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Назва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Сценічний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псевдонім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подібно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до того, як </w:t>
            </w:r>
            <w:proofErr w:type="gram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</w:t>
            </w:r>
            <w:proofErr w:type="gram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прикладі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читання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XML 1с 8 3 </w:t>
            </w:r>
          </w:p>
        </w:tc>
      </w:tr>
      <w:tr w:rsidR="00BB6118" w:rsidRPr="00BB6118" w:rsidTr="00BB611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Опис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Необов'язковий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опис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</w:tr>
      <w:tr w:rsidR="00BB6118" w:rsidRPr="00BB6118" w:rsidTr="00BB611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Обов'язкові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поля </w:t>
            </w:r>
          </w:p>
        </w:tc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Поля,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які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повинні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включати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дані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для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запису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переданої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на сцену </w:t>
            </w:r>
          </w:p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Можна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включити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поля,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які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використовують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сцена </w:t>
            </w:r>
          </w:p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Записи,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які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не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включають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усі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обов'язкові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поля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обробляються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gram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на</w:t>
            </w:r>
            <w:proofErr w:type="gram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основі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обробки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помилок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налаштованої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для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конвеєра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</w:tr>
      <w:tr w:rsidR="00BB6118" w:rsidRPr="00BB6118" w:rsidTr="00BB611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Передумови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Умови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які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повинні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оцінюватися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як ІСТИНА,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щоб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дозволити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запису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увійти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gram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</w:t>
            </w:r>
            <w:proofErr w:type="gram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стадію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обробки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.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Натискають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кнопку «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Додати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»,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щоб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створити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додаткові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попередні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умови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. </w:t>
            </w:r>
          </w:p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Записи,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які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не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відповідають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усім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попереднім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умовам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обробляються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gram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на</w:t>
            </w:r>
            <w:proofErr w:type="gram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основі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обробки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помилок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,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налаштованої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для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етапу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. </w:t>
            </w:r>
          </w:p>
        </w:tc>
      </w:tr>
      <w:tr w:rsidR="00BB6118" w:rsidRPr="00BB6118" w:rsidTr="00BB6118">
        <w:trPr>
          <w:tblCellSpacing w:w="0" w:type="dxa"/>
        </w:trPr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Помилка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запису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B6118" w:rsidRPr="00BB6118" w:rsidRDefault="00BB6118" w:rsidP="00BB61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Обробка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помилок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запису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для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етапи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: </w:t>
            </w:r>
          </w:p>
          <w:p w:rsidR="00BB6118" w:rsidRPr="00BB6118" w:rsidRDefault="00BB6118" w:rsidP="00BB61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Discard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-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видаляє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  <w:p w:rsidR="00BB6118" w:rsidRPr="00BB6118" w:rsidRDefault="00BB6118" w:rsidP="00BB61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Send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to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Error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-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відправляє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в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конвеє</w:t>
            </w:r>
            <w:proofErr w:type="gram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</w:t>
            </w:r>
            <w:proofErr w:type="spellEnd"/>
            <w:proofErr w:type="gram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для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обробки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помилок</w:t>
            </w:r>
            <w:proofErr w:type="spellEnd"/>
            <w:r w:rsidRPr="00BB61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</w:tr>
    </w:tbl>
    <w:p w:rsidR="00D9713B" w:rsidRPr="00BB6118" w:rsidRDefault="00BB6118">
      <w:bookmarkStart w:id="0" w:name="_GoBack"/>
      <w:bookmarkEnd w:id="0"/>
    </w:p>
    <w:sectPr w:rsidR="00D9713B" w:rsidRPr="00BB6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CBD"/>
    <w:multiLevelType w:val="multilevel"/>
    <w:tmpl w:val="E01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14126"/>
    <w:multiLevelType w:val="multilevel"/>
    <w:tmpl w:val="0E76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18"/>
    <w:rsid w:val="00176C6F"/>
    <w:rsid w:val="00BB6118"/>
    <w:rsid w:val="00F3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6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61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B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B611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B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6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61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B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B611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B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-news.pp.ua/uploads/posts/2018-12/xml-priklad-funkcyi-ta-mozhlivost-plyusi-mnusi-formatu_512.jpe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hi-news.pp.ua/uploads/posts/2018-12/xml-priklad-funkcyi-ta-mozhlivost-plyusi-mnusi-formatu_384.jpe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i-news.pp.ua/uploads/posts/2018-12/xml-priklad-funkcyi-ta-mozhlivost-plyusi-mnusi-formatu_341.jpe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hi-news.pp.ua/uploads/posts/2018-12/xml-priklad-funkcyi-ta-mozhlivost-plyusi-mnusi-formatu_113.jp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hi-news.pp.ua/uploads/posts/2018-12/xml-priklad-funkcyi-ta-mozhlivost-plyusi-mnusi-formatu_855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1623</Words>
  <Characters>9257</Characters>
  <Application>Microsoft Office Word</Application>
  <DocSecurity>0</DocSecurity>
  <Lines>77</Lines>
  <Paragraphs>21</Paragraphs>
  <ScaleCrop>false</ScaleCrop>
  <Company>SPecialiST RePack</Company>
  <LinksUpToDate>false</LinksUpToDate>
  <CharactersWithSpaces>10859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kochevgenazp@gmail.com</dc:creator>
  <cp:lastModifiedBy>kochevgenazp@gmail.com</cp:lastModifiedBy>
  <cp:revision>1</cp:revision>
  <dcterms:created xsi:type="dcterms:W3CDTF">2023-05-08T21:07:00Z</dcterms:created>
  <dcterms:modified xsi:type="dcterms:W3CDTF">2023-05-08T21:42:00Z</dcterms:modified>
</cp:coreProperties>
</file>