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215272746"/>
        <w:docPartObj>
          <w:docPartGallery w:val="Cover Pages"/>
          <w:docPartUnique/>
        </w:docPartObj>
      </w:sdtPr>
      <w:sdtEndPr>
        <w:rPr>
          <w:b/>
          <w:bCs/>
          <w:sz w:val="40"/>
          <w:szCs w:val="40"/>
        </w:rPr>
      </w:sdtEndPr>
      <w:sdtContent>
        <w:p w14:paraId="5017FAEC" w14:textId="43F71967" w:rsidR="001A3922" w:rsidRPr="00EE100D" w:rsidRDefault="001A3922">
          <w:pPr>
            <w:rPr>
              <w:rFonts w:ascii="Arial" w:hAnsi="Arial" w:cs="Arial"/>
            </w:rPr>
          </w:pPr>
          <w:r w:rsidRPr="00EE100D">
            <w:rPr>
              <w:rFonts w:ascii="Arial" w:hAnsi="Arial" w:cs="Arial"/>
              <w:noProof/>
            </w:rPr>
            <mc:AlternateContent>
              <mc:Choice Requires="wpg">
                <w:drawing>
                  <wp:anchor distT="0" distB="0" distL="114300" distR="114300" simplePos="0" relativeHeight="251656704" behindDoc="1" locked="0" layoutInCell="1" allowOverlap="1" wp14:anchorId="43020BD2" wp14:editId="2AE1855E">
                    <wp:simplePos x="0" y="0"/>
                    <wp:positionH relativeFrom="page">
                      <wp:align>left</wp:align>
                    </wp:positionH>
                    <wp:positionV relativeFrom="page">
                      <wp:align>top</wp:align>
                    </wp:positionV>
                    <wp:extent cx="7768206" cy="10057847"/>
                    <wp:effectExtent l="0" t="0" r="4445" b="635"/>
                    <wp:wrapNone/>
                    <wp:docPr id="119" name="Group 25"/>
                    <wp:cNvGraphicFramePr/>
                    <a:graphic xmlns:a="http://schemas.openxmlformats.org/drawingml/2006/main">
                      <a:graphicData uri="http://schemas.microsoft.com/office/word/2010/wordprocessingGroup">
                        <wpg:wgp>
                          <wpg:cNvGrpSpPr/>
                          <wpg:grpSpPr>
                            <a:xfrm>
                              <a:off x="0" y="0"/>
                              <a:ext cx="7768206" cy="10057847"/>
                              <a:chOff x="0" y="0"/>
                              <a:chExt cx="6858000" cy="9271750"/>
                            </a:xfrm>
                          </wpg:grpSpPr>
                          <wps:wsp>
                            <wps:cNvPr id="121" name="Rectangle 121"/>
                            <wps:cNvSpPr/>
                            <wps:spPr>
                              <a:xfrm>
                                <a:off x="0" y="7439025"/>
                                <a:ext cx="6858000" cy="1832725"/>
                              </a:xfrm>
                              <a:prstGeom prst="rect">
                                <a:avLst/>
                              </a:prstGeom>
                              <a:solidFill>
                                <a:srgbClr val="1E1E1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A4456" w14:textId="2AD01A42" w:rsidR="001A3922" w:rsidRPr="00407937" w:rsidRDefault="00513FB7">
                                  <w:pPr>
                                    <w:pStyle w:val="NoSpacing"/>
                                    <w:rPr>
                                      <w:rFonts w:ascii="Arial" w:hAnsi="Arial" w:cs="Arial"/>
                                      <w:caps/>
                                      <w:color w:val="00DDA3"/>
                                    </w:rPr>
                                  </w:pPr>
                                  <w:r w:rsidRPr="00407937">
                                    <w:rPr>
                                      <w:rFonts w:ascii="Arial" w:hAnsi="Arial" w:cs="Arial"/>
                                      <w:noProof/>
                                    </w:rPr>
                                    <w:drawing>
                                      <wp:inline distT="0" distB="0" distL="0" distR="0" wp14:anchorId="62082FA7" wp14:editId="203C9103">
                                        <wp:extent cx="2936240" cy="755015"/>
                                        <wp:effectExtent l="0" t="0" r="0" b="6985"/>
                                        <wp:docPr id="1422956242"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6242" name="Picture 3" descr="A whit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755015"/>
                                                </a:xfrm>
                                                <a:prstGeom prst="rect">
                                                  <a:avLst/>
                                                </a:prstGeom>
                                                <a:noFill/>
                                                <a:ln>
                                                  <a:noFill/>
                                                </a:ln>
                                              </pic:spPr>
                                            </pic:pic>
                                          </a:graphicData>
                                        </a:graphic>
                                      </wp:inline>
                                    </w:drawing>
                                  </w:r>
                                  <w:r w:rsidR="006B35F0" w:rsidRPr="00407937">
                                    <w:rPr>
                                      <w:rFonts w:ascii="Arial" w:hAnsi="Arial" w:cs="Arial"/>
                                      <w:caps/>
                                      <w:color w:val="00DDA3"/>
                                    </w:rPr>
                                    <w:tab/>
                                  </w:r>
                                  <w:r w:rsidR="006B35F0" w:rsidRPr="00407937">
                                    <w:rPr>
                                      <w:rFonts w:ascii="Arial" w:hAnsi="Arial" w:cs="Arial"/>
                                      <w:caps/>
                                      <w:color w:val="00DDA3"/>
                                    </w:rPr>
                                    <w:tab/>
                                  </w:r>
                                  <w:r w:rsidR="006B35F0" w:rsidRPr="00407937">
                                    <w:rPr>
                                      <w:rFonts w:ascii="Arial" w:hAnsi="Arial" w:cs="Arial"/>
                                      <w:caps/>
                                      <w:color w:val="00DDA3"/>
                                    </w:rPr>
                                    <w:tab/>
                                  </w:r>
                                  <w:r w:rsidR="005A66CF" w:rsidRPr="00407937">
                                    <w:rPr>
                                      <w:rFonts w:ascii="Arial" w:hAnsi="Arial" w:cs="Arial"/>
                                      <w:caps/>
                                      <w:color w:val="00DDA3"/>
                                    </w:rPr>
                                    <w:t xml:space="preserve">millpont.com </w:t>
                                  </w:r>
                                  <w:r w:rsidR="003E3278" w:rsidRPr="00407937">
                                    <w:rPr>
                                      <w:rFonts w:ascii="Arial" w:hAnsi="Arial" w:cs="Arial"/>
                                      <w:caps/>
                                      <w:color w:val="00DDA3"/>
                                    </w:rPr>
                                    <w:t>| 2024</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solidFill>
                                <a:srgbClr val="1E1E1E"/>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E5625" w14:textId="00E723F9" w:rsidR="001A3922" w:rsidRPr="00A658D8" w:rsidRDefault="00FB12B9">
                                  <w:pPr>
                                    <w:pStyle w:val="NoSpacing"/>
                                    <w:pBdr>
                                      <w:bottom w:val="single" w:sz="6" w:space="4" w:color="7F7F7F" w:themeColor="text1" w:themeTint="80"/>
                                    </w:pBdr>
                                    <w:rPr>
                                      <w:rFonts w:ascii="Arial" w:eastAsiaTheme="majorEastAsia" w:hAnsi="Arial" w:cs="Arial"/>
                                      <w:b/>
                                      <w:bCs/>
                                      <w:color w:val="FFFFFF" w:themeColor="background1"/>
                                      <w:sz w:val="108"/>
                                      <w:szCs w:val="108"/>
                                    </w:rPr>
                                  </w:pPr>
                                  <w:r>
                                    <w:rPr>
                                      <w:rFonts w:ascii="Arial" w:eastAsiaTheme="majorEastAsia" w:hAnsi="Arial" w:cs="Arial"/>
                                      <w:b/>
                                      <w:bCs/>
                                      <w:color w:val="FFFFFF" w:themeColor="background1"/>
                                      <w:sz w:val="108"/>
                                      <w:szCs w:val="108"/>
                                    </w:rPr>
                                    <w:t>MillPont Environmental Trust Infrastructure (METI)</w:t>
                                  </w:r>
                                  <w:r w:rsidR="00A658D8">
                                    <w:rPr>
                                      <w:rFonts w:ascii="Arial" w:eastAsiaTheme="majorEastAsia" w:hAnsi="Arial" w:cs="Arial"/>
                                      <w:b/>
                                      <w:bCs/>
                                      <w:color w:val="FFFFFF" w:themeColor="background1"/>
                                      <w:sz w:val="108"/>
                                      <w:szCs w:val="108"/>
                                      <w:vertAlign w:val="superscript"/>
                                    </w:rPr>
                                    <w:t xml:space="preserve">TM </w:t>
                                  </w:r>
                                  <w:r w:rsidR="00A658D8" w:rsidRPr="00D66C91">
                                    <w:rPr>
                                      <w:rFonts w:ascii="Arial" w:eastAsiaTheme="majorEastAsia" w:hAnsi="Arial" w:cs="Arial"/>
                                      <w:b/>
                                      <w:bCs/>
                                      <w:color w:val="00DDA3"/>
                                      <w:sz w:val="108"/>
                                      <w:szCs w:val="108"/>
                                    </w:rPr>
                                    <w:t>Originate</w:t>
                                  </w:r>
                                </w:p>
                                <w:sdt>
                                  <w:sdtPr>
                                    <w:rPr>
                                      <w:rFonts w:ascii="Arial" w:hAnsi="Arial" w:cs="Arial"/>
                                      <w:caps/>
                                      <w:color w:val="00DDA3"/>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0FBC274" w14:textId="28F1D030" w:rsidR="001A3922" w:rsidRPr="00407937" w:rsidRDefault="00735F29">
                                      <w:pPr>
                                        <w:pStyle w:val="NoSpacing"/>
                                        <w:spacing w:before="240"/>
                                        <w:rPr>
                                          <w:rFonts w:ascii="Arial" w:hAnsi="Arial" w:cs="Arial"/>
                                          <w:caps/>
                                          <w:color w:val="00DDA3"/>
                                          <w:sz w:val="36"/>
                                          <w:szCs w:val="36"/>
                                        </w:rPr>
                                      </w:pPr>
                                      <w:r w:rsidRPr="00407937">
                                        <w:rPr>
                                          <w:rFonts w:ascii="Arial" w:hAnsi="Arial" w:cs="Arial"/>
                                          <w:caps/>
                                          <w:color w:val="00DDA3"/>
                                          <w:sz w:val="36"/>
                                          <w:szCs w:val="36"/>
                                        </w:rPr>
                                        <w:t>Version 1.0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020BD2" id="Group 25" o:spid="_x0000_s1026" style="position:absolute;margin-left:0;margin-top:0;width:611.65pt;height:791.95pt;z-index:-251659776;mso-position-horizontal:left;mso-position-horizontal-relative:page;mso-position-vertical:top;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QYbAMAALkKAAAOAAAAZHJzL2Uyb0RvYy54bWzMVltP2zAUfp+0/2D5feQCbbKIMDE20CTE&#10;0GDas+s4TTTH9myXhP36HdtJWKFDiGkXVXJ9OdfP53zx4Zuh4+iGadNKUeJkL8aICSqrVqxL/Pn6&#10;9FWOkbFEVIRLwUp8ywx+c/TyxWGvCpbKRvKKaQRGhCl6VeLGWlVEkaEN64jZk4oJOKyl7oiFpV5H&#10;lSY9WO94lMbxMuqlrpSWlBkDu+/CIT7y9uuaUfuxrg2ziJcYYrN+1H5cuTE6OiTFWhPVtHQMgzwj&#10;io60ApzOpt4RS9BGtw9MdS3V0sja7lHZRbKuW8p8DpBNEt/L5kzLjfK5rIt+rWaYANp7OD3bLL24&#10;OdPqSl1qQKJXa8DCr1wuQ6079w9RosFDdjtDxgaLKGxm2TJP4yVGFM6SOF5k+UEWUKUNQP9AkTbv&#10;R9VlvsjjGC7Fqb5OsyRb+PuIJs/RVjy9ggoxdyCY3wPhqiGKeWxNASBcatRWkEGaYCRIB5X6CWqH&#10;iDVnyG16dLzkjJUpDMD2S6Cyg/3XcboIWExwbeWc5PtpFiTmnEmhtLFnTHbITUqsIQxfWeTm3FgI&#10;A0QnEefbSN5Wpy3nfqHXqxOu0Q2Bck/eu5/zDypbYlw4YSGdWjh2OwD3lJKf2VvOnBwXn1gN6MBt&#10;pz4S35xs9kMoZcIm4aghFQvuF3C3033OGj4Wb9BZrsH/bHs04Br/oe0Q5SjvVJnv7Vk5fiywoDxr&#10;eM9S2Fm5a4XUuwxwyGr0HOQnkAI0DiU7rAYQcdOVrG6hjLQMJGMUPW3hCs+JsZdEA6tAqQNT2o8w&#10;1Fz2JZbjDKNG6u+79p081DmcYtQDS5XYfNsQzTDiHwR0wMEiAxYEXvOrJE/zHFZ662y1tRKb7kS6&#10;6gBeVtRPnYbl07TWsvsCpHrsPMMRERT8l3g1TU9s4E8gZcqOj70QkJki9lxcKepMO4hdkV4PX4hW&#10;YyVbaIILOfUdKe4VdJB1mkIeb6ysW1/td8iO4AMHBLz/AhmkExlcuwZ+KwfggvQeFyA7wIHLeqyD&#10;R1lh/OLs5INsP1m42wwlN7Hv1Ox/lA8QVONyH/g34L9NDFO3jfzjycEzn5/toIkndONuDniC4t/m&#10;gOrrkzggfD2mEvj3VDARwx+hAmr1/0QG/p0A7yP/cRnfcu4B9vPak8fdi/PoBwAAAP//AwBQSwME&#10;FAAGAAgAAAAhAOJpaHjeAAAABwEAAA8AAABkcnMvZG93bnJldi54bWxMj09Lw0AQxe+C32EZwZvd&#10;/KHSxmxKKeqpCLaC9DbNTpPQ7GzIbpP027v1opfhDW947zf5ajKtGKh3jWUF8SwCQVxa3XCl4Gv/&#10;9rQA4TyyxtYyKbiSg1Vxf5djpu3InzTsfCVCCLsMFdTed5mUrqzJoJvZjjh4J9sb9GHtK6l7HEO4&#10;aWUSRc/SYMOhocaONjWV593FKHgfcVyn8euwPZ8218N+/vG9jUmpx4dp/QLC0+T/juGGH9ChCExH&#10;e2HtRKsgPOJ/581LkjQFcQxqvkiXIItc/ucvfgAAAP//AwBQSwECLQAUAAYACAAAACEAtoM4kv4A&#10;AADhAQAAEwAAAAAAAAAAAAAAAAAAAAAAW0NvbnRlbnRfVHlwZXNdLnhtbFBLAQItABQABgAIAAAA&#10;IQA4/SH/1gAAAJQBAAALAAAAAAAAAAAAAAAAAC8BAABfcmVscy8ucmVsc1BLAQItABQABgAIAAAA&#10;IQDHAyQYbAMAALkKAAAOAAAAAAAAAAAAAAAAAC4CAABkcnMvZTJvRG9jLnhtbFBLAQItABQABgAI&#10;AAAAIQDiaWh43gAAAAcBAAAPAAAAAAAAAAAAAAAAAMYFAABkcnMvZG93bnJldi54bWxQSwUGAAAA&#10;AAQABADzAAAA0QY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h+wQAAANwAAAAPAAAAZHJzL2Rvd25yZXYueG1sRE9LasMw&#10;EN0Xcgcxge4a2SZuEydKSAOlXhWa+ACDNbFMrJGxVNu9fVUodDeP9539cbadGGnwrWMF6SoBQVw7&#10;3XKjoLq+PW1A+ICssXNMCr7Jw/GweNhjod3EnzReQiNiCPsCFZgQ+kJKXxuy6FeuJ47czQ0WQ4RD&#10;I/WAUwy3ncyS5FlabDk2GOzpbKi+X76sgvepytOp+jCpzF/l1WwdvpRrpR6X82kHItAc/sV/7lLH&#10;+VkKv8/EC+ThBwAA//8DAFBLAQItABQABgAIAAAAIQDb4fbL7gAAAIUBAAATAAAAAAAAAAAAAAAA&#10;AAAAAABbQ29udGVudF9UeXBlc10ueG1sUEsBAi0AFAAGAAgAAAAhAFr0LFu/AAAAFQEAAAsAAAAA&#10;AAAAAAAAAAAAHwEAAF9yZWxzLy5yZWxzUEsBAi0AFAAGAAgAAAAhAMym6H7BAAAA3AAAAA8AAAAA&#10;AAAAAAAAAAAABwIAAGRycy9kb3ducmV2LnhtbFBLBQYAAAAAAwADALcAAAD1AgAAAAA=&#10;" fillcolor="#1e1e1e" stroked="f" strokeweight="1pt">
                      <v:textbox inset="36pt,14.4pt,36pt,36pt">
                        <w:txbxContent>
                          <w:p w14:paraId="281A4456" w14:textId="2AD01A42" w:rsidR="001A3922" w:rsidRPr="00407937" w:rsidRDefault="00513FB7">
                            <w:pPr>
                              <w:pStyle w:val="NoSpacing"/>
                              <w:rPr>
                                <w:rFonts w:ascii="Arial" w:hAnsi="Arial" w:cs="Arial"/>
                                <w:caps/>
                                <w:color w:val="00DDA3"/>
                              </w:rPr>
                            </w:pPr>
                            <w:r w:rsidRPr="00407937">
                              <w:rPr>
                                <w:rFonts w:ascii="Arial" w:hAnsi="Arial" w:cs="Arial"/>
                                <w:noProof/>
                              </w:rPr>
                              <w:drawing>
                                <wp:inline distT="0" distB="0" distL="0" distR="0" wp14:anchorId="62082FA7" wp14:editId="203C9103">
                                  <wp:extent cx="2936240" cy="755015"/>
                                  <wp:effectExtent l="0" t="0" r="0" b="6985"/>
                                  <wp:docPr id="1422956242" name="Picture 3"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56242" name="Picture 3" descr="A white text on a black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755015"/>
                                          </a:xfrm>
                                          <a:prstGeom prst="rect">
                                            <a:avLst/>
                                          </a:prstGeom>
                                          <a:noFill/>
                                          <a:ln>
                                            <a:noFill/>
                                          </a:ln>
                                        </pic:spPr>
                                      </pic:pic>
                                    </a:graphicData>
                                  </a:graphic>
                                </wp:inline>
                              </w:drawing>
                            </w:r>
                            <w:r w:rsidR="006B35F0" w:rsidRPr="00407937">
                              <w:rPr>
                                <w:rFonts w:ascii="Arial" w:hAnsi="Arial" w:cs="Arial"/>
                                <w:caps/>
                                <w:color w:val="00DDA3"/>
                              </w:rPr>
                              <w:tab/>
                            </w:r>
                            <w:r w:rsidR="006B35F0" w:rsidRPr="00407937">
                              <w:rPr>
                                <w:rFonts w:ascii="Arial" w:hAnsi="Arial" w:cs="Arial"/>
                                <w:caps/>
                                <w:color w:val="00DDA3"/>
                              </w:rPr>
                              <w:tab/>
                            </w:r>
                            <w:r w:rsidR="006B35F0" w:rsidRPr="00407937">
                              <w:rPr>
                                <w:rFonts w:ascii="Arial" w:hAnsi="Arial" w:cs="Arial"/>
                                <w:caps/>
                                <w:color w:val="00DDA3"/>
                              </w:rPr>
                              <w:tab/>
                            </w:r>
                            <w:r w:rsidR="005A66CF" w:rsidRPr="00407937">
                              <w:rPr>
                                <w:rFonts w:ascii="Arial" w:hAnsi="Arial" w:cs="Arial"/>
                                <w:caps/>
                                <w:color w:val="00DDA3"/>
                              </w:rPr>
                              <w:t xml:space="preserve">millpont.com </w:t>
                            </w:r>
                            <w:r w:rsidR="003E3278" w:rsidRPr="00407937">
                              <w:rPr>
                                <w:rFonts w:ascii="Arial" w:hAnsi="Arial" w:cs="Arial"/>
                                <w:caps/>
                                <w:color w:val="00DDA3"/>
                              </w:rPr>
                              <w:t>| 2024</w:t>
                            </w:r>
                          </w:p>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WUtxAAAANwAAAAPAAAAZHJzL2Rvd25yZXYueG1sRE9Na8JA&#10;EL0L/odlBG91Y5BWUlcRQVpaL0mF0ts0O01Cs7MxuzWJv94VCt7m8T5ntelNLc7UusqygvksAkGc&#10;W11xoeD4sX9YgnAeWWNtmRQM5GCzHo9WmGjbcUrnzBcihLBLUEHpfZNI6fKSDLqZbYgD92Nbgz7A&#10;tpC6xS6Em1rGUfQoDVYcGkpsaFdS/pv9GQWLk7/Ub9HXy8EVn9zM3dN7OnwrNZ3022cQnnp/F/+7&#10;X3WYH8dweyZcINdXAAAA//8DAFBLAQItABQABgAIAAAAIQDb4fbL7gAAAIUBAAATAAAAAAAAAAAA&#10;AAAAAAAAAABbQ29udGVudF9UeXBlc10ueG1sUEsBAi0AFAAGAAgAAAAhAFr0LFu/AAAAFQEAAAsA&#10;AAAAAAAAAAAAAAAAHwEAAF9yZWxzLy5yZWxzUEsBAi0AFAAGAAgAAAAhAJ0ZZS3EAAAA3AAAAA8A&#10;AAAAAAAAAAAAAAAABwIAAGRycy9kb3ducmV2LnhtbFBLBQYAAAAAAwADALcAAAD4AgAAAAA=&#10;" fillcolor="#1e1e1e" stroked="f" strokeweight=".5pt">
                      <v:textbox inset="36pt,36pt,36pt,36pt">
                        <w:txbxContent>
                          <w:p w14:paraId="60BE5625" w14:textId="00E723F9" w:rsidR="001A3922" w:rsidRPr="00A658D8" w:rsidRDefault="00FB12B9">
                            <w:pPr>
                              <w:pStyle w:val="NoSpacing"/>
                              <w:pBdr>
                                <w:bottom w:val="single" w:sz="6" w:space="4" w:color="7F7F7F" w:themeColor="text1" w:themeTint="80"/>
                              </w:pBdr>
                              <w:rPr>
                                <w:rFonts w:ascii="Arial" w:eastAsiaTheme="majorEastAsia" w:hAnsi="Arial" w:cs="Arial"/>
                                <w:b/>
                                <w:bCs/>
                                <w:color w:val="FFFFFF" w:themeColor="background1"/>
                                <w:sz w:val="108"/>
                                <w:szCs w:val="108"/>
                              </w:rPr>
                            </w:pPr>
                            <w:r>
                              <w:rPr>
                                <w:rFonts w:ascii="Arial" w:eastAsiaTheme="majorEastAsia" w:hAnsi="Arial" w:cs="Arial"/>
                                <w:b/>
                                <w:bCs/>
                                <w:color w:val="FFFFFF" w:themeColor="background1"/>
                                <w:sz w:val="108"/>
                                <w:szCs w:val="108"/>
                              </w:rPr>
                              <w:t>MillPont Environmental Trust Infrastructure (METI)</w:t>
                            </w:r>
                            <w:r w:rsidR="00A658D8">
                              <w:rPr>
                                <w:rFonts w:ascii="Arial" w:eastAsiaTheme="majorEastAsia" w:hAnsi="Arial" w:cs="Arial"/>
                                <w:b/>
                                <w:bCs/>
                                <w:color w:val="FFFFFF" w:themeColor="background1"/>
                                <w:sz w:val="108"/>
                                <w:szCs w:val="108"/>
                                <w:vertAlign w:val="superscript"/>
                              </w:rPr>
                              <w:t xml:space="preserve">TM </w:t>
                            </w:r>
                            <w:r w:rsidR="00A658D8" w:rsidRPr="00D66C91">
                              <w:rPr>
                                <w:rFonts w:ascii="Arial" w:eastAsiaTheme="majorEastAsia" w:hAnsi="Arial" w:cs="Arial"/>
                                <w:b/>
                                <w:bCs/>
                                <w:color w:val="00DDA3"/>
                                <w:sz w:val="108"/>
                                <w:szCs w:val="108"/>
                              </w:rPr>
                              <w:t>Originate</w:t>
                            </w:r>
                          </w:p>
                          <w:sdt>
                            <w:sdtPr>
                              <w:rPr>
                                <w:rFonts w:ascii="Arial" w:hAnsi="Arial" w:cs="Arial"/>
                                <w:caps/>
                                <w:color w:val="00DDA3"/>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0FBC274" w14:textId="28F1D030" w:rsidR="001A3922" w:rsidRPr="00407937" w:rsidRDefault="00735F29">
                                <w:pPr>
                                  <w:pStyle w:val="NoSpacing"/>
                                  <w:spacing w:before="240"/>
                                  <w:rPr>
                                    <w:rFonts w:ascii="Arial" w:hAnsi="Arial" w:cs="Arial"/>
                                    <w:caps/>
                                    <w:color w:val="00DDA3"/>
                                    <w:sz w:val="36"/>
                                    <w:szCs w:val="36"/>
                                  </w:rPr>
                                </w:pPr>
                                <w:r w:rsidRPr="00407937">
                                  <w:rPr>
                                    <w:rFonts w:ascii="Arial" w:hAnsi="Arial" w:cs="Arial"/>
                                    <w:caps/>
                                    <w:color w:val="00DDA3"/>
                                    <w:sz w:val="36"/>
                                    <w:szCs w:val="36"/>
                                  </w:rPr>
                                  <w:t>Version 1.0</w:t>
                                </w:r>
                              </w:p>
                            </w:sdtContent>
                          </w:sdt>
                        </w:txbxContent>
                      </v:textbox>
                    </v:shape>
                    <w10:wrap anchorx="page" anchory="page"/>
                  </v:group>
                </w:pict>
              </mc:Fallback>
            </mc:AlternateContent>
          </w:r>
        </w:p>
        <w:p w14:paraId="03A00A4E" w14:textId="1E7BD4A0" w:rsidR="001A3922" w:rsidRPr="00EE100D" w:rsidRDefault="001A3922">
          <w:pPr>
            <w:rPr>
              <w:rFonts w:ascii="Arial" w:hAnsi="Arial" w:cs="Arial"/>
              <w:b/>
              <w:bCs/>
              <w:sz w:val="40"/>
              <w:szCs w:val="40"/>
            </w:rPr>
          </w:pPr>
          <w:r w:rsidRPr="00EE100D">
            <w:rPr>
              <w:rFonts w:ascii="Arial" w:hAnsi="Arial" w:cs="Arial"/>
              <w:b/>
              <w:bCs/>
              <w:sz w:val="40"/>
              <w:szCs w:val="40"/>
            </w:rPr>
            <w:br w:type="page"/>
          </w:r>
        </w:p>
      </w:sdtContent>
    </w:sdt>
    <w:p w14:paraId="75BE5AC3" w14:textId="77777777" w:rsidR="009562A9" w:rsidRPr="00EE100D" w:rsidRDefault="009562A9">
      <w:pPr>
        <w:rPr>
          <w:rFonts w:ascii="Arial" w:hAnsi="Arial" w:cs="Arial"/>
          <w:b/>
          <w:bCs/>
        </w:rPr>
      </w:pPr>
    </w:p>
    <w:p w14:paraId="1D234623" w14:textId="77777777" w:rsidR="004D1EAF" w:rsidRPr="00EE100D" w:rsidRDefault="004D1EAF" w:rsidP="00656232">
      <w:pPr>
        <w:rPr>
          <w:rFonts w:ascii="Arial" w:hAnsi="Arial" w:cs="Arial"/>
          <w:color w:val="00796E"/>
          <w:sz w:val="28"/>
          <w:szCs w:val="28"/>
        </w:rPr>
      </w:pPr>
    </w:p>
    <w:sdt>
      <w:sdtPr>
        <w:rPr>
          <w:rFonts w:ascii="Arial" w:eastAsiaTheme="minorHAnsi" w:hAnsi="Arial" w:cs="Arial"/>
          <w:color w:val="auto"/>
          <w:sz w:val="22"/>
          <w:szCs w:val="22"/>
        </w:rPr>
        <w:id w:val="1127197106"/>
        <w:docPartObj>
          <w:docPartGallery w:val="Table of Contents"/>
          <w:docPartUnique/>
        </w:docPartObj>
      </w:sdtPr>
      <w:sdtEndPr>
        <w:rPr>
          <w:b/>
          <w:bCs/>
          <w:noProof/>
        </w:rPr>
      </w:sdtEndPr>
      <w:sdtContent>
        <w:p w14:paraId="1420AC8D" w14:textId="0E31A51B" w:rsidR="003E3278" w:rsidRPr="00EE100D" w:rsidRDefault="003E3278">
          <w:pPr>
            <w:pStyle w:val="TOCHeading"/>
            <w:rPr>
              <w:rFonts w:ascii="Arial" w:hAnsi="Arial" w:cs="Arial"/>
              <w:color w:val="00DDA3"/>
            </w:rPr>
          </w:pPr>
          <w:r w:rsidRPr="00EE100D">
            <w:rPr>
              <w:rFonts w:ascii="Arial" w:hAnsi="Arial" w:cs="Arial"/>
              <w:color w:val="595D64"/>
            </w:rPr>
            <w:t>Contents</w:t>
          </w:r>
        </w:p>
        <w:p w14:paraId="3ED4D676" w14:textId="48CDFEF2" w:rsidR="002F6A90" w:rsidRDefault="003E3278">
          <w:pPr>
            <w:pStyle w:val="TOC1"/>
            <w:tabs>
              <w:tab w:val="right" w:leader="dot" w:pos="9350"/>
            </w:tabs>
            <w:rPr>
              <w:rFonts w:eastAsiaTheme="minorEastAsia"/>
              <w:noProof/>
              <w:kern w:val="2"/>
              <w:sz w:val="24"/>
              <w:szCs w:val="24"/>
              <w14:ligatures w14:val="standardContextual"/>
            </w:rPr>
          </w:pPr>
          <w:r w:rsidRPr="00EE100D">
            <w:rPr>
              <w:rFonts w:ascii="Arial" w:hAnsi="Arial" w:cs="Arial"/>
            </w:rPr>
            <w:fldChar w:fldCharType="begin"/>
          </w:r>
          <w:r w:rsidRPr="00EE100D">
            <w:rPr>
              <w:rFonts w:ascii="Arial" w:hAnsi="Arial" w:cs="Arial"/>
            </w:rPr>
            <w:instrText xml:space="preserve"> TOC \o "1-3" \h \z \u </w:instrText>
          </w:r>
          <w:r w:rsidRPr="00EE100D">
            <w:rPr>
              <w:rFonts w:ascii="Arial" w:hAnsi="Arial" w:cs="Arial"/>
            </w:rPr>
            <w:fldChar w:fldCharType="separate"/>
          </w:r>
          <w:hyperlink w:anchor="_Toc170739883" w:history="1">
            <w:r w:rsidR="002F6A90" w:rsidRPr="0057373D">
              <w:rPr>
                <w:rStyle w:val="Hyperlink"/>
                <w:rFonts w:ascii="Arial" w:hAnsi="Arial" w:cs="Arial"/>
                <w:b/>
                <w:bCs/>
                <w:noProof/>
              </w:rPr>
              <w:t>About MillPont</w:t>
            </w:r>
            <w:r w:rsidR="002F6A90">
              <w:rPr>
                <w:noProof/>
                <w:webHidden/>
              </w:rPr>
              <w:tab/>
            </w:r>
            <w:r w:rsidR="002F6A90">
              <w:rPr>
                <w:noProof/>
                <w:webHidden/>
              </w:rPr>
              <w:fldChar w:fldCharType="begin"/>
            </w:r>
            <w:r w:rsidR="002F6A90">
              <w:rPr>
                <w:noProof/>
                <w:webHidden/>
              </w:rPr>
              <w:instrText xml:space="preserve"> PAGEREF _Toc170739883 \h </w:instrText>
            </w:r>
            <w:r w:rsidR="002F6A90">
              <w:rPr>
                <w:noProof/>
                <w:webHidden/>
              </w:rPr>
            </w:r>
            <w:r w:rsidR="002F6A90">
              <w:rPr>
                <w:noProof/>
                <w:webHidden/>
              </w:rPr>
              <w:fldChar w:fldCharType="separate"/>
            </w:r>
            <w:r w:rsidR="002F6A90">
              <w:rPr>
                <w:noProof/>
                <w:webHidden/>
              </w:rPr>
              <w:t>2</w:t>
            </w:r>
            <w:r w:rsidR="002F6A90">
              <w:rPr>
                <w:noProof/>
                <w:webHidden/>
              </w:rPr>
              <w:fldChar w:fldCharType="end"/>
            </w:r>
          </w:hyperlink>
        </w:p>
        <w:p w14:paraId="06344A3B" w14:textId="4FD2FF4A" w:rsidR="002F6A90" w:rsidRDefault="002F6A90">
          <w:pPr>
            <w:pStyle w:val="TOC2"/>
            <w:tabs>
              <w:tab w:val="right" w:leader="dot" w:pos="9350"/>
            </w:tabs>
            <w:rPr>
              <w:rFonts w:eastAsiaTheme="minorEastAsia"/>
              <w:noProof/>
              <w:kern w:val="2"/>
              <w:sz w:val="24"/>
              <w:szCs w:val="24"/>
              <w14:ligatures w14:val="standardContextual"/>
            </w:rPr>
          </w:pPr>
          <w:hyperlink w:anchor="_Toc170739884" w:history="1">
            <w:r w:rsidRPr="0057373D">
              <w:rPr>
                <w:rStyle w:val="Hyperlink"/>
                <w:rFonts w:ascii="Arial" w:hAnsi="Arial" w:cs="Arial"/>
                <w:noProof/>
              </w:rPr>
              <w:t>Mission</w:t>
            </w:r>
            <w:r>
              <w:rPr>
                <w:noProof/>
                <w:webHidden/>
              </w:rPr>
              <w:tab/>
            </w:r>
            <w:r>
              <w:rPr>
                <w:noProof/>
                <w:webHidden/>
              </w:rPr>
              <w:fldChar w:fldCharType="begin"/>
            </w:r>
            <w:r>
              <w:rPr>
                <w:noProof/>
                <w:webHidden/>
              </w:rPr>
              <w:instrText xml:space="preserve"> PAGEREF _Toc170739884 \h </w:instrText>
            </w:r>
            <w:r>
              <w:rPr>
                <w:noProof/>
                <w:webHidden/>
              </w:rPr>
            </w:r>
            <w:r>
              <w:rPr>
                <w:noProof/>
                <w:webHidden/>
              </w:rPr>
              <w:fldChar w:fldCharType="separate"/>
            </w:r>
            <w:r>
              <w:rPr>
                <w:noProof/>
                <w:webHidden/>
              </w:rPr>
              <w:t>2</w:t>
            </w:r>
            <w:r>
              <w:rPr>
                <w:noProof/>
                <w:webHidden/>
              </w:rPr>
              <w:fldChar w:fldCharType="end"/>
            </w:r>
          </w:hyperlink>
        </w:p>
        <w:p w14:paraId="1F10795A" w14:textId="36496787" w:rsidR="002F6A90" w:rsidRDefault="002F6A90">
          <w:pPr>
            <w:pStyle w:val="TOC2"/>
            <w:tabs>
              <w:tab w:val="right" w:leader="dot" w:pos="9350"/>
            </w:tabs>
            <w:rPr>
              <w:rFonts w:eastAsiaTheme="minorEastAsia"/>
              <w:noProof/>
              <w:kern w:val="2"/>
              <w:sz w:val="24"/>
              <w:szCs w:val="24"/>
              <w14:ligatures w14:val="standardContextual"/>
            </w:rPr>
          </w:pPr>
          <w:hyperlink w:anchor="_Toc170739885" w:history="1">
            <w:r w:rsidRPr="0057373D">
              <w:rPr>
                <w:rStyle w:val="Hyperlink"/>
                <w:rFonts w:ascii="Arial" w:hAnsi="Arial" w:cs="Arial"/>
                <w:noProof/>
              </w:rPr>
              <w:t>Vision</w:t>
            </w:r>
            <w:r>
              <w:rPr>
                <w:noProof/>
                <w:webHidden/>
              </w:rPr>
              <w:tab/>
            </w:r>
            <w:r>
              <w:rPr>
                <w:noProof/>
                <w:webHidden/>
              </w:rPr>
              <w:fldChar w:fldCharType="begin"/>
            </w:r>
            <w:r>
              <w:rPr>
                <w:noProof/>
                <w:webHidden/>
              </w:rPr>
              <w:instrText xml:space="preserve"> PAGEREF _Toc170739885 \h </w:instrText>
            </w:r>
            <w:r>
              <w:rPr>
                <w:noProof/>
                <w:webHidden/>
              </w:rPr>
            </w:r>
            <w:r>
              <w:rPr>
                <w:noProof/>
                <w:webHidden/>
              </w:rPr>
              <w:fldChar w:fldCharType="separate"/>
            </w:r>
            <w:r>
              <w:rPr>
                <w:noProof/>
                <w:webHidden/>
              </w:rPr>
              <w:t>2</w:t>
            </w:r>
            <w:r>
              <w:rPr>
                <w:noProof/>
                <w:webHidden/>
              </w:rPr>
              <w:fldChar w:fldCharType="end"/>
            </w:r>
          </w:hyperlink>
        </w:p>
        <w:p w14:paraId="560C22D9" w14:textId="645F60BE" w:rsidR="002F6A90" w:rsidRDefault="002F6A90">
          <w:pPr>
            <w:pStyle w:val="TOC2"/>
            <w:tabs>
              <w:tab w:val="right" w:leader="dot" w:pos="9350"/>
            </w:tabs>
            <w:rPr>
              <w:rFonts w:eastAsiaTheme="minorEastAsia"/>
              <w:noProof/>
              <w:kern w:val="2"/>
              <w:sz w:val="24"/>
              <w:szCs w:val="24"/>
              <w14:ligatures w14:val="standardContextual"/>
            </w:rPr>
          </w:pPr>
          <w:hyperlink w:anchor="_Toc170739886" w:history="1">
            <w:r w:rsidRPr="0057373D">
              <w:rPr>
                <w:rStyle w:val="Hyperlink"/>
                <w:rFonts w:ascii="Arial" w:hAnsi="Arial" w:cs="Arial"/>
                <w:noProof/>
              </w:rPr>
              <w:t>Values</w:t>
            </w:r>
            <w:r>
              <w:rPr>
                <w:noProof/>
                <w:webHidden/>
              </w:rPr>
              <w:tab/>
            </w:r>
            <w:r>
              <w:rPr>
                <w:noProof/>
                <w:webHidden/>
              </w:rPr>
              <w:fldChar w:fldCharType="begin"/>
            </w:r>
            <w:r>
              <w:rPr>
                <w:noProof/>
                <w:webHidden/>
              </w:rPr>
              <w:instrText xml:space="preserve"> PAGEREF _Toc170739886 \h </w:instrText>
            </w:r>
            <w:r>
              <w:rPr>
                <w:noProof/>
                <w:webHidden/>
              </w:rPr>
            </w:r>
            <w:r>
              <w:rPr>
                <w:noProof/>
                <w:webHidden/>
              </w:rPr>
              <w:fldChar w:fldCharType="separate"/>
            </w:r>
            <w:r>
              <w:rPr>
                <w:noProof/>
                <w:webHidden/>
              </w:rPr>
              <w:t>3</w:t>
            </w:r>
            <w:r>
              <w:rPr>
                <w:noProof/>
                <w:webHidden/>
              </w:rPr>
              <w:fldChar w:fldCharType="end"/>
            </w:r>
          </w:hyperlink>
        </w:p>
        <w:p w14:paraId="2AA1BEAB" w14:textId="53B95F79" w:rsidR="002F6A90" w:rsidRDefault="002F6A90">
          <w:pPr>
            <w:pStyle w:val="TOC2"/>
            <w:tabs>
              <w:tab w:val="right" w:leader="dot" w:pos="9350"/>
            </w:tabs>
            <w:rPr>
              <w:rFonts w:eastAsiaTheme="minorEastAsia"/>
              <w:noProof/>
              <w:kern w:val="2"/>
              <w:sz w:val="24"/>
              <w:szCs w:val="24"/>
              <w14:ligatures w14:val="standardContextual"/>
            </w:rPr>
          </w:pPr>
          <w:hyperlink w:anchor="_Toc170739887" w:history="1">
            <w:r w:rsidRPr="0057373D">
              <w:rPr>
                <w:rStyle w:val="Hyperlink"/>
                <w:rFonts w:ascii="Arial" w:hAnsi="Arial" w:cs="Arial"/>
                <w:noProof/>
              </w:rPr>
              <w:t>Contact</w:t>
            </w:r>
            <w:r>
              <w:rPr>
                <w:noProof/>
                <w:webHidden/>
              </w:rPr>
              <w:tab/>
            </w:r>
            <w:r>
              <w:rPr>
                <w:noProof/>
                <w:webHidden/>
              </w:rPr>
              <w:fldChar w:fldCharType="begin"/>
            </w:r>
            <w:r>
              <w:rPr>
                <w:noProof/>
                <w:webHidden/>
              </w:rPr>
              <w:instrText xml:space="preserve"> PAGEREF _Toc170739887 \h </w:instrText>
            </w:r>
            <w:r>
              <w:rPr>
                <w:noProof/>
                <w:webHidden/>
              </w:rPr>
            </w:r>
            <w:r>
              <w:rPr>
                <w:noProof/>
                <w:webHidden/>
              </w:rPr>
              <w:fldChar w:fldCharType="separate"/>
            </w:r>
            <w:r>
              <w:rPr>
                <w:noProof/>
                <w:webHidden/>
              </w:rPr>
              <w:t>3</w:t>
            </w:r>
            <w:r>
              <w:rPr>
                <w:noProof/>
                <w:webHidden/>
              </w:rPr>
              <w:fldChar w:fldCharType="end"/>
            </w:r>
          </w:hyperlink>
        </w:p>
        <w:p w14:paraId="1A1C65D0" w14:textId="2C0A8633" w:rsidR="002F6A90" w:rsidRDefault="002F6A90">
          <w:pPr>
            <w:pStyle w:val="TOC1"/>
            <w:tabs>
              <w:tab w:val="right" w:leader="dot" w:pos="9350"/>
            </w:tabs>
            <w:rPr>
              <w:rFonts w:eastAsiaTheme="minorEastAsia"/>
              <w:noProof/>
              <w:kern w:val="2"/>
              <w:sz w:val="24"/>
              <w:szCs w:val="24"/>
              <w14:ligatures w14:val="standardContextual"/>
            </w:rPr>
          </w:pPr>
          <w:hyperlink w:anchor="_Toc170739888" w:history="1">
            <w:r w:rsidRPr="0057373D">
              <w:rPr>
                <w:rStyle w:val="Hyperlink"/>
                <w:rFonts w:ascii="Arial" w:hAnsi="Arial" w:cs="Arial"/>
                <w:b/>
                <w:bCs/>
                <w:noProof/>
              </w:rPr>
              <w:t>Introduction to METI</w:t>
            </w:r>
            <w:r w:rsidRPr="0057373D">
              <w:rPr>
                <w:rStyle w:val="Hyperlink"/>
                <w:rFonts w:ascii="Arial" w:hAnsi="Arial" w:cs="Arial"/>
                <w:b/>
                <w:bCs/>
                <w:noProof/>
                <w:vertAlign w:val="superscript"/>
              </w:rPr>
              <w:t>TM</w:t>
            </w:r>
            <w:r w:rsidRPr="0057373D">
              <w:rPr>
                <w:rStyle w:val="Hyperlink"/>
                <w:rFonts w:ascii="Arial" w:hAnsi="Arial" w:cs="Arial"/>
                <w:b/>
                <w:bCs/>
                <w:noProof/>
              </w:rPr>
              <w:t xml:space="preserve"> Originate</w:t>
            </w:r>
            <w:r>
              <w:rPr>
                <w:noProof/>
                <w:webHidden/>
              </w:rPr>
              <w:tab/>
            </w:r>
            <w:r>
              <w:rPr>
                <w:noProof/>
                <w:webHidden/>
              </w:rPr>
              <w:fldChar w:fldCharType="begin"/>
            </w:r>
            <w:r>
              <w:rPr>
                <w:noProof/>
                <w:webHidden/>
              </w:rPr>
              <w:instrText xml:space="preserve"> PAGEREF _Toc170739888 \h </w:instrText>
            </w:r>
            <w:r>
              <w:rPr>
                <w:noProof/>
                <w:webHidden/>
              </w:rPr>
            </w:r>
            <w:r>
              <w:rPr>
                <w:noProof/>
                <w:webHidden/>
              </w:rPr>
              <w:fldChar w:fldCharType="separate"/>
            </w:r>
            <w:r>
              <w:rPr>
                <w:noProof/>
                <w:webHidden/>
              </w:rPr>
              <w:t>4</w:t>
            </w:r>
            <w:r>
              <w:rPr>
                <w:noProof/>
                <w:webHidden/>
              </w:rPr>
              <w:fldChar w:fldCharType="end"/>
            </w:r>
          </w:hyperlink>
        </w:p>
        <w:p w14:paraId="4E7A9F2C" w14:textId="77287F67" w:rsidR="002F6A90" w:rsidRDefault="002F6A90">
          <w:pPr>
            <w:pStyle w:val="TOC1"/>
            <w:tabs>
              <w:tab w:val="right" w:leader="dot" w:pos="9350"/>
            </w:tabs>
            <w:rPr>
              <w:rFonts w:eastAsiaTheme="minorEastAsia"/>
              <w:noProof/>
              <w:kern w:val="2"/>
              <w:sz w:val="24"/>
              <w:szCs w:val="24"/>
              <w14:ligatures w14:val="standardContextual"/>
            </w:rPr>
          </w:pPr>
          <w:hyperlink w:anchor="_Toc170739889" w:history="1">
            <w:r w:rsidRPr="0057373D">
              <w:rPr>
                <w:rStyle w:val="Hyperlink"/>
                <w:rFonts w:ascii="Arial" w:hAnsi="Arial" w:cs="Arial"/>
                <w:b/>
                <w:bCs/>
                <w:noProof/>
              </w:rPr>
              <w:t>Spatiotemporal Claim ID (SCID) Certification</w:t>
            </w:r>
            <w:r>
              <w:rPr>
                <w:noProof/>
                <w:webHidden/>
              </w:rPr>
              <w:tab/>
            </w:r>
            <w:r>
              <w:rPr>
                <w:noProof/>
                <w:webHidden/>
              </w:rPr>
              <w:fldChar w:fldCharType="begin"/>
            </w:r>
            <w:r>
              <w:rPr>
                <w:noProof/>
                <w:webHidden/>
              </w:rPr>
              <w:instrText xml:space="preserve"> PAGEREF _Toc170739889 \h </w:instrText>
            </w:r>
            <w:r>
              <w:rPr>
                <w:noProof/>
                <w:webHidden/>
              </w:rPr>
            </w:r>
            <w:r>
              <w:rPr>
                <w:noProof/>
                <w:webHidden/>
              </w:rPr>
              <w:fldChar w:fldCharType="separate"/>
            </w:r>
            <w:r>
              <w:rPr>
                <w:noProof/>
                <w:webHidden/>
              </w:rPr>
              <w:t>5</w:t>
            </w:r>
            <w:r>
              <w:rPr>
                <w:noProof/>
                <w:webHidden/>
              </w:rPr>
              <w:fldChar w:fldCharType="end"/>
            </w:r>
          </w:hyperlink>
        </w:p>
        <w:p w14:paraId="5139472E" w14:textId="70D1F336" w:rsidR="002F6A90" w:rsidRDefault="002F6A90">
          <w:pPr>
            <w:pStyle w:val="TOC2"/>
            <w:tabs>
              <w:tab w:val="right" w:leader="dot" w:pos="9350"/>
            </w:tabs>
            <w:rPr>
              <w:rFonts w:eastAsiaTheme="minorEastAsia"/>
              <w:noProof/>
              <w:kern w:val="2"/>
              <w:sz w:val="24"/>
              <w:szCs w:val="24"/>
              <w14:ligatures w14:val="standardContextual"/>
            </w:rPr>
          </w:pPr>
          <w:hyperlink w:anchor="_Toc170739890" w:history="1">
            <w:r w:rsidRPr="0057373D">
              <w:rPr>
                <w:rStyle w:val="Hyperlink"/>
                <w:rFonts w:ascii="Arial" w:hAnsi="Arial" w:cs="Arial"/>
                <w:noProof/>
              </w:rPr>
              <w:t>The Service</w:t>
            </w:r>
            <w:r>
              <w:rPr>
                <w:noProof/>
                <w:webHidden/>
              </w:rPr>
              <w:tab/>
            </w:r>
            <w:r>
              <w:rPr>
                <w:noProof/>
                <w:webHidden/>
              </w:rPr>
              <w:fldChar w:fldCharType="begin"/>
            </w:r>
            <w:r>
              <w:rPr>
                <w:noProof/>
                <w:webHidden/>
              </w:rPr>
              <w:instrText xml:space="preserve"> PAGEREF _Toc170739890 \h </w:instrText>
            </w:r>
            <w:r>
              <w:rPr>
                <w:noProof/>
                <w:webHidden/>
              </w:rPr>
            </w:r>
            <w:r>
              <w:rPr>
                <w:noProof/>
                <w:webHidden/>
              </w:rPr>
              <w:fldChar w:fldCharType="separate"/>
            </w:r>
            <w:r>
              <w:rPr>
                <w:noProof/>
                <w:webHidden/>
              </w:rPr>
              <w:t>5</w:t>
            </w:r>
            <w:r>
              <w:rPr>
                <w:noProof/>
                <w:webHidden/>
              </w:rPr>
              <w:fldChar w:fldCharType="end"/>
            </w:r>
          </w:hyperlink>
        </w:p>
        <w:p w14:paraId="1D6C94A4" w14:textId="0B0D5BB8" w:rsidR="002F6A90" w:rsidRDefault="002F6A90">
          <w:pPr>
            <w:pStyle w:val="TOC2"/>
            <w:tabs>
              <w:tab w:val="right" w:leader="dot" w:pos="9350"/>
            </w:tabs>
            <w:rPr>
              <w:rFonts w:eastAsiaTheme="minorEastAsia"/>
              <w:noProof/>
              <w:kern w:val="2"/>
              <w:sz w:val="24"/>
              <w:szCs w:val="24"/>
              <w14:ligatures w14:val="standardContextual"/>
            </w:rPr>
          </w:pPr>
          <w:hyperlink w:anchor="_Toc170739891" w:history="1">
            <w:r w:rsidRPr="0057373D">
              <w:rPr>
                <w:rStyle w:val="Hyperlink"/>
                <w:rFonts w:ascii="Arial" w:hAnsi="Arial" w:cs="Arial"/>
                <w:noProof/>
              </w:rPr>
              <w:t>Features &amp; Benefits</w:t>
            </w:r>
            <w:r>
              <w:rPr>
                <w:noProof/>
                <w:webHidden/>
              </w:rPr>
              <w:tab/>
            </w:r>
            <w:r>
              <w:rPr>
                <w:noProof/>
                <w:webHidden/>
              </w:rPr>
              <w:fldChar w:fldCharType="begin"/>
            </w:r>
            <w:r>
              <w:rPr>
                <w:noProof/>
                <w:webHidden/>
              </w:rPr>
              <w:instrText xml:space="preserve"> PAGEREF _Toc170739891 \h </w:instrText>
            </w:r>
            <w:r>
              <w:rPr>
                <w:noProof/>
                <w:webHidden/>
              </w:rPr>
            </w:r>
            <w:r>
              <w:rPr>
                <w:noProof/>
                <w:webHidden/>
              </w:rPr>
              <w:fldChar w:fldCharType="separate"/>
            </w:r>
            <w:r>
              <w:rPr>
                <w:noProof/>
                <w:webHidden/>
              </w:rPr>
              <w:t>6</w:t>
            </w:r>
            <w:r>
              <w:rPr>
                <w:noProof/>
                <w:webHidden/>
              </w:rPr>
              <w:fldChar w:fldCharType="end"/>
            </w:r>
          </w:hyperlink>
        </w:p>
        <w:p w14:paraId="698F24C1" w14:textId="2EFE01B0" w:rsidR="002F6A90" w:rsidRDefault="002F6A90">
          <w:pPr>
            <w:pStyle w:val="TOC2"/>
            <w:tabs>
              <w:tab w:val="right" w:leader="dot" w:pos="9350"/>
            </w:tabs>
            <w:rPr>
              <w:rFonts w:eastAsiaTheme="minorEastAsia"/>
              <w:noProof/>
              <w:kern w:val="2"/>
              <w:sz w:val="24"/>
              <w:szCs w:val="24"/>
              <w14:ligatures w14:val="standardContextual"/>
            </w:rPr>
          </w:pPr>
          <w:hyperlink w:anchor="_Toc170739892" w:history="1">
            <w:r w:rsidRPr="0057373D">
              <w:rPr>
                <w:rStyle w:val="Hyperlink"/>
                <w:rFonts w:ascii="Arial" w:hAnsi="Arial" w:cs="Arial"/>
                <w:noProof/>
              </w:rPr>
              <w:t>Data</w:t>
            </w:r>
            <w:r>
              <w:rPr>
                <w:noProof/>
                <w:webHidden/>
              </w:rPr>
              <w:tab/>
            </w:r>
            <w:r>
              <w:rPr>
                <w:noProof/>
                <w:webHidden/>
              </w:rPr>
              <w:fldChar w:fldCharType="begin"/>
            </w:r>
            <w:r>
              <w:rPr>
                <w:noProof/>
                <w:webHidden/>
              </w:rPr>
              <w:instrText xml:space="preserve"> PAGEREF _Toc170739892 \h </w:instrText>
            </w:r>
            <w:r>
              <w:rPr>
                <w:noProof/>
                <w:webHidden/>
              </w:rPr>
            </w:r>
            <w:r>
              <w:rPr>
                <w:noProof/>
                <w:webHidden/>
              </w:rPr>
              <w:fldChar w:fldCharType="separate"/>
            </w:r>
            <w:r>
              <w:rPr>
                <w:noProof/>
                <w:webHidden/>
              </w:rPr>
              <w:t>6</w:t>
            </w:r>
            <w:r>
              <w:rPr>
                <w:noProof/>
                <w:webHidden/>
              </w:rPr>
              <w:fldChar w:fldCharType="end"/>
            </w:r>
          </w:hyperlink>
        </w:p>
        <w:p w14:paraId="3381DD66" w14:textId="79F7F041" w:rsidR="002F6A90" w:rsidRDefault="002F6A90">
          <w:pPr>
            <w:pStyle w:val="TOC2"/>
            <w:tabs>
              <w:tab w:val="right" w:leader="dot" w:pos="9350"/>
            </w:tabs>
            <w:rPr>
              <w:rFonts w:eastAsiaTheme="minorEastAsia"/>
              <w:noProof/>
              <w:kern w:val="2"/>
              <w:sz w:val="24"/>
              <w:szCs w:val="24"/>
              <w14:ligatures w14:val="standardContextual"/>
            </w:rPr>
          </w:pPr>
          <w:hyperlink w:anchor="_Toc170739893" w:history="1">
            <w:r w:rsidRPr="0057373D">
              <w:rPr>
                <w:rStyle w:val="Hyperlink"/>
                <w:rFonts w:ascii="Arial" w:hAnsi="Arial" w:cs="Arial"/>
                <w:noProof/>
              </w:rPr>
              <w:t>Delivery</w:t>
            </w:r>
            <w:r>
              <w:rPr>
                <w:noProof/>
                <w:webHidden/>
              </w:rPr>
              <w:tab/>
            </w:r>
            <w:r>
              <w:rPr>
                <w:noProof/>
                <w:webHidden/>
              </w:rPr>
              <w:fldChar w:fldCharType="begin"/>
            </w:r>
            <w:r>
              <w:rPr>
                <w:noProof/>
                <w:webHidden/>
              </w:rPr>
              <w:instrText xml:space="preserve"> PAGEREF _Toc170739893 \h </w:instrText>
            </w:r>
            <w:r>
              <w:rPr>
                <w:noProof/>
                <w:webHidden/>
              </w:rPr>
            </w:r>
            <w:r>
              <w:rPr>
                <w:noProof/>
                <w:webHidden/>
              </w:rPr>
              <w:fldChar w:fldCharType="separate"/>
            </w:r>
            <w:r>
              <w:rPr>
                <w:noProof/>
                <w:webHidden/>
              </w:rPr>
              <w:t>7</w:t>
            </w:r>
            <w:r>
              <w:rPr>
                <w:noProof/>
                <w:webHidden/>
              </w:rPr>
              <w:fldChar w:fldCharType="end"/>
            </w:r>
          </w:hyperlink>
        </w:p>
        <w:p w14:paraId="1817715E" w14:textId="10336047" w:rsidR="002F6A90" w:rsidRDefault="002F6A90">
          <w:pPr>
            <w:pStyle w:val="TOC2"/>
            <w:tabs>
              <w:tab w:val="right" w:leader="dot" w:pos="9350"/>
            </w:tabs>
            <w:rPr>
              <w:rFonts w:eastAsiaTheme="minorEastAsia"/>
              <w:noProof/>
              <w:kern w:val="2"/>
              <w:sz w:val="24"/>
              <w:szCs w:val="24"/>
              <w14:ligatures w14:val="standardContextual"/>
            </w:rPr>
          </w:pPr>
          <w:hyperlink w:anchor="_Toc170739894" w:history="1">
            <w:r w:rsidRPr="0057373D">
              <w:rPr>
                <w:rStyle w:val="Hyperlink"/>
                <w:rFonts w:ascii="Arial" w:hAnsi="Arial" w:cs="Arial"/>
                <w:noProof/>
              </w:rPr>
              <w:t>Annual SCID Certification Fee Schedule</w:t>
            </w:r>
            <w:r>
              <w:rPr>
                <w:noProof/>
                <w:webHidden/>
              </w:rPr>
              <w:tab/>
            </w:r>
            <w:r>
              <w:rPr>
                <w:noProof/>
                <w:webHidden/>
              </w:rPr>
              <w:fldChar w:fldCharType="begin"/>
            </w:r>
            <w:r>
              <w:rPr>
                <w:noProof/>
                <w:webHidden/>
              </w:rPr>
              <w:instrText xml:space="preserve"> PAGEREF _Toc170739894 \h </w:instrText>
            </w:r>
            <w:r>
              <w:rPr>
                <w:noProof/>
                <w:webHidden/>
              </w:rPr>
            </w:r>
            <w:r>
              <w:rPr>
                <w:noProof/>
                <w:webHidden/>
              </w:rPr>
              <w:fldChar w:fldCharType="separate"/>
            </w:r>
            <w:r>
              <w:rPr>
                <w:noProof/>
                <w:webHidden/>
              </w:rPr>
              <w:t>8</w:t>
            </w:r>
            <w:r>
              <w:rPr>
                <w:noProof/>
                <w:webHidden/>
              </w:rPr>
              <w:fldChar w:fldCharType="end"/>
            </w:r>
          </w:hyperlink>
        </w:p>
        <w:p w14:paraId="5664D86C" w14:textId="5E693933" w:rsidR="002F6A90" w:rsidRDefault="002F6A90">
          <w:pPr>
            <w:pStyle w:val="TOC1"/>
            <w:tabs>
              <w:tab w:val="right" w:leader="dot" w:pos="9350"/>
            </w:tabs>
            <w:rPr>
              <w:rFonts w:eastAsiaTheme="minorEastAsia"/>
              <w:noProof/>
              <w:kern w:val="2"/>
              <w:sz w:val="24"/>
              <w:szCs w:val="24"/>
              <w14:ligatures w14:val="standardContextual"/>
            </w:rPr>
          </w:pPr>
          <w:hyperlink w:anchor="_Toc170739895" w:history="1">
            <w:r w:rsidRPr="0057373D">
              <w:rPr>
                <w:rStyle w:val="Hyperlink"/>
                <w:rFonts w:ascii="Arial" w:hAnsi="Arial" w:cs="Arial"/>
                <w:b/>
                <w:bCs/>
                <w:noProof/>
              </w:rPr>
              <w:t>Environmental Attribute Certificate (EAC) Distribution</w:t>
            </w:r>
            <w:r>
              <w:rPr>
                <w:noProof/>
                <w:webHidden/>
              </w:rPr>
              <w:tab/>
            </w:r>
            <w:r>
              <w:rPr>
                <w:noProof/>
                <w:webHidden/>
              </w:rPr>
              <w:fldChar w:fldCharType="begin"/>
            </w:r>
            <w:r>
              <w:rPr>
                <w:noProof/>
                <w:webHidden/>
              </w:rPr>
              <w:instrText xml:space="preserve"> PAGEREF _Toc170739895 \h </w:instrText>
            </w:r>
            <w:r>
              <w:rPr>
                <w:noProof/>
                <w:webHidden/>
              </w:rPr>
            </w:r>
            <w:r>
              <w:rPr>
                <w:noProof/>
                <w:webHidden/>
              </w:rPr>
              <w:fldChar w:fldCharType="separate"/>
            </w:r>
            <w:r>
              <w:rPr>
                <w:noProof/>
                <w:webHidden/>
              </w:rPr>
              <w:t>9</w:t>
            </w:r>
            <w:r>
              <w:rPr>
                <w:noProof/>
                <w:webHidden/>
              </w:rPr>
              <w:fldChar w:fldCharType="end"/>
            </w:r>
          </w:hyperlink>
        </w:p>
        <w:p w14:paraId="75CF86B1" w14:textId="2CA9696A" w:rsidR="002F6A90" w:rsidRDefault="002F6A90">
          <w:pPr>
            <w:pStyle w:val="TOC2"/>
            <w:tabs>
              <w:tab w:val="right" w:leader="dot" w:pos="9350"/>
            </w:tabs>
            <w:rPr>
              <w:rFonts w:eastAsiaTheme="minorEastAsia"/>
              <w:noProof/>
              <w:kern w:val="2"/>
              <w:sz w:val="24"/>
              <w:szCs w:val="24"/>
              <w14:ligatures w14:val="standardContextual"/>
            </w:rPr>
          </w:pPr>
          <w:hyperlink w:anchor="_Toc170739896" w:history="1">
            <w:r w:rsidRPr="0057373D">
              <w:rPr>
                <w:rStyle w:val="Hyperlink"/>
                <w:rFonts w:ascii="Arial" w:hAnsi="Arial" w:cs="Arial"/>
                <w:noProof/>
              </w:rPr>
              <w:t>The Service</w:t>
            </w:r>
            <w:r>
              <w:rPr>
                <w:noProof/>
                <w:webHidden/>
              </w:rPr>
              <w:tab/>
            </w:r>
            <w:r>
              <w:rPr>
                <w:noProof/>
                <w:webHidden/>
              </w:rPr>
              <w:fldChar w:fldCharType="begin"/>
            </w:r>
            <w:r>
              <w:rPr>
                <w:noProof/>
                <w:webHidden/>
              </w:rPr>
              <w:instrText xml:space="preserve"> PAGEREF _Toc170739896 \h </w:instrText>
            </w:r>
            <w:r>
              <w:rPr>
                <w:noProof/>
                <w:webHidden/>
              </w:rPr>
            </w:r>
            <w:r>
              <w:rPr>
                <w:noProof/>
                <w:webHidden/>
              </w:rPr>
              <w:fldChar w:fldCharType="separate"/>
            </w:r>
            <w:r>
              <w:rPr>
                <w:noProof/>
                <w:webHidden/>
              </w:rPr>
              <w:t>9</w:t>
            </w:r>
            <w:r>
              <w:rPr>
                <w:noProof/>
                <w:webHidden/>
              </w:rPr>
              <w:fldChar w:fldCharType="end"/>
            </w:r>
          </w:hyperlink>
        </w:p>
        <w:p w14:paraId="356F1DE0" w14:textId="1930BC88" w:rsidR="002F6A90" w:rsidRDefault="002F6A90">
          <w:pPr>
            <w:pStyle w:val="TOC2"/>
            <w:tabs>
              <w:tab w:val="right" w:leader="dot" w:pos="9350"/>
            </w:tabs>
            <w:rPr>
              <w:rFonts w:eastAsiaTheme="minorEastAsia"/>
              <w:noProof/>
              <w:kern w:val="2"/>
              <w:sz w:val="24"/>
              <w:szCs w:val="24"/>
              <w14:ligatures w14:val="standardContextual"/>
            </w:rPr>
          </w:pPr>
          <w:hyperlink w:anchor="_Toc170739897" w:history="1">
            <w:r w:rsidRPr="0057373D">
              <w:rPr>
                <w:rStyle w:val="Hyperlink"/>
                <w:rFonts w:ascii="Arial" w:hAnsi="Arial" w:cs="Arial"/>
                <w:noProof/>
              </w:rPr>
              <w:t>Features &amp; Benefits</w:t>
            </w:r>
            <w:r>
              <w:rPr>
                <w:noProof/>
                <w:webHidden/>
              </w:rPr>
              <w:tab/>
            </w:r>
            <w:r>
              <w:rPr>
                <w:noProof/>
                <w:webHidden/>
              </w:rPr>
              <w:fldChar w:fldCharType="begin"/>
            </w:r>
            <w:r>
              <w:rPr>
                <w:noProof/>
                <w:webHidden/>
              </w:rPr>
              <w:instrText xml:space="preserve"> PAGEREF _Toc170739897 \h </w:instrText>
            </w:r>
            <w:r>
              <w:rPr>
                <w:noProof/>
                <w:webHidden/>
              </w:rPr>
            </w:r>
            <w:r>
              <w:rPr>
                <w:noProof/>
                <w:webHidden/>
              </w:rPr>
              <w:fldChar w:fldCharType="separate"/>
            </w:r>
            <w:r>
              <w:rPr>
                <w:noProof/>
                <w:webHidden/>
              </w:rPr>
              <w:t>11</w:t>
            </w:r>
            <w:r>
              <w:rPr>
                <w:noProof/>
                <w:webHidden/>
              </w:rPr>
              <w:fldChar w:fldCharType="end"/>
            </w:r>
          </w:hyperlink>
        </w:p>
        <w:p w14:paraId="02D9F1AC" w14:textId="14340524" w:rsidR="002F6A90" w:rsidRDefault="002F6A90">
          <w:pPr>
            <w:pStyle w:val="TOC2"/>
            <w:tabs>
              <w:tab w:val="right" w:leader="dot" w:pos="9350"/>
            </w:tabs>
            <w:rPr>
              <w:rFonts w:eastAsiaTheme="minorEastAsia"/>
              <w:noProof/>
              <w:kern w:val="2"/>
              <w:sz w:val="24"/>
              <w:szCs w:val="24"/>
              <w14:ligatures w14:val="standardContextual"/>
            </w:rPr>
          </w:pPr>
          <w:hyperlink w:anchor="_Toc170739898" w:history="1">
            <w:r w:rsidRPr="0057373D">
              <w:rPr>
                <w:rStyle w:val="Hyperlink"/>
                <w:rFonts w:ascii="Arial" w:hAnsi="Arial" w:cs="Arial"/>
                <w:noProof/>
              </w:rPr>
              <w:t>Data</w:t>
            </w:r>
            <w:r>
              <w:rPr>
                <w:noProof/>
                <w:webHidden/>
              </w:rPr>
              <w:tab/>
            </w:r>
            <w:r>
              <w:rPr>
                <w:noProof/>
                <w:webHidden/>
              </w:rPr>
              <w:fldChar w:fldCharType="begin"/>
            </w:r>
            <w:r>
              <w:rPr>
                <w:noProof/>
                <w:webHidden/>
              </w:rPr>
              <w:instrText xml:space="preserve"> PAGEREF _Toc170739898 \h </w:instrText>
            </w:r>
            <w:r>
              <w:rPr>
                <w:noProof/>
                <w:webHidden/>
              </w:rPr>
            </w:r>
            <w:r>
              <w:rPr>
                <w:noProof/>
                <w:webHidden/>
              </w:rPr>
              <w:fldChar w:fldCharType="separate"/>
            </w:r>
            <w:r>
              <w:rPr>
                <w:noProof/>
                <w:webHidden/>
              </w:rPr>
              <w:t>11</w:t>
            </w:r>
            <w:r>
              <w:rPr>
                <w:noProof/>
                <w:webHidden/>
              </w:rPr>
              <w:fldChar w:fldCharType="end"/>
            </w:r>
          </w:hyperlink>
        </w:p>
        <w:p w14:paraId="7E18F80C" w14:textId="6C034DD2" w:rsidR="002F6A90" w:rsidRDefault="002F6A90">
          <w:pPr>
            <w:pStyle w:val="TOC2"/>
            <w:tabs>
              <w:tab w:val="right" w:leader="dot" w:pos="9350"/>
            </w:tabs>
            <w:rPr>
              <w:rFonts w:eastAsiaTheme="minorEastAsia"/>
              <w:noProof/>
              <w:kern w:val="2"/>
              <w:sz w:val="24"/>
              <w:szCs w:val="24"/>
              <w14:ligatures w14:val="standardContextual"/>
            </w:rPr>
          </w:pPr>
          <w:hyperlink w:anchor="_Toc170739899" w:history="1">
            <w:r w:rsidRPr="0057373D">
              <w:rPr>
                <w:rStyle w:val="Hyperlink"/>
                <w:rFonts w:ascii="Arial" w:hAnsi="Arial" w:cs="Arial"/>
                <w:noProof/>
              </w:rPr>
              <w:t>Delivery</w:t>
            </w:r>
            <w:r>
              <w:rPr>
                <w:noProof/>
                <w:webHidden/>
              </w:rPr>
              <w:tab/>
            </w:r>
            <w:r>
              <w:rPr>
                <w:noProof/>
                <w:webHidden/>
              </w:rPr>
              <w:fldChar w:fldCharType="begin"/>
            </w:r>
            <w:r>
              <w:rPr>
                <w:noProof/>
                <w:webHidden/>
              </w:rPr>
              <w:instrText xml:space="preserve"> PAGEREF _Toc170739899 \h </w:instrText>
            </w:r>
            <w:r>
              <w:rPr>
                <w:noProof/>
                <w:webHidden/>
              </w:rPr>
            </w:r>
            <w:r>
              <w:rPr>
                <w:noProof/>
                <w:webHidden/>
              </w:rPr>
              <w:fldChar w:fldCharType="separate"/>
            </w:r>
            <w:r>
              <w:rPr>
                <w:noProof/>
                <w:webHidden/>
              </w:rPr>
              <w:t>11</w:t>
            </w:r>
            <w:r>
              <w:rPr>
                <w:noProof/>
                <w:webHidden/>
              </w:rPr>
              <w:fldChar w:fldCharType="end"/>
            </w:r>
          </w:hyperlink>
        </w:p>
        <w:p w14:paraId="1EF0D6C8" w14:textId="4F605DE1" w:rsidR="002F6A90" w:rsidRDefault="002F6A90">
          <w:pPr>
            <w:pStyle w:val="TOC2"/>
            <w:tabs>
              <w:tab w:val="right" w:leader="dot" w:pos="9350"/>
            </w:tabs>
            <w:rPr>
              <w:rFonts w:eastAsiaTheme="minorEastAsia"/>
              <w:noProof/>
              <w:kern w:val="2"/>
              <w:sz w:val="24"/>
              <w:szCs w:val="24"/>
              <w14:ligatures w14:val="standardContextual"/>
            </w:rPr>
          </w:pPr>
          <w:hyperlink w:anchor="_Toc170739900" w:history="1">
            <w:r w:rsidRPr="0057373D">
              <w:rPr>
                <w:rStyle w:val="Hyperlink"/>
                <w:rFonts w:ascii="Arial" w:hAnsi="Arial" w:cs="Arial"/>
                <w:noProof/>
              </w:rPr>
              <w:t>EAC Distribution Fee Schedule</w:t>
            </w:r>
            <w:r>
              <w:rPr>
                <w:noProof/>
                <w:webHidden/>
              </w:rPr>
              <w:tab/>
            </w:r>
            <w:r>
              <w:rPr>
                <w:noProof/>
                <w:webHidden/>
              </w:rPr>
              <w:fldChar w:fldCharType="begin"/>
            </w:r>
            <w:r>
              <w:rPr>
                <w:noProof/>
                <w:webHidden/>
              </w:rPr>
              <w:instrText xml:space="preserve"> PAGEREF _Toc170739900 \h </w:instrText>
            </w:r>
            <w:r>
              <w:rPr>
                <w:noProof/>
                <w:webHidden/>
              </w:rPr>
            </w:r>
            <w:r>
              <w:rPr>
                <w:noProof/>
                <w:webHidden/>
              </w:rPr>
              <w:fldChar w:fldCharType="separate"/>
            </w:r>
            <w:r>
              <w:rPr>
                <w:noProof/>
                <w:webHidden/>
              </w:rPr>
              <w:t>12</w:t>
            </w:r>
            <w:r>
              <w:rPr>
                <w:noProof/>
                <w:webHidden/>
              </w:rPr>
              <w:fldChar w:fldCharType="end"/>
            </w:r>
          </w:hyperlink>
        </w:p>
        <w:p w14:paraId="186C68C9" w14:textId="438B3E26" w:rsidR="002F6A90" w:rsidRDefault="002F6A90">
          <w:pPr>
            <w:pStyle w:val="TOC1"/>
            <w:tabs>
              <w:tab w:val="right" w:leader="dot" w:pos="9350"/>
            </w:tabs>
            <w:rPr>
              <w:rFonts w:eastAsiaTheme="minorEastAsia"/>
              <w:noProof/>
              <w:kern w:val="2"/>
              <w:sz w:val="24"/>
              <w:szCs w:val="24"/>
              <w14:ligatures w14:val="standardContextual"/>
            </w:rPr>
          </w:pPr>
          <w:hyperlink w:anchor="_Toc170739901" w:history="1">
            <w:r w:rsidRPr="0057373D">
              <w:rPr>
                <w:rStyle w:val="Hyperlink"/>
                <w:rFonts w:ascii="Arial" w:hAnsi="Arial" w:cs="Arial"/>
                <w:b/>
                <w:bCs/>
                <w:noProof/>
              </w:rPr>
              <w:t>Frequently Asked Questions (FAQ)</w:t>
            </w:r>
            <w:r>
              <w:rPr>
                <w:noProof/>
                <w:webHidden/>
              </w:rPr>
              <w:tab/>
            </w:r>
            <w:r>
              <w:rPr>
                <w:noProof/>
                <w:webHidden/>
              </w:rPr>
              <w:fldChar w:fldCharType="begin"/>
            </w:r>
            <w:r>
              <w:rPr>
                <w:noProof/>
                <w:webHidden/>
              </w:rPr>
              <w:instrText xml:space="preserve"> PAGEREF _Toc170739901 \h </w:instrText>
            </w:r>
            <w:r>
              <w:rPr>
                <w:noProof/>
                <w:webHidden/>
              </w:rPr>
            </w:r>
            <w:r>
              <w:rPr>
                <w:noProof/>
                <w:webHidden/>
              </w:rPr>
              <w:fldChar w:fldCharType="separate"/>
            </w:r>
            <w:r>
              <w:rPr>
                <w:noProof/>
                <w:webHidden/>
              </w:rPr>
              <w:t>13</w:t>
            </w:r>
            <w:r>
              <w:rPr>
                <w:noProof/>
                <w:webHidden/>
              </w:rPr>
              <w:fldChar w:fldCharType="end"/>
            </w:r>
          </w:hyperlink>
        </w:p>
        <w:p w14:paraId="448860BC" w14:textId="11FCAE5B" w:rsidR="003E3278" w:rsidRPr="00EE100D" w:rsidRDefault="003E3278">
          <w:pPr>
            <w:rPr>
              <w:rFonts w:ascii="Arial" w:hAnsi="Arial" w:cs="Arial"/>
            </w:rPr>
          </w:pPr>
          <w:r w:rsidRPr="00EE100D">
            <w:rPr>
              <w:rFonts w:ascii="Arial" w:hAnsi="Arial" w:cs="Arial"/>
              <w:b/>
              <w:bCs/>
              <w:noProof/>
            </w:rPr>
            <w:fldChar w:fldCharType="end"/>
          </w:r>
        </w:p>
      </w:sdtContent>
    </w:sdt>
    <w:p w14:paraId="43F2BAC9" w14:textId="77777777" w:rsidR="004D1EAF" w:rsidRPr="00EE100D" w:rsidRDefault="004D1EAF" w:rsidP="00656232">
      <w:pPr>
        <w:rPr>
          <w:rFonts w:ascii="Arial" w:hAnsi="Arial" w:cs="Arial"/>
          <w:color w:val="00796E"/>
          <w:sz w:val="28"/>
          <w:szCs w:val="28"/>
        </w:rPr>
      </w:pPr>
    </w:p>
    <w:p w14:paraId="2EB65DA1" w14:textId="77777777" w:rsidR="004D1EAF" w:rsidRPr="00EE100D" w:rsidRDefault="004D1EAF" w:rsidP="00656232">
      <w:pPr>
        <w:rPr>
          <w:rFonts w:ascii="Arial" w:hAnsi="Arial" w:cs="Arial"/>
          <w:color w:val="00796E"/>
          <w:sz w:val="28"/>
          <w:szCs w:val="28"/>
        </w:rPr>
      </w:pPr>
    </w:p>
    <w:p w14:paraId="23F5A7CC" w14:textId="77777777" w:rsidR="004D1EAF" w:rsidRPr="00EE100D" w:rsidRDefault="004D1EAF" w:rsidP="00656232">
      <w:pPr>
        <w:rPr>
          <w:rFonts w:ascii="Arial" w:hAnsi="Arial" w:cs="Arial"/>
          <w:color w:val="00796E"/>
          <w:sz w:val="28"/>
          <w:szCs w:val="28"/>
        </w:rPr>
      </w:pPr>
    </w:p>
    <w:p w14:paraId="1B664C93" w14:textId="77777777" w:rsidR="004D1EAF" w:rsidRPr="00EE100D" w:rsidRDefault="004D1EAF" w:rsidP="00656232">
      <w:pPr>
        <w:rPr>
          <w:rFonts w:ascii="Arial" w:hAnsi="Arial" w:cs="Arial"/>
          <w:color w:val="00796E"/>
          <w:sz w:val="28"/>
          <w:szCs w:val="28"/>
        </w:rPr>
      </w:pPr>
    </w:p>
    <w:p w14:paraId="5E766925" w14:textId="77777777" w:rsidR="004D1EAF" w:rsidRPr="00EE100D" w:rsidRDefault="004D1EAF" w:rsidP="00656232">
      <w:pPr>
        <w:rPr>
          <w:rFonts w:ascii="Arial" w:hAnsi="Arial" w:cs="Arial"/>
          <w:color w:val="00796E"/>
          <w:sz w:val="28"/>
          <w:szCs w:val="28"/>
        </w:rPr>
      </w:pPr>
    </w:p>
    <w:p w14:paraId="1E270572" w14:textId="77777777" w:rsidR="004D1EAF" w:rsidRPr="00EE100D" w:rsidRDefault="004D1EAF" w:rsidP="00656232">
      <w:pPr>
        <w:rPr>
          <w:rFonts w:ascii="Arial" w:hAnsi="Arial" w:cs="Arial"/>
          <w:color w:val="00796E"/>
          <w:sz w:val="28"/>
          <w:szCs w:val="28"/>
        </w:rPr>
      </w:pPr>
    </w:p>
    <w:p w14:paraId="17EA8728" w14:textId="77777777" w:rsidR="004D1EAF" w:rsidRPr="00EE100D" w:rsidRDefault="004D1EAF" w:rsidP="00656232">
      <w:pPr>
        <w:rPr>
          <w:rFonts w:ascii="Arial" w:hAnsi="Arial" w:cs="Arial"/>
          <w:color w:val="00796E"/>
          <w:sz w:val="28"/>
          <w:szCs w:val="28"/>
        </w:rPr>
      </w:pPr>
    </w:p>
    <w:p w14:paraId="6AEF02C2" w14:textId="77777777" w:rsidR="00094CEA" w:rsidRDefault="00094CEA" w:rsidP="00094CEA">
      <w:pPr>
        <w:pStyle w:val="Heading1"/>
        <w:spacing w:before="0"/>
        <w:rPr>
          <w:rFonts w:ascii="Arial" w:hAnsi="Arial" w:cs="Arial"/>
          <w:b/>
          <w:bCs/>
          <w:color w:val="000000" w:themeColor="text1"/>
        </w:rPr>
      </w:pPr>
    </w:p>
    <w:p w14:paraId="466B41E0" w14:textId="091E4FFB" w:rsidR="00656232" w:rsidRPr="00EE100D" w:rsidRDefault="00656232" w:rsidP="00094CEA">
      <w:pPr>
        <w:pStyle w:val="Heading1"/>
        <w:spacing w:before="0"/>
        <w:rPr>
          <w:rFonts w:ascii="Arial" w:hAnsi="Arial" w:cs="Arial"/>
          <w:b/>
          <w:bCs/>
          <w:color w:val="000000" w:themeColor="text1"/>
        </w:rPr>
      </w:pPr>
      <w:bookmarkStart w:id="0" w:name="_Toc170739883"/>
      <w:r w:rsidRPr="00EE100D">
        <w:rPr>
          <w:rFonts w:ascii="Arial" w:hAnsi="Arial" w:cs="Arial"/>
          <w:b/>
          <w:bCs/>
          <w:color w:val="000000" w:themeColor="text1"/>
        </w:rPr>
        <w:t>About MillPont</w:t>
      </w:r>
      <w:bookmarkEnd w:id="0"/>
    </w:p>
    <w:p w14:paraId="14A3ADF8" w14:textId="77777777" w:rsidR="00735F29" w:rsidRPr="00EE100D" w:rsidRDefault="00735F29" w:rsidP="00F86029">
      <w:pPr>
        <w:pStyle w:val="Heading2"/>
        <w:rPr>
          <w:rFonts w:ascii="Arial" w:hAnsi="Arial" w:cs="Arial"/>
          <w:color w:val="595D64"/>
          <w:sz w:val="28"/>
          <w:szCs w:val="28"/>
        </w:rPr>
      </w:pPr>
      <w:bookmarkStart w:id="1" w:name="_Toc170739884"/>
      <w:r w:rsidRPr="00EE100D">
        <w:rPr>
          <w:rFonts w:ascii="Arial" w:hAnsi="Arial" w:cs="Arial"/>
          <w:color w:val="595D64"/>
          <w:sz w:val="28"/>
          <w:szCs w:val="28"/>
        </w:rPr>
        <w:t>Mission</w:t>
      </w:r>
      <w:bookmarkEnd w:id="1"/>
    </w:p>
    <w:p w14:paraId="6655AF39" w14:textId="736A3DD1" w:rsidR="00735F29" w:rsidRPr="00EE100D" w:rsidRDefault="00DA0536" w:rsidP="00735F29">
      <w:pPr>
        <w:rPr>
          <w:rFonts w:ascii="Arial" w:hAnsi="Arial" w:cs="Arial"/>
        </w:rPr>
      </w:pPr>
      <w:r w:rsidRPr="00DA0536">
        <w:rPr>
          <w:rFonts w:ascii="Arial" w:hAnsi="Arial" w:cs="Arial"/>
        </w:rPr>
        <w:t>At MillPont</w:t>
      </w:r>
      <w:r>
        <w:rPr>
          <w:rFonts w:ascii="Arial" w:hAnsi="Arial" w:cs="Arial"/>
        </w:rPr>
        <w:t xml:space="preserve"> </w:t>
      </w:r>
      <w:r w:rsidRPr="00DA0536">
        <w:rPr>
          <w:rFonts w:ascii="Arial" w:hAnsi="Arial" w:cs="Arial"/>
        </w:rPr>
        <w:t>—</w:t>
      </w:r>
      <w:r>
        <w:rPr>
          <w:rFonts w:ascii="Arial" w:hAnsi="Arial" w:cs="Arial"/>
        </w:rPr>
        <w:t xml:space="preserve"> </w:t>
      </w:r>
      <w:r w:rsidRPr="00DA0536">
        <w:rPr>
          <w:rFonts w:ascii="Arial" w:hAnsi="Arial" w:cs="Arial"/>
        </w:rPr>
        <w:t xml:space="preserve">derived from </w:t>
      </w:r>
      <w:r w:rsidRPr="004C7BE0">
        <w:rPr>
          <w:rFonts w:ascii="Arial" w:hAnsi="Arial" w:cs="Arial"/>
          <w:i/>
          <w:iCs/>
        </w:rPr>
        <w:t>Mill</w:t>
      </w:r>
      <w:r w:rsidRPr="00DA0536">
        <w:rPr>
          <w:rFonts w:ascii="Arial" w:hAnsi="Arial" w:cs="Arial"/>
        </w:rPr>
        <w:t xml:space="preserve"> (</w:t>
      </w:r>
      <w:r w:rsidRPr="004C7BE0">
        <w:rPr>
          <w:rFonts w:ascii="Arial" w:hAnsi="Arial" w:cs="Arial"/>
        </w:rPr>
        <w:t>Latin for "a thousand"</w:t>
      </w:r>
      <w:r w:rsidRPr="00DA0536">
        <w:rPr>
          <w:rFonts w:ascii="Arial" w:hAnsi="Arial" w:cs="Arial"/>
        </w:rPr>
        <w:t xml:space="preserve">) and </w:t>
      </w:r>
      <w:r w:rsidRPr="004C7BE0">
        <w:rPr>
          <w:rFonts w:ascii="Arial" w:hAnsi="Arial" w:cs="Arial"/>
          <w:i/>
          <w:iCs/>
        </w:rPr>
        <w:t>Pont</w:t>
      </w:r>
      <w:r w:rsidRPr="00DA0536">
        <w:rPr>
          <w:rFonts w:ascii="Arial" w:hAnsi="Arial" w:cs="Arial"/>
        </w:rPr>
        <w:t xml:space="preserve"> (</w:t>
      </w:r>
      <w:r w:rsidRPr="004C7BE0">
        <w:rPr>
          <w:rFonts w:ascii="Arial" w:hAnsi="Arial" w:cs="Arial"/>
        </w:rPr>
        <w:t>French for "bridge"</w:t>
      </w:r>
      <w:r w:rsidRPr="00DA0536">
        <w:rPr>
          <w:rFonts w:ascii="Arial" w:hAnsi="Arial" w:cs="Arial"/>
        </w:rPr>
        <w:t>), collectively meaning "</w:t>
      </w:r>
      <w:r w:rsidRPr="00B831E2">
        <w:rPr>
          <w:rFonts w:ascii="Arial" w:hAnsi="Arial" w:cs="Arial"/>
        </w:rPr>
        <w:t>a thousand bridges</w:t>
      </w:r>
      <w:r w:rsidRPr="00DA0536">
        <w:rPr>
          <w:rFonts w:ascii="Arial" w:hAnsi="Arial" w:cs="Arial"/>
        </w:rPr>
        <w:t>"</w:t>
      </w:r>
      <w:r w:rsidR="002F167D">
        <w:rPr>
          <w:rFonts w:ascii="Arial" w:hAnsi="Arial" w:cs="Arial"/>
        </w:rPr>
        <w:t xml:space="preserve"> </w:t>
      </w:r>
      <w:r w:rsidRPr="00DA0536">
        <w:rPr>
          <w:rFonts w:ascii="Arial" w:hAnsi="Arial" w:cs="Arial"/>
        </w:rPr>
        <w:t>—</w:t>
      </w:r>
      <w:r>
        <w:rPr>
          <w:rFonts w:ascii="Arial" w:hAnsi="Arial" w:cs="Arial"/>
        </w:rPr>
        <w:t xml:space="preserve"> </w:t>
      </w:r>
      <w:r w:rsidRPr="00DA0536">
        <w:rPr>
          <w:rFonts w:ascii="Arial" w:hAnsi="Arial" w:cs="Arial"/>
        </w:rPr>
        <w:t>we are dedicated to</w:t>
      </w:r>
      <w:r w:rsidR="00735F29" w:rsidRPr="00EE100D">
        <w:rPr>
          <w:rFonts w:ascii="Arial" w:hAnsi="Arial" w:cs="Arial"/>
        </w:rPr>
        <w:t xml:space="preserve"> unlock</w:t>
      </w:r>
      <w:r>
        <w:rPr>
          <w:rFonts w:ascii="Arial" w:hAnsi="Arial" w:cs="Arial"/>
        </w:rPr>
        <w:t>ing</w:t>
      </w:r>
      <w:r w:rsidR="00735F29" w:rsidRPr="00EE100D">
        <w:rPr>
          <w:rFonts w:ascii="Arial" w:hAnsi="Arial" w:cs="Arial"/>
        </w:rPr>
        <w:t xml:space="preserve"> value through digital coordination of critical front- and back-office activities of environmental market participants. Leveraging common data exchange protocols paired with modern digital certification standards,</w:t>
      </w:r>
      <w:r w:rsidR="008C3E6B" w:rsidRPr="00EE100D">
        <w:rPr>
          <w:rFonts w:ascii="Arial" w:hAnsi="Arial" w:cs="Arial"/>
        </w:rPr>
        <w:t xml:space="preserve"> the</w:t>
      </w:r>
      <w:r w:rsidR="00735F29" w:rsidRPr="00EE100D">
        <w:rPr>
          <w:rFonts w:ascii="Arial" w:hAnsi="Arial" w:cs="Arial"/>
        </w:rPr>
        <w:t xml:space="preserve"> MillPont Environmental Trust Infrastructure (METI) interacts with stakeholders in a variety of ways: </w:t>
      </w:r>
    </w:p>
    <w:p w14:paraId="00301D64" w14:textId="45C7917D"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 xml:space="preserve">Assigning Spatiotemporal Claim Identifiers (SCIDs) </w:t>
      </w:r>
      <w:r w:rsidR="004C1D78" w:rsidRPr="00EE100D">
        <w:rPr>
          <w:rFonts w:ascii="Arial" w:hAnsi="Arial" w:cs="Arial"/>
        </w:rPr>
        <w:t xml:space="preserve">certificates </w:t>
      </w:r>
      <w:r w:rsidRPr="00EE100D">
        <w:rPr>
          <w:rFonts w:ascii="Arial" w:hAnsi="Arial" w:cs="Arial"/>
        </w:rPr>
        <w:t xml:space="preserve">to eligible environmental claim issuances - enabling comparison of previously siloed data and supporting the interoperability of new data. </w:t>
      </w:r>
    </w:p>
    <w:p w14:paraId="50E42639" w14:textId="77777777"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 xml:space="preserve">Creating secure universal databases and populating with </w:t>
      </w:r>
      <w:proofErr w:type="gramStart"/>
      <w:r w:rsidRPr="00EE100D">
        <w:rPr>
          <w:rFonts w:ascii="Arial" w:hAnsi="Arial" w:cs="Arial"/>
        </w:rPr>
        <w:t>cryptographically-linked</w:t>
      </w:r>
      <w:proofErr w:type="gramEnd"/>
      <w:r w:rsidRPr="00EE100D">
        <w:rPr>
          <w:rFonts w:ascii="Arial" w:hAnsi="Arial" w:cs="Arial"/>
        </w:rPr>
        <w:t xml:space="preserve"> claim issuer and issuance information.</w:t>
      </w:r>
    </w:p>
    <w:p w14:paraId="5B9B2895" w14:textId="77777777"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 xml:space="preserve">Distributing, updating, and maintaining unified database services to market participants, institutions, and authorized verification partners. </w:t>
      </w:r>
    </w:p>
    <w:p w14:paraId="6A70B61E" w14:textId="77777777"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Promoting automation of underwriting and verification workflows via common data exchange protocols for processing, QA/QC, security, aggregation and reporting.</w:t>
      </w:r>
    </w:p>
    <w:p w14:paraId="01077C83" w14:textId="77777777"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 xml:space="preserve">Expanding and evolving as regulations develop, markets mature, and new types of environmental claims are progressed. </w:t>
      </w:r>
    </w:p>
    <w:p w14:paraId="17405860" w14:textId="77777777" w:rsidR="00735F29" w:rsidRPr="00EE100D" w:rsidRDefault="00735F29" w:rsidP="008C3E6B">
      <w:pPr>
        <w:pStyle w:val="ListParagraph"/>
        <w:numPr>
          <w:ilvl w:val="0"/>
          <w:numId w:val="22"/>
        </w:numPr>
        <w:tabs>
          <w:tab w:val="num" w:pos="720"/>
        </w:tabs>
        <w:rPr>
          <w:rFonts w:ascii="Arial" w:hAnsi="Arial" w:cs="Arial"/>
        </w:rPr>
      </w:pPr>
      <w:r w:rsidRPr="00EE100D">
        <w:rPr>
          <w:rFonts w:ascii="Arial" w:hAnsi="Arial" w:cs="Arial"/>
        </w:rPr>
        <w:t xml:space="preserve">Facilitating harmonization at home and abroad by pursuing new initiatives, partnerships, and alliances. </w:t>
      </w:r>
    </w:p>
    <w:p w14:paraId="1A8B29DA" w14:textId="77777777" w:rsidR="00735F29" w:rsidRPr="00EE100D" w:rsidRDefault="00735F29" w:rsidP="00735F29">
      <w:pPr>
        <w:rPr>
          <w:rFonts w:ascii="Arial" w:hAnsi="Arial" w:cs="Arial"/>
        </w:rPr>
      </w:pPr>
      <w:r w:rsidRPr="00EE100D">
        <w:rPr>
          <w:rFonts w:ascii="Arial" w:hAnsi="Arial" w:cs="Arial"/>
        </w:rPr>
        <w:t xml:space="preserve">The common theme that links these activities is interoperability - or simply put, creating a common thread to enhance coordination and integration of both collective and competing climate efforts with more comprehensive, granular and timely data to support operations and multilateral accounting of claims tied to environmental benefits. </w:t>
      </w:r>
    </w:p>
    <w:p w14:paraId="67D16067" w14:textId="77777777" w:rsidR="00735F29" w:rsidRPr="00EE100D" w:rsidRDefault="00735F29" w:rsidP="00F86029">
      <w:pPr>
        <w:pStyle w:val="Heading2"/>
        <w:rPr>
          <w:rFonts w:ascii="Arial" w:hAnsi="Arial" w:cs="Arial"/>
          <w:color w:val="595D64"/>
          <w:sz w:val="28"/>
          <w:szCs w:val="28"/>
        </w:rPr>
      </w:pPr>
      <w:bookmarkStart w:id="2" w:name="_Toc170739885"/>
      <w:r w:rsidRPr="00EE100D">
        <w:rPr>
          <w:rFonts w:ascii="Arial" w:hAnsi="Arial" w:cs="Arial"/>
          <w:color w:val="595D64"/>
          <w:sz w:val="28"/>
          <w:szCs w:val="28"/>
        </w:rPr>
        <w:t>Vision</w:t>
      </w:r>
      <w:bookmarkEnd w:id="2"/>
    </w:p>
    <w:p w14:paraId="666C4D8F" w14:textId="77777777" w:rsidR="00735F29" w:rsidRPr="00EE100D" w:rsidRDefault="00735F29" w:rsidP="00DE5885">
      <w:pPr>
        <w:rPr>
          <w:rFonts w:ascii="Arial" w:hAnsi="Arial" w:cs="Arial"/>
        </w:rPr>
      </w:pPr>
      <w:r w:rsidRPr="00EE100D">
        <w:rPr>
          <w:rFonts w:ascii="Arial" w:hAnsi="Arial" w:cs="Arial"/>
        </w:rPr>
        <w:t xml:space="preserve">We envision a world where environmental markets are unified by a common language distributed via an ecosystem of foundational market services. By harmonizing the fragmented programs, projects and data across agriculture, forestry, energy, waste and natural system sectors, we will unlock transformative sustainability impact on a global scale. </w:t>
      </w:r>
    </w:p>
    <w:p w14:paraId="3123875E" w14:textId="261A326E" w:rsidR="00C70EA4" w:rsidRPr="00094CEA" w:rsidRDefault="00735F29" w:rsidP="00094CEA">
      <w:pPr>
        <w:rPr>
          <w:rFonts w:ascii="Arial" w:hAnsi="Arial" w:cs="Arial"/>
        </w:rPr>
      </w:pPr>
      <w:r w:rsidRPr="00EE100D">
        <w:rPr>
          <w:rFonts w:ascii="Arial" w:hAnsi="Arial" w:cs="Arial"/>
        </w:rPr>
        <w:t xml:space="preserve">We invite all stakeholders who share this vision to join us in building a collaborative ecosystem that </w:t>
      </w:r>
      <w:r w:rsidR="001963A4">
        <w:rPr>
          <w:rFonts w:ascii="Arial" w:hAnsi="Arial" w:cs="Arial"/>
        </w:rPr>
        <w:t>foster</w:t>
      </w:r>
      <w:r w:rsidR="00B76F8E">
        <w:rPr>
          <w:rFonts w:ascii="Arial" w:hAnsi="Arial" w:cs="Arial"/>
        </w:rPr>
        <w:t xml:space="preserve">s robust </w:t>
      </w:r>
      <w:r w:rsidR="004B4025">
        <w:rPr>
          <w:rFonts w:ascii="Arial" w:hAnsi="Arial" w:cs="Arial"/>
        </w:rPr>
        <w:t xml:space="preserve">economic </w:t>
      </w:r>
      <w:r w:rsidR="00B76F8E">
        <w:rPr>
          <w:rFonts w:ascii="Arial" w:hAnsi="Arial" w:cs="Arial"/>
        </w:rPr>
        <w:t xml:space="preserve">signals </w:t>
      </w:r>
      <w:r w:rsidR="001963A4">
        <w:rPr>
          <w:rFonts w:ascii="Arial" w:hAnsi="Arial" w:cs="Arial"/>
        </w:rPr>
        <w:t xml:space="preserve">for environmental outcomes, enhances </w:t>
      </w:r>
      <w:r w:rsidRPr="00EE100D">
        <w:rPr>
          <w:rFonts w:ascii="Arial" w:hAnsi="Arial" w:cs="Arial"/>
        </w:rPr>
        <w:t xml:space="preserve">coordination, optimizes resources, mitigates systemic risks, and fortifies the integrity of environmental assets. Together, we can </w:t>
      </w:r>
      <w:r w:rsidR="004B4025">
        <w:rPr>
          <w:rFonts w:ascii="Arial" w:hAnsi="Arial" w:cs="Arial"/>
        </w:rPr>
        <w:t>create</w:t>
      </w:r>
      <w:r w:rsidRPr="00EE100D">
        <w:rPr>
          <w:rFonts w:ascii="Arial" w:hAnsi="Arial" w:cs="Arial"/>
        </w:rPr>
        <w:t xml:space="preserve"> enduring market conditions which catalyze, scale and reward the drivers of effective and credible climate action.</w:t>
      </w:r>
    </w:p>
    <w:p w14:paraId="082A8EB8" w14:textId="77777777" w:rsidR="00163061" w:rsidRDefault="00163061" w:rsidP="00F86029">
      <w:pPr>
        <w:pStyle w:val="Heading2"/>
        <w:rPr>
          <w:rFonts w:ascii="Arial" w:hAnsi="Arial" w:cs="Arial"/>
          <w:color w:val="595D64"/>
          <w:sz w:val="28"/>
          <w:szCs w:val="28"/>
        </w:rPr>
      </w:pPr>
    </w:p>
    <w:p w14:paraId="51BD7D32" w14:textId="77777777" w:rsidR="0015454F" w:rsidRDefault="0015454F" w:rsidP="0015454F"/>
    <w:p w14:paraId="4D37CD89" w14:textId="77777777" w:rsidR="0015454F" w:rsidRDefault="0015454F" w:rsidP="0015454F"/>
    <w:p w14:paraId="4A340E15" w14:textId="77777777" w:rsidR="0015454F" w:rsidRPr="0015454F" w:rsidRDefault="0015454F" w:rsidP="0015454F"/>
    <w:p w14:paraId="61B6A3C9" w14:textId="2CE5D509" w:rsidR="00735F29" w:rsidRPr="00EE100D" w:rsidRDefault="00735F29" w:rsidP="00F86029">
      <w:pPr>
        <w:pStyle w:val="Heading2"/>
        <w:rPr>
          <w:rFonts w:ascii="Arial" w:hAnsi="Arial" w:cs="Arial"/>
          <w:color w:val="595D64"/>
          <w:sz w:val="28"/>
          <w:szCs w:val="28"/>
        </w:rPr>
      </w:pPr>
      <w:bookmarkStart w:id="3" w:name="_Toc170739886"/>
      <w:r w:rsidRPr="00EE100D">
        <w:rPr>
          <w:rFonts w:ascii="Arial" w:hAnsi="Arial" w:cs="Arial"/>
          <w:color w:val="595D64"/>
          <w:sz w:val="28"/>
          <w:szCs w:val="28"/>
        </w:rPr>
        <w:t>Values</w:t>
      </w:r>
      <w:bookmarkEnd w:id="3"/>
    </w:p>
    <w:p w14:paraId="36B62F2F" w14:textId="23CEBB6C" w:rsidR="00735F29" w:rsidRPr="00EE100D" w:rsidRDefault="00735F29" w:rsidP="00735F29">
      <w:pPr>
        <w:rPr>
          <w:rFonts w:ascii="Arial" w:hAnsi="Arial" w:cs="Arial"/>
        </w:rPr>
      </w:pPr>
      <w:r w:rsidRPr="00EE100D">
        <w:rPr>
          <w:rFonts w:ascii="Arial" w:hAnsi="Arial" w:cs="Arial"/>
        </w:rPr>
        <w:t xml:space="preserve">The values outlined here articulate the principles needed to maximize the utility, benefit, and trust of </w:t>
      </w:r>
      <w:r w:rsidR="004F3333" w:rsidRPr="00EE100D">
        <w:rPr>
          <w:rFonts w:ascii="Arial" w:hAnsi="Arial" w:cs="Arial"/>
        </w:rPr>
        <w:t>METI</w:t>
      </w:r>
      <w:r w:rsidRPr="00EE100D">
        <w:rPr>
          <w:rFonts w:ascii="Arial" w:hAnsi="Arial" w:cs="Arial"/>
        </w:rPr>
        <w:t xml:space="preserve">, its services, and those derived from them. These include: </w:t>
      </w:r>
    </w:p>
    <w:p w14:paraId="20F67C70" w14:textId="58A808EE" w:rsidR="00F91CD1" w:rsidRPr="00F91CD1" w:rsidRDefault="00F91CD1" w:rsidP="00735F29">
      <w:pPr>
        <w:numPr>
          <w:ilvl w:val="0"/>
          <w:numId w:val="21"/>
        </w:numPr>
        <w:rPr>
          <w:rFonts w:ascii="Arial" w:hAnsi="Arial" w:cs="Arial"/>
          <w:b/>
          <w:bCs/>
        </w:rPr>
      </w:pPr>
      <w:r w:rsidRPr="00F91CD1">
        <w:rPr>
          <w:rFonts w:ascii="Arial" w:hAnsi="Arial" w:cs="Arial"/>
          <w:b/>
          <w:bCs/>
        </w:rPr>
        <w:t>Steward-First</w:t>
      </w:r>
      <w:r>
        <w:rPr>
          <w:rFonts w:ascii="Arial" w:hAnsi="Arial" w:cs="Arial"/>
          <w:b/>
          <w:bCs/>
        </w:rPr>
        <w:t xml:space="preserve">: </w:t>
      </w:r>
      <w:r w:rsidR="00D43A92" w:rsidRPr="00D43A92">
        <w:rPr>
          <w:rFonts w:ascii="Arial" w:hAnsi="Arial" w:cs="Arial"/>
        </w:rPr>
        <w:t>We prioritize the economic and environmental well-being of land stewards by ensuring our systems and services support the creation and commercialization of clear, direct, and robust economic incentives for their contributions to environmental outcomes</w:t>
      </w:r>
      <w:r w:rsidR="00926120">
        <w:rPr>
          <w:rFonts w:ascii="Arial" w:hAnsi="Arial" w:cs="Arial"/>
        </w:rPr>
        <w:t>.</w:t>
      </w:r>
    </w:p>
    <w:p w14:paraId="063CFDC3" w14:textId="11C72C2D" w:rsidR="00735F29" w:rsidRPr="00EE100D" w:rsidRDefault="00735F29" w:rsidP="00735F29">
      <w:pPr>
        <w:numPr>
          <w:ilvl w:val="0"/>
          <w:numId w:val="21"/>
        </w:numPr>
        <w:rPr>
          <w:rFonts w:ascii="Arial" w:hAnsi="Arial" w:cs="Arial"/>
        </w:rPr>
      </w:pPr>
      <w:r w:rsidRPr="00EE100D">
        <w:rPr>
          <w:rFonts w:ascii="Arial" w:hAnsi="Arial" w:cs="Arial"/>
          <w:b/>
          <w:bCs/>
        </w:rPr>
        <w:t>Data-based</w:t>
      </w:r>
      <w:r w:rsidRPr="00EE100D">
        <w:rPr>
          <w:rFonts w:ascii="Arial" w:hAnsi="Arial" w:cs="Arial"/>
        </w:rPr>
        <w:t>: We ensure that our data services are consistent with FAIRER (Findable, Accessible, Interoperable, Reusable, Equitable, and Responsible) principles and aligned with broader efforts to advance, distribute, and expand accessibility to data services that promote social and ecological benefits - particularly in communities that have not traditionally had access.</w:t>
      </w:r>
    </w:p>
    <w:p w14:paraId="6CDFD397" w14:textId="0E46B77C" w:rsidR="00735F29" w:rsidRPr="00EE100D" w:rsidRDefault="00DF11BF" w:rsidP="00735F29">
      <w:pPr>
        <w:numPr>
          <w:ilvl w:val="0"/>
          <w:numId w:val="21"/>
        </w:numPr>
        <w:rPr>
          <w:rFonts w:ascii="Arial" w:hAnsi="Arial" w:cs="Arial"/>
        </w:rPr>
      </w:pPr>
      <w:r w:rsidRPr="00EE100D">
        <w:rPr>
          <w:rFonts w:ascii="Arial" w:hAnsi="Arial" w:cs="Arial"/>
          <w:b/>
          <w:bCs/>
        </w:rPr>
        <w:t>Reliable</w:t>
      </w:r>
      <w:r w:rsidR="00735F29" w:rsidRPr="00EE100D">
        <w:rPr>
          <w:rFonts w:ascii="Arial" w:hAnsi="Arial" w:cs="Arial"/>
          <w:b/>
          <w:bCs/>
        </w:rPr>
        <w:t>:</w:t>
      </w:r>
      <w:r w:rsidR="00735F29" w:rsidRPr="00EE100D">
        <w:rPr>
          <w:rFonts w:ascii="Arial" w:hAnsi="Arial" w:cs="Arial"/>
        </w:rPr>
        <w:t xml:space="preserve"> Operating on a sustained basis requires putting in place affordable, </w:t>
      </w:r>
      <w:r w:rsidRPr="00EE100D">
        <w:rPr>
          <w:rFonts w:ascii="Arial" w:hAnsi="Arial" w:cs="Arial"/>
        </w:rPr>
        <w:t xml:space="preserve">secure, </w:t>
      </w:r>
      <w:r w:rsidR="00735F29" w:rsidRPr="00EE100D">
        <w:rPr>
          <w:rFonts w:ascii="Arial" w:hAnsi="Arial" w:cs="Arial"/>
        </w:rPr>
        <w:t xml:space="preserve">sustainable processes and mechanisms for providing consistent, </w:t>
      </w:r>
      <w:r w:rsidRPr="00EE100D">
        <w:rPr>
          <w:rFonts w:ascii="Arial" w:hAnsi="Arial" w:cs="Arial"/>
        </w:rPr>
        <w:t>trustworthy</w:t>
      </w:r>
      <w:r w:rsidR="00735F29" w:rsidRPr="00EE100D">
        <w:rPr>
          <w:rFonts w:ascii="Arial" w:hAnsi="Arial" w:cs="Arial"/>
        </w:rPr>
        <w:t>, timely, and robust data services over time.</w:t>
      </w:r>
    </w:p>
    <w:p w14:paraId="61C53912" w14:textId="7CC724C8" w:rsidR="00735F29" w:rsidRPr="00EE100D" w:rsidRDefault="00735F29" w:rsidP="00735F29">
      <w:pPr>
        <w:numPr>
          <w:ilvl w:val="0"/>
          <w:numId w:val="21"/>
        </w:numPr>
        <w:rPr>
          <w:rFonts w:ascii="Arial" w:hAnsi="Arial" w:cs="Arial"/>
        </w:rPr>
      </w:pPr>
      <w:r w:rsidRPr="00EE100D">
        <w:rPr>
          <w:rFonts w:ascii="Arial" w:hAnsi="Arial" w:cs="Arial"/>
          <w:b/>
          <w:bCs/>
        </w:rPr>
        <w:t>Collaborative:</w:t>
      </w:r>
      <w:r w:rsidRPr="00EE100D">
        <w:rPr>
          <w:rFonts w:ascii="Arial" w:hAnsi="Arial" w:cs="Arial"/>
        </w:rPr>
        <w:t xml:space="preserve"> </w:t>
      </w:r>
      <w:r w:rsidR="00E00C49" w:rsidRPr="00EE100D">
        <w:rPr>
          <w:rFonts w:ascii="Arial" w:hAnsi="Arial" w:cs="Arial"/>
        </w:rPr>
        <w:t xml:space="preserve">Our systems </w:t>
      </w:r>
      <w:r w:rsidRPr="00EE100D">
        <w:rPr>
          <w:rFonts w:ascii="Arial" w:hAnsi="Arial" w:cs="Arial"/>
        </w:rPr>
        <w:t xml:space="preserve">help establish and nurture close collaborations between public, private, Tribal, academic, NGOs, and international institutions in support of </w:t>
      </w:r>
      <w:r w:rsidR="00E00C49" w:rsidRPr="00EE100D">
        <w:rPr>
          <w:rFonts w:ascii="Arial" w:hAnsi="Arial" w:cs="Arial"/>
        </w:rPr>
        <w:t>a</w:t>
      </w:r>
      <w:r w:rsidRPr="00EE100D">
        <w:rPr>
          <w:rFonts w:ascii="Arial" w:hAnsi="Arial" w:cs="Arial"/>
        </w:rPr>
        <w:t xml:space="preserve"> shared vision</w:t>
      </w:r>
      <w:r w:rsidR="00E00C49" w:rsidRPr="00EE100D">
        <w:rPr>
          <w:rFonts w:ascii="Arial" w:hAnsi="Arial" w:cs="Arial"/>
        </w:rPr>
        <w:t xml:space="preserve"> </w:t>
      </w:r>
      <w:r w:rsidR="00803146" w:rsidRPr="00EE100D">
        <w:rPr>
          <w:rFonts w:ascii="Arial" w:hAnsi="Arial" w:cs="Arial"/>
        </w:rPr>
        <w:t xml:space="preserve">that integrates and </w:t>
      </w:r>
      <w:r w:rsidR="00363E17" w:rsidRPr="00EE100D">
        <w:rPr>
          <w:rFonts w:ascii="Arial" w:hAnsi="Arial" w:cs="Arial"/>
        </w:rPr>
        <w:t xml:space="preserve">values </w:t>
      </w:r>
      <w:r w:rsidR="00803146" w:rsidRPr="00EE100D">
        <w:rPr>
          <w:rFonts w:ascii="Arial" w:hAnsi="Arial" w:cs="Arial"/>
        </w:rPr>
        <w:t xml:space="preserve">environmental outcomes </w:t>
      </w:r>
      <w:r w:rsidR="002B6400" w:rsidRPr="00EE100D">
        <w:rPr>
          <w:rFonts w:ascii="Arial" w:hAnsi="Arial" w:cs="Arial"/>
        </w:rPr>
        <w:t>consistently and at scale.</w:t>
      </w:r>
      <w:r w:rsidR="00803146" w:rsidRPr="00EE100D">
        <w:rPr>
          <w:rFonts w:ascii="Arial" w:hAnsi="Arial" w:cs="Arial"/>
        </w:rPr>
        <w:t xml:space="preserve"> </w:t>
      </w:r>
    </w:p>
    <w:p w14:paraId="662B530F" w14:textId="26F9EA2E" w:rsidR="00735F29" w:rsidRPr="00EE100D" w:rsidRDefault="00735F29" w:rsidP="00735F29">
      <w:pPr>
        <w:numPr>
          <w:ilvl w:val="0"/>
          <w:numId w:val="21"/>
        </w:numPr>
        <w:rPr>
          <w:rFonts w:ascii="Arial" w:hAnsi="Arial" w:cs="Arial"/>
        </w:rPr>
      </w:pPr>
      <w:r w:rsidRPr="00EE100D">
        <w:rPr>
          <w:rFonts w:ascii="Arial" w:hAnsi="Arial" w:cs="Arial"/>
          <w:b/>
          <w:bCs/>
        </w:rPr>
        <w:t>Evolving:</w:t>
      </w:r>
      <w:r w:rsidRPr="00EE100D">
        <w:rPr>
          <w:rFonts w:ascii="Arial" w:hAnsi="Arial" w:cs="Arial"/>
        </w:rPr>
        <w:t xml:space="preserve"> </w:t>
      </w:r>
      <w:r w:rsidR="00600051" w:rsidRPr="00EE100D">
        <w:rPr>
          <w:rFonts w:ascii="Arial" w:hAnsi="Arial" w:cs="Arial"/>
        </w:rPr>
        <w:t xml:space="preserve">By design, we work to ensure our systems are deployable across a variety of environmental accounting frameworks and initiatives to support implementation, experimentation, and commercialization of various governance frameworks for environmental accounting and conservation. </w:t>
      </w:r>
      <w:r w:rsidRPr="00EE100D">
        <w:rPr>
          <w:rFonts w:ascii="Arial" w:hAnsi="Arial" w:cs="Arial"/>
        </w:rPr>
        <w:t>Our approach will evolve to reflect advances in data, market practices, governance structures, regulations, and new partners.</w:t>
      </w:r>
    </w:p>
    <w:p w14:paraId="271E5964" w14:textId="77777777" w:rsidR="00735F29" w:rsidRPr="00EE100D" w:rsidRDefault="00735F29" w:rsidP="00735F29">
      <w:pPr>
        <w:numPr>
          <w:ilvl w:val="0"/>
          <w:numId w:val="21"/>
        </w:numPr>
        <w:rPr>
          <w:rFonts w:ascii="Arial" w:hAnsi="Arial" w:cs="Arial"/>
        </w:rPr>
      </w:pPr>
      <w:r w:rsidRPr="00EE100D">
        <w:rPr>
          <w:rFonts w:ascii="Arial" w:hAnsi="Arial" w:cs="Arial"/>
          <w:b/>
          <w:bCs/>
        </w:rPr>
        <w:t>Confidential Transparency</w:t>
      </w:r>
      <w:r w:rsidRPr="00EE100D">
        <w:rPr>
          <w:rFonts w:ascii="Arial" w:hAnsi="Arial" w:cs="Arial"/>
        </w:rPr>
        <w:t>: We uphold the principle of confidential transparency, providing visibility and traceability into processes, data lineage, chain of custody, methodologies, while maintaining individuals’ data sovereignty, anonymity, identifiable data, and competitive trade secrets. This balanced approach enables accountability via transparency without compromising legitimate confidentiality requirements.</w:t>
      </w:r>
    </w:p>
    <w:p w14:paraId="1C1604EF" w14:textId="77777777" w:rsidR="00000503" w:rsidRPr="00EE100D" w:rsidRDefault="00000503" w:rsidP="00656232">
      <w:pPr>
        <w:rPr>
          <w:rFonts w:ascii="Arial" w:hAnsi="Arial" w:cs="Arial"/>
          <w:color w:val="00796E"/>
          <w:sz w:val="28"/>
          <w:szCs w:val="28"/>
        </w:rPr>
      </w:pPr>
    </w:p>
    <w:p w14:paraId="09F96E4C" w14:textId="2C2ED7B5" w:rsidR="00656232" w:rsidRPr="00EE100D" w:rsidRDefault="00656232" w:rsidP="00766CB3">
      <w:pPr>
        <w:pStyle w:val="Heading2"/>
        <w:rPr>
          <w:rFonts w:ascii="Arial" w:hAnsi="Arial" w:cs="Arial"/>
          <w:color w:val="595D64"/>
          <w:sz w:val="28"/>
          <w:szCs w:val="28"/>
        </w:rPr>
      </w:pPr>
      <w:bookmarkStart w:id="4" w:name="_Toc170739887"/>
      <w:r w:rsidRPr="00EE100D">
        <w:rPr>
          <w:rFonts w:ascii="Arial" w:hAnsi="Arial" w:cs="Arial"/>
          <w:color w:val="595D64"/>
          <w:sz w:val="28"/>
          <w:szCs w:val="28"/>
        </w:rPr>
        <w:t>Contact</w:t>
      </w:r>
      <w:bookmarkEnd w:id="4"/>
    </w:p>
    <w:p w14:paraId="41091F5E" w14:textId="77777777" w:rsidR="00656232" w:rsidRPr="00EE100D" w:rsidRDefault="00A858DB" w:rsidP="00656232">
      <w:pPr>
        <w:rPr>
          <w:rFonts w:ascii="Arial" w:hAnsi="Arial" w:cs="Arial"/>
        </w:rPr>
      </w:pPr>
      <w:hyperlink r:id="rId9" w:history="1">
        <w:r w:rsidR="00656232" w:rsidRPr="00EE100D">
          <w:rPr>
            <w:rStyle w:val="Hyperlink"/>
            <w:rFonts w:ascii="Arial" w:hAnsi="Arial" w:cs="Arial"/>
          </w:rPr>
          <w:t>info@millpont.com</w:t>
        </w:r>
      </w:hyperlink>
    </w:p>
    <w:p w14:paraId="1605371D" w14:textId="77777777" w:rsidR="00656232" w:rsidRPr="00EE100D" w:rsidRDefault="00A858DB" w:rsidP="00656232">
      <w:pPr>
        <w:rPr>
          <w:rFonts w:ascii="Arial" w:hAnsi="Arial" w:cs="Arial"/>
        </w:rPr>
      </w:pPr>
      <w:hyperlink r:id="rId10" w:history="1">
        <w:r w:rsidR="00656232" w:rsidRPr="00EE100D">
          <w:rPr>
            <w:rStyle w:val="Hyperlink"/>
            <w:rFonts w:ascii="Arial" w:hAnsi="Arial" w:cs="Arial"/>
          </w:rPr>
          <w:t>millpont.com</w:t>
        </w:r>
      </w:hyperlink>
      <w:r w:rsidR="00656232" w:rsidRPr="00EE100D">
        <w:rPr>
          <w:rFonts w:ascii="Arial" w:hAnsi="Arial" w:cs="Arial"/>
        </w:rPr>
        <w:t xml:space="preserve"> </w:t>
      </w:r>
    </w:p>
    <w:p w14:paraId="3BD73D22" w14:textId="77777777" w:rsidR="00941D4B" w:rsidRPr="00EE100D" w:rsidRDefault="00941D4B">
      <w:pPr>
        <w:rPr>
          <w:rFonts w:ascii="Arial" w:hAnsi="Arial" w:cs="Arial"/>
          <w:b/>
          <w:bCs/>
          <w:sz w:val="40"/>
          <w:szCs w:val="40"/>
        </w:rPr>
      </w:pPr>
    </w:p>
    <w:p w14:paraId="1EB9518C" w14:textId="77777777" w:rsidR="00926120" w:rsidRDefault="00926120" w:rsidP="00094CEA">
      <w:pPr>
        <w:pStyle w:val="Heading1"/>
        <w:spacing w:before="0"/>
        <w:rPr>
          <w:rFonts w:ascii="Arial" w:hAnsi="Arial" w:cs="Arial"/>
          <w:b/>
          <w:bCs/>
          <w:color w:val="595D64"/>
        </w:rPr>
      </w:pPr>
    </w:p>
    <w:p w14:paraId="42FA5227" w14:textId="3388B5F5" w:rsidR="00C506DD" w:rsidRPr="00EE100D" w:rsidRDefault="000930BA" w:rsidP="00094CEA">
      <w:pPr>
        <w:pStyle w:val="Heading1"/>
        <w:spacing w:before="0"/>
        <w:rPr>
          <w:rFonts w:ascii="Arial" w:hAnsi="Arial" w:cs="Arial"/>
          <w:b/>
          <w:bCs/>
          <w:color w:val="595D64"/>
        </w:rPr>
      </w:pPr>
      <w:bookmarkStart w:id="5" w:name="_Toc170739888"/>
      <w:r w:rsidRPr="00EE100D">
        <w:rPr>
          <w:rFonts w:ascii="Arial" w:hAnsi="Arial" w:cs="Arial"/>
          <w:b/>
          <w:bCs/>
          <w:color w:val="595D64"/>
        </w:rPr>
        <w:t xml:space="preserve">Introduction </w:t>
      </w:r>
      <w:r w:rsidR="00A1524B" w:rsidRPr="00EE100D">
        <w:rPr>
          <w:rFonts w:ascii="Arial" w:hAnsi="Arial" w:cs="Arial"/>
          <w:b/>
          <w:bCs/>
          <w:color w:val="595D64"/>
        </w:rPr>
        <w:t xml:space="preserve">to </w:t>
      </w:r>
      <w:r w:rsidR="00C506DD" w:rsidRPr="00EE100D">
        <w:rPr>
          <w:rFonts w:ascii="Arial" w:hAnsi="Arial" w:cs="Arial"/>
          <w:b/>
          <w:bCs/>
          <w:color w:val="595D64"/>
        </w:rPr>
        <w:t>METI</w:t>
      </w:r>
      <w:r w:rsidR="00C506DD" w:rsidRPr="00EE100D">
        <w:rPr>
          <w:rFonts w:ascii="Arial" w:hAnsi="Arial" w:cs="Arial"/>
          <w:b/>
          <w:bCs/>
          <w:color w:val="595D64"/>
          <w:vertAlign w:val="superscript"/>
        </w:rPr>
        <w:t>TM</w:t>
      </w:r>
      <w:r w:rsidR="00C506DD" w:rsidRPr="00EE100D">
        <w:rPr>
          <w:rFonts w:ascii="Arial" w:hAnsi="Arial" w:cs="Arial"/>
          <w:b/>
          <w:bCs/>
          <w:color w:val="595D64"/>
        </w:rPr>
        <w:t xml:space="preserve"> Originate</w:t>
      </w:r>
      <w:bookmarkEnd w:id="5"/>
      <w:r w:rsidR="00C506DD" w:rsidRPr="00EE100D">
        <w:rPr>
          <w:rFonts w:ascii="Arial" w:hAnsi="Arial" w:cs="Arial"/>
          <w:b/>
          <w:bCs/>
          <w:color w:val="595D64"/>
        </w:rPr>
        <w:t xml:space="preserve"> </w:t>
      </w:r>
    </w:p>
    <w:p w14:paraId="04390F06" w14:textId="07B0C59D" w:rsidR="009F6F41" w:rsidRDefault="004A4029" w:rsidP="004A4029">
      <w:pPr>
        <w:rPr>
          <w:rFonts w:ascii="Arial" w:hAnsi="Arial" w:cs="Arial"/>
        </w:rPr>
      </w:pPr>
      <w:r w:rsidRPr="00EE100D">
        <w:rPr>
          <w:rFonts w:ascii="Arial" w:hAnsi="Arial" w:cs="Arial"/>
        </w:rPr>
        <w:t xml:space="preserve">METI Originate </w:t>
      </w:r>
      <w:r w:rsidR="003331A8">
        <w:rPr>
          <w:rFonts w:ascii="Arial" w:hAnsi="Arial" w:cs="Arial"/>
        </w:rPr>
        <w:t xml:space="preserve">streamlines the creation, management, and distribution of environmental </w:t>
      </w:r>
      <w:r w:rsidR="00134A02">
        <w:rPr>
          <w:rFonts w:ascii="Arial" w:hAnsi="Arial" w:cs="Arial"/>
        </w:rPr>
        <w:t>benefits. It provides unique Spatiotemporal Claim ID (</w:t>
      </w:r>
      <w:r w:rsidRPr="00EE100D">
        <w:rPr>
          <w:rFonts w:ascii="Arial" w:hAnsi="Arial" w:cs="Arial"/>
        </w:rPr>
        <w:t>SCID</w:t>
      </w:r>
      <w:r w:rsidR="000338E1">
        <w:rPr>
          <w:rFonts w:ascii="Arial" w:hAnsi="Arial" w:cs="Arial"/>
        </w:rPr>
        <w:t>s</w:t>
      </w:r>
      <w:r w:rsidRPr="00EE100D">
        <w:rPr>
          <w:rFonts w:ascii="Arial" w:hAnsi="Arial" w:cs="Arial"/>
        </w:rPr>
        <w:t xml:space="preserve">) </w:t>
      </w:r>
      <w:r w:rsidR="005809C8">
        <w:rPr>
          <w:rFonts w:ascii="Arial" w:hAnsi="Arial" w:cs="Arial"/>
        </w:rPr>
        <w:t>embedded in digital certificates</w:t>
      </w:r>
      <w:r w:rsidR="0037217D">
        <w:rPr>
          <w:rFonts w:ascii="Arial" w:hAnsi="Arial" w:cs="Arial"/>
        </w:rPr>
        <w:t xml:space="preserve"> </w:t>
      </w:r>
      <w:r w:rsidRPr="00EE100D">
        <w:rPr>
          <w:rFonts w:ascii="Arial" w:hAnsi="Arial" w:cs="Arial"/>
        </w:rPr>
        <w:t>for sustainable projects and allows the creation of</w:t>
      </w:r>
      <w:r w:rsidR="000E4956">
        <w:rPr>
          <w:rFonts w:ascii="Arial" w:hAnsi="Arial" w:cs="Arial"/>
        </w:rPr>
        <w:t xml:space="preserve"> </w:t>
      </w:r>
      <w:r w:rsidRPr="00EE100D">
        <w:rPr>
          <w:rFonts w:ascii="Arial" w:hAnsi="Arial" w:cs="Arial"/>
        </w:rPr>
        <w:t>Environmental Attribute Certificate</w:t>
      </w:r>
      <w:r w:rsidR="00405A1E">
        <w:rPr>
          <w:rFonts w:ascii="Arial" w:hAnsi="Arial" w:cs="Arial"/>
        </w:rPr>
        <w:t>s</w:t>
      </w:r>
      <w:r w:rsidRPr="00EE100D">
        <w:rPr>
          <w:rFonts w:ascii="Arial" w:hAnsi="Arial" w:cs="Arial"/>
        </w:rPr>
        <w:t xml:space="preserve"> (EAC</w:t>
      </w:r>
      <w:r w:rsidR="009F6F41">
        <w:rPr>
          <w:rFonts w:ascii="Arial" w:hAnsi="Arial" w:cs="Arial"/>
        </w:rPr>
        <w:t>s</w:t>
      </w:r>
      <w:r w:rsidRPr="00EE100D">
        <w:rPr>
          <w:rFonts w:ascii="Arial" w:hAnsi="Arial" w:cs="Arial"/>
        </w:rPr>
        <w:t>) that assign</w:t>
      </w:r>
      <w:r w:rsidR="00405A1E">
        <w:rPr>
          <w:rFonts w:ascii="Arial" w:hAnsi="Arial" w:cs="Arial"/>
        </w:rPr>
        <w:t xml:space="preserve"> </w:t>
      </w:r>
      <w:r w:rsidRPr="00EE100D">
        <w:rPr>
          <w:rFonts w:ascii="Arial" w:hAnsi="Arial" w:cs="Arial"/>
        </w:rPr>
        <w:t xml:space="preserve">the benefits of </w:t>
      </w:r>
      <w:r w:rsidR="00AD150E">
        <w:rPr>
          <w:rFonts w:ascii="Arial" w:hAnsi="Arial" w:cs="Arial"/>
        </w:rPr>
        <w:t xml:space="preserve">one or more </w:t>
      </w:r>
      <w:r w:rsidRPr="00EE100D">
        <w:rPr>
          <w:rFonts w:ascii="Arial" w:hAnsi="Arial" w:cs="Arial"/>
        </w:rPr>
        <w:t xml:space="preserve">SCID-backed claims. </w:t>
      </w:r>
    </w:p>
    <w:p w14:paraId="3B10BEF8" w14:textId="0EEBF0AC" w:rsidR="00B44F0A" w:rsidRDefault="00912E7D" w:rsidP="004A4029">
      <w:pPr>
        <w:rPr>
          <w:rFonts w:ascii="Arial" w:hAnsi="Arial" w:cs="Arial"/>
        </w:rPr>
      </w:pPr>
      <w:r>
        <w:rPr>
          <w:rFonts w:ascii="Arial" w:hAnsi="Arial" w:cs="Arial"/>
        </w:rPr>
        <w:t xml:space="preserve">By </w:t>
      </w:r>
      <w:r w:rsidR="004A4029" w:rsidRPr="00EE100D">
        <w:rPr>
          <w:rFonts w:ascii="Arial" w:hAnsi="Arial" w:cs="Arial"/>
        </w:rPr>
        <w:t xml:space="preserve">consolidating decentralized data and </w:t>
      </w:r>
      <w:r w:rsidR="004C326B">
        <w:rPr>
          <w:rFonts w:ascii="Arial" w:hAnsi="Arial" w:cs="Arial"/>
        </w:rPr>
        <w:t xml:space="preserve">fostering trust in </w:t>
      </w:r>
      <w:r w:rsidR="004A4029" w:rsidRPr="00EE100D">
        <w:rPr>
          <w:rFonts w:ascii="Arial" w:hAnsi="Arial" w:cs="Arial"/>
        </w:rPr>
        <w:t>environmental market</w:t>
      </w:r>
      <w:r w:rsidR="004C326B">
        <w:rPr>
          <w:rFonts w:ascii="Arial" w:hAnsi="Arial" w:cs="Arial"/>
        </w:rPr>
        <w:t xml:space="preserve"> mechanisms</w:t>
      </w:r>
      <w:r w:rsidR="00C20D8B">
        <w:rPr>
          <w:rFonts w:ascii="Arial" w:hAnsi="Arial" w:cs="Arial"/>
        </w:rPr>
        <w:t>, METI Originate tackles core industry challenges</w:t>
      </w:r>
      <w:r w:rsidR="004A4029" w:rsidRPr="00EE100D">
        <w:rPr>
          <w:rFonts w:ascii="Arial" w:hAnsi="Arial" w:cs="Arial"/>
        </w:rPr>
        <w:t xml:space="preserve">. </w:t>
      </w:r>
      <w:r w:rsidR="005D6295">
        <w:rPr>
          <w:rFonts w:ascii="Arial" w:hAnsi="Arial" w:cs="Arial"/>
        </w:rPr>
        <w:t xml:space="preserve">The </w:t>
      </w:r>
      <w:r w:rsidR="00022F1B">
        <w:rPr>
          <w:rFonts w:ascii="Arial" w:hAnsi="Arial" w:cs="Arial"/>
        </w:rPr>
        <w:t xml:space="preserve">centralized </w:t>
      </w:r>
      <w:r w:rsidR="00350ADC">
        <w:rPr>
          <w:rFonts w:ascii="Arial" w:hAnsi="Arial" w:cs="Arial"/>
        </w:rPr>
        <w:t>Database-as-as-Service</w:t>
      </w:r>
      <w:r w:rsidR="00EB4982">
        <w:rPr>
          <w:rFonts w:ascii="Arial" w:hAnsi="Arial" w:cs="Arial"/>
        </w:rPr>
        <w:t xml:space="preserve"> </w:t>
      </w:r>
      <w:r w:rsidR="00471BD7">
        <w:rPr>
          <w:rFonts w:ascii="Arial" w:hAnsi="Arial" w:cs="Arial"/>
        </w:rPr>
        <w:t xml:space="preserve">(DBaaS) </w:t>
      </w:r>
      <w:r w:rsidR="00224A76">
        <w:rPr>
          <w:rFonts w:ascii="Arial" w:hAnsi="Arial" w:cs="Arial"/>
        </w:rPr>
        <w:t>approach</w:t>
      </w:r>
      <w:r w:rsidR="009F6F41">
        <w:rPr>
          <w:rFonts w:ascii="Arial" w:hAnsi="Arial" w:cs="Arial"/>
        </w:rPr>
        <w:t xml:space="preserve"> ensures data security by design</w:t>
      </w:r>
      <w:r w:rsidR="00197ECD">
        <w:rPr>
          <w:rFonts w:ascii="Arial" w:hAnsi="Arial" w:cs="Arial"/>
        </w:rPr>
        <w:t xml:space="preserve"> and </w:t>
      </w:r>
      <w:r w:rsidR="00022F1B">
        <w:rPr>
          <w:rFonts w:ascii="Arial" w:hAnsi="Arial" w:cs="Arial"/>
        </w:rPr>
        <w:t xml:space="preserve">data </w:t>
      </w:r>
      <w:r w:rsidR="006D742A">
        <w:rPr>
          <w:rFonts w:ascii="Arial" w:hAnsi="Arial" w:cs="Arial"/>
        </w:rPr>
        <w:t>reliability</w:t>
      </w:r>
      <w:r w:rsidR="00022F1B">
        <w:rPr>
          <w:rFonts w:ascii="Arial" w:hAnsi="Arial" w:cs="Arial"/>
        </w:rPr>
        <w:t xml:space="preserve"> across </w:t>
      </w:r>
      <w:r w:rsidR="001260A8">
        <w:rPr>
          <w:rFonts w:ascii="Arial" w:hAnsi="Arial" w:cs="Arial"/>
        </w:rPr>
        <w:t>connected platforms</w:t>
      </w:r>
      <w:r w:rsidR="00197ECD">
        <w:rPr>
          <w:rFonts w:ascii="Arial" w:hAnsi="Arial" w:cs="Arial"/>
        </w:rPr>
        <w:t xml:space="preserve"> through an annual certification</w:t>
      </w:r>
      <w:r w:rsidR="006F1F1D">
        <w:rPr>
          <w:rFonts w:ascii="Arial" w:hAnsi="Arial" w:cs="Arial"/>
        </w:rPr>
        <w:t xml:space="preserve"> and review</w:t>
      </w:r>
      <w:r w:rsidR="00197ECD">
        <w:rPr>
          <w:rFonts w:ascii="Arial" w:hAnsi="Arial" w:cs="Arial"/>
        </w:rPr>
        <w:t xml:space="preserve"> process. The </w:t>
      </w:r>
      <w:r w:rsidR="000B5659">
        <w:rPr>
          <w:rFonts w:ascii="Arial" w:hAnsi="Arial" w:cs="Arial"/>
        </w:rPr>
        <w:t>platform’s</w:t>
      </w:r>
      <w:r w:rsidR="00C543D7">
        <w:rPr>
          <w:rFonts w:ascii="Arial" w:hAnsi="Arial" w:cs="Arial"/>
        </w:rPr>
        <w:t xml:space="preserve"> </w:t>
      </w:r>
      <w:r w:rsidR="00CB4EB0">
        <w:rPr>
          <w:rFonts w:ascii="Arial" w:hAnsi="Arial" w:cs="Arial"/>
        </w:rPr>
        <w:t xml:space="preserve">modern </w:t>
      </w:r>
      <w:r w:rsidR="00273BEB">
        <w:rPr>
          <w:rFonts w:ascii="Arial" w:hAnsi="Arial" w:cs="Arial"/>
        </w:rPr>
        <w:t xml:space="preserve">geospatial-centric </w:t>
      </w:r>
      <w:r w:rsidR="00CB4EB0">
        <w:rPr>
          <w:rFonts w:ascii="Arial" w:hAnsi="Arial" w:cs="Arial"/>
        </w:rPr>
        <w:t xml:space="preserve">data </w:t>
      </w:r>
      <w:r w:rsidR="00273BEB">
        <w:rPr>
          <w:rFonts w:ascii="Arial" w:hAnsi="Arial" w:cs="Arial"/>
        </w:rPr>
        <w:t xml:space="preserve">architecture and </w:t>
      </w:r>
      <w:r w:rsidR="00B44F0A">
        <w:rPr>
          <w:rFonts w:ascii="Arial" w:hAnsi="Arial" w:cs="Arial"/>
        </w:rPr>
        <w:t xml:space="preserve">EAC </w:t>
      </w:r>
      <w:r w:rsidR="00165D3C">
        <w:rPr>
          <w:rFonts w:ascii="Arial" w:hAnsi="Arial" w:cs="Arial"/>
        </w:rPr>
        <w:t xml:space="preserve">distribution </w:t>
      </w:r>
      <w:r w:rsidR="00C94939">
        <w:rPr>
          <w:rFonts w:ascii="Arial" w:hAnsi="Arial" w:cs="Arial"/>
        </w:rPr>
        <w:t xml:space="preserve">models </w:t>
      </w:r>
      <w:r w:rsidR="00744F66">
        <w:rPr>
          <w:rFonts w:ascii="Arial" w:hAnsi="Arial" w:cs="Arial"/>
        </w:rPr>
        <w:t xml:space="preserve">are </w:t>
      </w:r>
      <w:r w:rsidR="00C94939">
        <w:rPr>
          <w:rFonts w:ascii="Arial" w:hAnsi="Arial" w:cs="Arial"/>
        </w:rPr>
        <w:t>adapt</w:t>
      </w:r>
      <w:r w:rsidR="00744F66">
        <w:rPr>
          <w:rFonts w:ascii="Arial" w:hAnsi="Arial" w:cs="Arial"/>
        </w:rPr>
        <w:t>able</w:t>
      </w:r>
      <w:r w:rsidR="00C94939">
        <w:rPr>
          <w:rFonts w:ascii="Arial" w:hAnsi="Arial" w:cs="Arial"/>
        </w:rPr>
        <w:t xml:space="preserve"> to </w:t>
      </w:r>
      <w:r w:rsidR="00744F66">
        <w:rPr>
          <w:rFonts w:ascii="Arial" w:hAnsi="Arial" w:cs="Arial"/>
        </w:rPr>
        <w:t>various environmental services market programs</w:t>
      </w:r>
      <w:r w:rsidR="00A37430">
        <w:rPr>
          <w:rFonts w:ascii="Arial" w:hAnsi="Arial" w:cs="Arial"/>
        </w:rPr>
        <w:t xml:space="preserve">. </w:t>
      </w:r>
      <w:r w:rsidR="00EA1649">
        <w:rPr>
          <w:rFonts w:ascii="Arial" w:hAnsi="Arial" w:cs="Arial"/>
        </w:rPr>
        <w:t xml:space="preserve">This </w:t>
      </w:r>
      <w:r w:rsidR="00356137">
        <w:rPr>
          <w:rFonts w:ascii="Arial" w:hAnsi="Arial" w:cs="Arial"/>
        </w:rPr>
        <w:t xml:space="preserve">data security, </w:t>
      </w:r>
      <w:r w:rsidR="0045066B">
        <w:rPr>
          <w:rFonts w:ascii="Arial" w:hAnsi="Arial" w:cs="Arial"/>
        </w:rPr>
        <w:t xml:space="preserve">reliability </w:t>
      </w:r>
      <w:r w:rsidR="00356137">
        <w:rPr>
          <w:rFonts w:ascii="Arial" w:hAnsi="Arial" w:cs="Arial"/>
        </w:rPr>
        <w:t xml:space="preserve">and adaptability enhances efficiency and lays the groundwork for </w:t>
      </w:r>
      <w:r w:rsidR="00532307">
        <w:rPr>
          <w:rFonts w:ascii="Arial" w:hAnsi="Arial" w:cs="Arial"/>
        </w:rPr>
        <w:t>future automations and</w:t>
      </w:r>
      <w:r w:rsidR="004275E3">
        <w:rPr>
          <w:rFonts w:ascii="Arial" w:hAnsi="Arial" w:cs="Arial"/>
        </w:rPr>
        <w:t xml:space="preserve"> i</w:t>
      </w:r>
      <w:r w:rsidR="009929D6">
        <w:rPr>
          <w:rFonts w:ascii="Arial" w:hAnsi="Arial" w:cs="Arial"/>
        </w:rPr>
        <w:t>ntegrations</w:t>
      </w:r>
      <w:r w:rsidR="00532307">
        <w:rPr>
          <w:rFonts w:ascii="Arial" w:hAnsi="Arial" w:cs="Arial"/>
        </w:rPr>
        <w:t xml:space="preserve">. </w:t>
      </w:r>
    </w:p>
    <w:p w14:paraId="33984948" w14:textId="18FC2118" w:rsidR="00796DA0" w:rsidRDefault="004A4029" w:rsidP="004A4029">
      <w:pPr>
        <w:rPr>
          <w:rFonts w:ascii="Arial" w:hAnsi="Arial" w:cs="Arial"/>
        </w:rPr>
      </w:pPr>
      <w:r w:rsidRPr="00EE100D">
        <w:rPr>
          <w:rFonts w:ascii="Arial" w:hAnsi="Arial" w:cs="Arial"/>
        </w:rPr>
        <w:t xml:space="preserve">METI Originate offers a two-pronged service. </w:t>
      </w:r>
      <w:r w:rsidR="004C0D11">
        <w:rPr>
          <w:rFonts w:ascii="Arial" w:hAnsi="Arial" w:cs="Arial"/>
        </w:rPr>
        <w:t xml:space="preserve">The </w:t>
      </w:r>
      <w:r w:rsidR="00A2695E" w:rsidRPr="00111D55">
        <w:rPr>
          <w:rFonts w:ascii="Arial" w:hAnsi="Arial" w:cs="Arial"/>
          <w:b/>
          <w:bCs/>
        </w:rPr>
        <w:t>Spatiotemporal Claim ID</w:t>
      </w:r>
      <w:r w:rsidR="00464C7C" w:rsidRPr="00111D55">
        <w:rPr>
          <w:rFonts w:ascii="Arial" w:hAnsi="Arial" w:cs="Arial"/>
          <w:b/>
          <w:bCs/>
        </w:rPr>
        <w:t xml:space="preserve"> (</w:t>
      </w:r>
      <w:r w:rsidRPr="00111D55">
        <w:rPr>
          <w:rFonts w:ascii="Arial" w:hAnsi="Arial" w:cs="Arial"/>
          <w:b/>
          <w:bCs/>
        </w:rPr>
        <w:t>SCID</w:t>
      </w:r>
      <w:r w:rsidR="00464C7C" w:rsidRPr="00111D55">
        <w:rPr>
          <w:rFonts w:ascii="Arial" w:hAnsi="Arial" w:cs="Arial"/>
          <w:b/>
          <w:bCs/>
        </w:rPr>
        <w:t>)</w:t>
      </w:r>
      <w:r w:rsidR="00976C57" w:rsidRPr="00111D55">
        <w:rPr>
          <w:rFonts w:ascii="Arial" w:hAnsi="Arial" w:cs="Arial"/>
          <w:b/>
          <w:bCs/>
        </w:rPr>
        <w:t xml:space="preserve"> Certification</w:t>
      </w:r>
      <w:r w:rsidR="004C0D11" w:rsidRPr="00111D55">
        <w:rPr>
          <w:rFonts w:ascii="Arial" w:hAnsi="Arial" w:cs="Arial"/>
          <w:b/>
          <w:bCs/>
        </w:rPr>
        <w:t xml:space="preserve"> </w:t>
      </w:r>
      <w:r w:rsidR="003F47A5">
        <w:rPr>
          <w:rFonts w:ascii="Arial" w:hAnsi="Arial" w:cs="Arial"/>
        </w:rPr>
        <w:t>s</w:t>
      </w:r>
      <w:r w:rsidR="004C0D11" w:rsidRPr="003F47A5">
        <w:rPr>
          <w:rFonts w:ascii="Arial" w:hAnsi="Arial" w:cs="Arial"/>
        </w:rPr>
        <w:t>ervice</w:t>
      </w:r>
      <w:r w:rsidRPr="003F47A5">
        <w:rPr>
          <w:rFonts w:ascii="Arial" w:hAnsi="Arial" w:cs="Arial"/>
        </w:rPr>
        <w:t xml:space="preserve"> </w:t>
      </w:r>
      <w:r w:rsidR="00464C7C">
        <w:rPr>
          <w:rFonts w:ascii="Arial" w:hAnsi="Arial" w:cs="Arial"/>
        </w:rPr>
        <w:t xml:space="preserve">generates </w:t>
      </w:r>
      <w:r w:rsidRPr="00EE100D">
        <w:rPr>
          <w:rFonts w:ascii="Arial" w:hAnsi="Arial" w:cs="Arial"/>
        </w:rPr>
        <w:t xml:space="preserve">unique identifiers </w:t>
      </w:r>
      <w:r w:rsidR="001A0F4E">
        <w:rPr>
          <w:rFonts w:ascii="Arial" w:hAnsi="Arial" w:cs="Arial"/>
        </w:rPr>
        <w:t xml:space="preserve">embedded in digital certificates </w:t>
      </w:r>
      <w:r w:rsidRPr="00EE100D">
        <w:rPr>
          <w:rFonts w:ascii="Arial" w:hAnsi="Arial" w:cs="Arial"/>
        </w:rPr>
        <w:t>for projects like carbon sequestration on agricultural fields or other environmental assets such as biodiversity scores and water trading credits.</w:t>
      </w:r>
      <w:r w:rsidR="000F25BA">
        <w:rPr>
          <w:rFonts w:ascii="Arial" w:hAnsi="Arial" w:cs="Arial"/>
        </w:rPr>
        <w:t xml:space="preserve"> T</w:t>
      </w:r>
      <w:r w:rsidR="000F25BA" w:rsidRPr="000F25BA">
        <w:rPr>
          <w:rFonts w:ascii="Arial" w:hAnsi="Arial" w:cs="Arial"/>
        </w:rPr>
        <w:t xml:space="preserve">hese certificates ensure </w:t>
      </w:r>
      <w:r w:rsidR="006E3CD3">
        <w:rPr>
          <w:rFonts w:ascii="Arial" w:hAnsi="Arial" w:cs="Arial"/>
        </w:rPr>
        <w:t xml:space="preserve">unique attribution and </w:t>
      </w:r>
      <w:r w:rsidR="000F25BA" w:rsidRPr="000F25BA">
        <w:rPr>
          <w:rFonts w:ascii="Arial" w:hAnsi="Arial" w:cs="Arial"/>
        </w:rPr>
        <w:t xml:space="preserve">robust data security </w:t>
      </w:r>
      <w:r w:rsidR="000F25BA">
        <w:rPr>
          <w:rFonts w:ascii="Arial" w:hAnsi="Arial" w:cs="Arial"/>
        </w:rPr>
        <w:t>v</w:t>
      </w:r>
      <w:r w:rsidR="00796DA0">
        <w:rPr>
          <w:rFonts w:ascii="Arial" w:hAnsi="Arial" w:cs="Arial"/>
        </w:rPr>
        <w:t>ia:</w:t>
      </w:r>
    </w:p>
    <w:p w14:paraId="58F625C6" w14:textId="2A4A8C3C" w:rsidR="00796DA0" w:rsidRDefault="00796DA0" w:rsidP="00796DA0">
      <w:pPr>
        <w:pStyle w:val="ListParagraph"/>
        <w:numPr>
          <w:ilvl w:val="0"/>
          <w:numId w:val="24"/>
        </w:numPr>
        <w:rPr>
          <w:rFonts w:ascii="Arial" w:hAnsi="Arial" w:cs="Arial"/>
        </w:rPr>
      </w:pPr>
      <w:r w:rsidRPr="00926120">
        <w:rPr>
          <w:rFonts w:ascii="Arial" w:hAnsi="Arial" w:cs="Arial"/>
          <w:b/>
          <w:bCs/>
        </w:rPr>
        <w:t>A</w:t>
      </w:r>
      <w:r w:rsidR="000F25BA" w:rsidRPr="00926120">
        <w:rPr>
          <w:rFonts w:ascii="Arial" w:hAnsi="Arial" w:cs="Arial"/>
          <w:b/>
          <w:bCs/>
        </w:rPr>
        <w:t>uthentication</w:t>
      </w:r>
      <w:r w:rsidR="00496CB2">
        <w:rPr>
          <w:rFonts w:ascii="Arial" w:hAnsi="Arial" w:cs="Arial"/>
        </w:rPr>
        <w:t xml:space="preserve"> -</w:t>
      </w:r>
      <w:r w:rsidR="000F25BA" w:rsidRPr="00796DA0">
        <w:rPr>
          <w:rFonts w:ascii="Arial" w:hAnsi="Arial" w:cs="Arial"/>
        </w:rPr>
        <w:t xml:space="preserve"> verifying </w:t>
      </w:r>
      <w:r w:rsidR="004D79BB">
        <w:rPr>
          <w:rFonts w:ascii="Arial" w:hAnsi="Arial" w:cs="Arial"/>
        </w:rPr>
        <w:t>user identities</w:t>
      </w:r>
      <w:r w:rsidR="000F25BA" w:rsidRPr="00796DA0">
        <w:rPr>
          <w:rFonts w:ascii="Arial" w:hAnsi="Arial" w:cs="Arial"/>
        </w:rPr>
        <w:t xml:space="preserve">, </w:t>
      </w:r>
      <w:r w:rsidR="004F6A01">
        <w:rPr>
          <w:rFonts w:ascii="Arial" w:hAnsi="Arial" w:cs="Arial"/>
        </w:rPr>
        <w:t>while preserving privacy between systems</w:t>
      </w:r>
      <w:r w:rsidR="00052599">
        <w:rPr>
          <w:rFonts w:ascii="Arial" w:hAnsi="Arial" w:cs="Arial"/>
        </w:rPr>
        <w:t>.</w:t>
      </w:r>
    </w:p>
    <w:p w14:paraId="22B44172" w14:textId="38EF6029" w:rsidR="00796DA0" w:rsidRDefault="00796DA0" w:rsidP="00796DA0">
      <w:pPr>
        <w:pStyle w:val="ListParagraph"/>
        <w:numPr>
          <w:ilvl w:val="0"/>
          <w:numId w:val="24"/>
        </w:numPr>
        <w:rPr>
          <w:rFonts w:ascii="Arial" w:hAnsi="Arial" w:cs="Arial"/>
        </w:rPr>
      </w:pPr>
      <w:r w:rsidRPr="00926120">
        <w:rPr>
          <w:rFonts w:ascii="Arial" w:hAnsi="Arial" w:cs="Arial"/>
          <w:b/>
          <w:bCs/>
        </w:rPr>
        <w:t>E</w:t>
      </w:r>
      <w:r w:rsidR="000F25BA" w:rsidRPr="00926120">
        <w:rPr>
          <w:rFonts w:ascii="Arial" w:hAnsi="Arial" w:cs="Arial"/>
          <w:b/>
          <w:bCs/>
        </w:rPr>
        <w:t>ncryption</w:t>
      </w:r>
      <w:r w:rsidR="006577B8">
        <w:rPr>
          <w:rFonts w:ascii="Arial" w:hAnsi="Arial" w:cs="Arial"/>
        </w:rPr>
        <w:t xml:space="preserve"> - </w:t>
      </w:r>
      <w:r w:rsidR="000F25BA" w:rsidRPr="00796DA0">
        <w:rPr>
          <w:rFonts w:ascii="Arial" w:hAnsi="Arial" w:cs="Arial"/>
        </w:rPr>
        <w:t xml:space="preserve">protecting data in transit and at </w:t>
      </w:r>
      <w:r w:rsidR="00052599" w:rsidRPr="00796DA0">
        <w:rPr>
          <w:rFonts w:ascii="Arial" w:hAnsi="Arial" w:cs="Arial"/>
        </w:rPr>
        <w:t>rest.</w:t>
      </w:r>
    </w:p>
    <w:p w14:paraId="7FA11DB7" w14:textId="3E25E1A0" w:rsidR="00052599" w:rsidRDefault="00796DA0" w:rsidP="00796DA0">
      <w:pPr>
        <w:pStyle w:val="ListParagraph"/>
        <w:numPr>
          <w:ilvl w:val="0"/>
          <w:numId w:val="24"/>
        </w:numPr>
        <w:rPr>
          <w:rFonts w:ascii="Arial" w:hAnsi="Arial" w:cs="Arial"/>
        </w:rPr>
      </w:pPr>
      <w:r w:rsidRPr="00926120">
        <w:rPr>
          <w:rFonts w:ascii="Arial" w:hAnsi="Arial" w:cs="Arial"/>
          <w:b/>
          <w:bCs/>
        </w:rPr>
        <w:t>I</w:t>
      </w:r>
      <w:r w:rsidR="000F25BA" w:rsidRPr="00926120">
        <w:rPr>
          <w:rFonts w:ascii="Arial" w:hAnsi="Arial" w:cs="Arial"/>
          <w:b/>
          <w:bCs/>
        </w:rPr>
        <w:t>ntegrity</w:t>
      </w:r>
      <w:r w:rsidR="006577B8">
        <w:rPr>
          <w:rFonts w:ascii="Arial" w:hAnsi="Arial" w:cs="Arial"/>
        </w:rPr>
        <w:t xml:space="preserve"> - </w:t>
      </w:r>
      <w:r w:rsidR="000F25BA" w:rsidRPr="00796DA0">
        <w:rPr>
          <w:rFonts w:ascii="Arial" w:hAnsi="Arial" w:cs="Arial"/>
        </w:rPr>
        <w:t>ensuring data has not been tampered with</w:t>
      </w:r>
      <w:r w:rsidR="00052599">
        <w:rPr>
          <w:rFonts w:ascii="Arial" w:hAnsi="Arial" w:cs="Arial"/>
        </w:rPr>
        <w:t>. A</w:t>
      </w:r>
      <w:r w:rsidR="000F25BA" w:rsidRPr="00796DA0">
        <w:rPr>
          <w:rFonts w:ascii="Arial" w:hAnsi="Arial" w:cs="Arial"/>
        </w:rPr>
        <w:t>nd</w:t>
      </w:r>
      <w:r w:rsidR="00052599">
        <w:rPr>
          <w:rFonts w:ascii="Arial" w:hAnsi="Arial" w:cs="Arial"/>
        </w:rPr>
        <w:t xml:space="preserve">, </w:t>
      </w:r>
    </w:p>
    <w:p w14:paraId="31B0176C" w14:textId="3D814668" w:rsidR="004A4029" w:rsidRPr="00796DA0" w:rsidRDefault="00052599" w:rsidP="00796DA0">
      <w:pPr>
        <w:pStyle w:val="ListParagraph"/>
        <w:numPr>
          <w:ilvl w:val="0"/>
          <w:numId w:val="24"/>
        </w:numPr>
        <w:rPr>
          <w:rFonts w:ascii="Arial" w:hAnsi="Arial" w:cs="Arial"/>
        </w:rPr>
      </w:pPr>
      <w:r w:rsidRPr="00926120">
        <w:rPr>
          <w:rFonts w:ascii="Arial" w:hAnsi="Arial" w:cs="Arial"/>
          <w:b/>
          <w:bCs/>
        </w:rPr>
        <w:t>N</w:t>
      </w:r>
      <w:r w:rsidR="000F25BA" w:rsidRPr="00926120">
        <w:rPr>
          <w:rFonts w:ascii="Arial" w:hAnsi="Arial" w:cs="Arial"/>
          <w:b/>
          <w:bCs/>
        </w:rPr>
        <w:t>on-repudiation</w:t>
      </w:r>
      <w:r w:rsidR="00FB7B12">
        <w:rPr>
          <w:rFonts w:ascii="Arial" w:hAnsi="Arial" w:cs="Arial"/>
        </w:rPr>
        <w:t xml:space="preserve"> - </w:t>
      </w:r>
      <w:r w:rsidR="000F25BA" w:rsidRPr="00796DA0">
        <w:rPr>
          <w:rFonts w:ascii="Arial" w:hAnsi="Arial" w:cs="Arial"/>
        </w:rPr>
        <w:t xml:space="preserve">providing proof of origin and </w:t>
      </w:r>
      <w:r w:rsidR="00315F79">
        <w:rPr>
          <w:rFonts w:ascii="Arial" w:hAnsi="Arial" w:cs="Arial"/>
        </w:rPr>
        <w:t>chain of custody</w:t>
      </w:r>
      <w:r w:rsidR="000F25BA" w:rsidRPr="00796DA0">
        <w:rPr>
          <w:rFonts w:ascii="Arial" w:hAnsi="Arial" w:cs="Arial"/>
        </w:rPr>
        <w:t>.</w:t>
      </w:r>
    </w:p>
    <w:p w14:paraId="42FD1A28" w14:textId="1D31D047" w:rsidR="00D7027A" w:rsidRPr="00EE100D" w:rsidRDefault="004A4029" w:rsidP="00D7027A">
      <w:pPr>
        <w:rPr>
          <w:rFonts w:ascii="Arial" w:hAnsi="Arial" w:cs="Arial"/>
        </w:rPr>
      </w:pPr>
      <w:r w:rsidRPr="00EE100D">
        <w:rPr>
          <w:rFonts w:ascii="Arial" w:hAnsi="Arial" w:cs="Arial"/>
        </w:rPr>
        <w:t xml:space="preserve">Second, </w:t>
      </w:r>
      <w:r w:rsidR="00806D30">
        <w:rPr>
          <w:rFonts w:ascii="Arial" w:hAnsi="Arial" w:cs="Arial"/>
        </w:rPr>
        <w:t xml:space="preserve">the </w:t>
      </w:r>
      <w:r w:rsidRPr="00111D55">
        <w:rPr>
          <w:rFonts w:ascii="Arial" w:hAnsi="Arial" w:cs="Arial"/>
          <w:b/>
          <w:bCs/>
        </w:rPr>
        <w:t>Environmental Attribute Certificate</w:t>
      </w:r>
      <w:r w:rsidR="001F34B0" w:rsidRPr="00111D55">
        <w:rPr>
          <w:rFonts w:ascii="Arial" w:hAnsi="Arial" w:cs="Arial"/>
          <w:b/>
          <w:bCs/>
        </w:rPr>
        <w:t xml:space="preserve"> </w:t>
      </w:r>
      <w:r w:rsidRPr="00111D55">
        <w:rPr>
          <w:rFonts w:ascii="Arial" w:hAnsi="Arial" w:cs="Arial"/>
          <w:b/>
          <w:bCs/>
        </w:rPr>
        <w:t>(EAC)</w:t>
      </w:r>
      <w:r w:rsidR="00806D30" w:rsidRPr="00111D55">
        <w:rPr>
          <w:rFonts w:ascii="Arial" w:hAnsi="Arial" w:cs="Arial"/>
          <w:b/>
          <w:bCs/>
        </w:rPr>
        <w:t xml:space="preserve"> Distribution </w:t>
      </w:r>
      <w:r w:rsidR="00CB5557">
        <w:rPr>
          <w:rFonts w:ascii="Arial" w:hAnsi="Arial" w:cs="Arial"/>
        </w:rPr>
        <w:t>s</w:t>
      </w:r>
      <w:r w:rsidR="00806D30" w:rsidRPr="00CB5557">
        <w:rPr>
          <w:rFonts w:ascii="Arial" w:hAnsi="Arial" w:cs="Arial"/>
        </w:rPr>
        <w:t xml:space="preserve">ervice </w:t>
      </w:r>
      <w:r w:rsidR="00806D30" w:rsidRPr="00EE100D">
        <w:rPr>
          <w:rFonts w:ascii="Arial" w:hAnsi="Arial" w:cs="Arial"/>
        </w:rPr>
        <w:t xml:space="preserve">allows </w:t>
      </w:r>
      <w:r w:rsidR="00806D30">
        <w:rPr>
          <w:rFonts w:ascii="Arial" w:hAnsi="Arial" w:cs="Arial"/>
        </w:rPr>
        <w:t>for the</w:t>
      </w:r>
      <w:r w:rsidR="00806D30" w:rsidRPr="00EE100D">
        <w:rPr>
          <w:rFonts w:ascii="Arial" w:hAnsi="Arial" w:cs="Arial"/>
        </w:rPr>
        <w:t xml:space="preserve"> </w:t>
      </w:r>
      <w:r w:rsidR="001F34B0">
        <w:rPr>
          <w:rFonts w:ascii="Arial" w:hAnsi="Arial" w:cs="Arial"/>
        </w:rPr>
        <w:t xml:space="preserve">seamless </w:t>
      </w:r>
      <w:r w:rsidR="00806D30" w:rsidRPr="00EE100D">
        <w:rPr>
          <w:rFonts w:ascii="Arial" w:hAnsi="Arial" w:cs="Arial"/>
        </w:rPr>
        <w:t xml:space="preserve">creation </w:t>
      </w:r>
      <w:r w:rsidR="00806D30">
        <w:rPr>
          <w:rFonts w:ascii="Arial" w:hAnsi="Arial" w:cs="Arial"/>
        </w:rPr>
        <w:t xml:space="preserve">and distribution </w:t>
      </w:r>
      <w:r w:rsidR="00806D30" w:rsidRPr="00EE100D">
        <w:rPr>
          <w:rFonts w:ascii="Arial" w:hAnsi="Arial" w:cs="Arial"/>
        </w:rPr>
        <w:t>of</w:t>
      </w:r>
      <w:r w:rsidR="001F34B0">
        <w:rPr>
          <w:rFonts w:ascii="Arial" w:hAnsi="Arial" w:cs="Arial"/>
        </w:rPr>
        <w:t xml:space="preserve"> EACs</w:t>
      </w:r>
      <w:r w:rsidRPr="00EE100D">
        <w:rPr>
          <w:rFonts w:ascii="Arial" w:hAnsi="Arial" w:cs="Arial"/>
        </w:rPr>
        <w:t xml:space="preserve">. This </w:t>
      </w:r>
      <w:r w:rsidR="00D608FE">
        <w:rPr>
          <w:rFonts w:ascii="Arial" w:hAnsi="Arial" w:cs="Arial"/>
        </w:rPr>
        <w:t>service</w:t>
      </w:r>
      <w:r w:rsidRPr="00EE100D">
        <w:rPr>
          <w:rFonts w:ascii="Arial" w:hAnsi="Arial" w:cs="Arial"/>
        </w:rPr>
        <w:t xml:space="preserve"> assigns the benefits of one or more SCID-backed claims</w:t>
      </w:r>
      <w:r w:rsidR="00D608FE">
        <w:rPr>
          <w:rFonts w:ascii="Arial" w:hAnsi="Arial" w:cs="Arial"/>
        </w:rPr>
        <w:t xml:space="preserve"> to an EAC</w:t>
      </w:r>
      <w:r w:rsidR="00D5272D">
        <w:rPr>
          <w:rFonts w:ascii="Arial" w:hAnsi="Arial" w:cs="Arial"/>
        </w:rPr>
        <w:t>,</w:t>
      </w:r>
      <w:r w:rsidRPr="00EE100D">
        <w:rPr>
          <w:rFonts w:ascii="Arial" w:hAnsi="Arial" w:cs="Arial"/>
        </w:rPr>
        <w:t xml:space="preserve"> and offers a secure, traceable, and standardized means of transporting environmental assets across platforms and between parties.</w:t>
      </w:r>
      <w:r w:rsidR="00D7027A">
        <w:rPr>
          <w:rFonts w:ascii="Arial" w:hAnsi="Arial" w:cs="Arial"/>
        </w:rPr>
        <w:t xml:space="preserve"> </w:t>
      </w:r>
      <w:r w:rsidR="00D7027A" w:rsidRPr="00EE100D">
        <w:rPr>
          <w:rFonts w:ascii="Arial" w:hAnsi="Arial" w:cs="Arial"/>
        </w:rPr>
        <w:t>The EAC</w:t>
      </w:r>
      <w:r w:rsidR="00D5272D">
        <w:rPr>
          <w:rFonts w:ascii="Arial" w:hAnsi="Arial" w:cs="Arial"/>
        </w:rPr>
        <w:t xml:space="preserve"> Distribution</w:t>
      </w:r>
      <w:r w:rsidR="00D7027A" w:rsidRPr="00EE100D">
        <w:rPr>
          <w:rFonts w:ascii="Arial" w:hAnsi="Arial" w:cs="Arial"/>
        </w:rPr>
        <w:t xml:space="preserve"> Service includes three distribution models, providing flexibility in managing </w:t>
      </w:r>
      <w:r w:rsidR="008D5D84">
        <w:rPr>
          <w:rFonts w:ascii="Arial" w:hAnsi="Arial" w:cs="Arial"/>
        </w:rPr>
        <w:t xml:space="preserve">allocation of </w:t>
      </w:r>
      <w:r w:rsidR="00D7027A" w:rsidRPr="00EE100D">
        <w:rPr>
          <w:rFonts w:ascii="Arial" w:hAnsi="Arial" w:cs="Arial"/>
        </w:rPr>
        <w:t>benefits.</w:t>
      </w:r>
    </w:p>
    <w:p w14:paraId="5DB3DFCB" w14:textId="77777777" w:rsidR="00D40A77" w:rsidRDefault="00FD40E4" w:rsidP="004A4029">
      <w:pPr>
        <w:rPr>
          <w:rFonts w:ascii="Arial" w:hAnsi="Arial" w:cs="Arial"/>
        </w:rPr>
      </w:pPr>
      <w:r>
        <w:rPr>
          <w:rFonts w:ascii="Arial" w:hAnsi="Arial" w:cs="Arial"/>
        </w:rPr>
        <w:t xml:space="preserve">Powered </w:t>
      </w:r>
      <w:r w:rsidR="00424ED3">
        <w:rPr>
          <w:rFonts w:ascii="Arial" w:hAnsi="Arial" w:cs="Arial"/>
        </w:rPr>
        <w:t>by</w:t>
      </w:r>
      <w:r w:rsidR="004A4029" w:rsidRPr="00EE100D">
        <w:rPr>
          <w:rFonts w:ascii="Arial" w:hAnsi="Arial" w:cs="Arial"/>
        </w:rPr>
        <w:t xml:space="preserve"> an advanced technology platform</w:t>
      </w:r>
      <w:r w:rsidR="0022151F">
        <w:rPr>
          <w:rFonts w:ascii="Arial" w:hAnsi="Arial" w:cs="Arial"/>
        </w:rPr>
        <w:t xml:space="preserve">, </w:t>
      </w:r>
      <w:r w:rsidR="0022151F" w:rsidRPr="00EE100D">
        <w:rPr>
          <w:rFonts w:ascii="Arial" w:hAnsi="Arial" w:cs="Arial"/>
        </w:rPr>
        <w:t xml:space="preserve">METI Originate </w:t>
      </w:r>
      <w:r w:rsidR="0022151F">
        <w:rPr>
          <w:rFonts w:ascii="Arial" w:hAnsi="Arial" w:cs="Arial"/>
        </w:rPr>
        <w:t>ensures</w:t>
      </w:r>
      <w:r w:rsidR="004A4029" w:rsidRPr="00EE100D">
        <w:rPr>
          <w:rFonts w:ascii="Arial" w:hAnsi="Arial" w:cs="Arial"/>
        </w:rPr>
        <w:t xml:space="preserve"> quick review and assignment of SCIDs</w:t>
      </w:r>
      <w:r w:rsidR="006A1F04">
        <w:rPr>
          <w:rFonts w:ascii="Arial" w:hAnsi="Arial" w:cs="Arial"/>
        </w:rPr>
        <w:t>, and issuance and allocation of EACs</w:t>
      </w:r>
      <w:r w:rsidR="004A4029" w:rsidRPr="00EE100D">
        <w:rPr>
          <w:rFonts w:ascii="Arial" w:hAnsi="Arial" w:cs="Arial"/>
        </w:rPr>
        <w:t xml:space="preserve">. </w:t>
      </w:r>
    </w:p>
    <w:p w14:paraId="4A2BBFF6" w14:textId="4AC9B41A" w:rsidR="00C506DD" w:rsidRDefault="004A4029" w:rsidP="004A4029">
      <w:pPr>
        <w:rPr>
          <w:rFonts w:ascii="Arial" w:hAnsi="Arial" w:cs="Arial"/>
        </w:rPr>
      </w:pPr>
      <w:r w:rsidRPr="00EE100D">
        <w:rPr>
          <w:rFonts w:ascii="Arial" w:hAnsi="Arial" w:cs="Arial"/>
        </w:rPr>
        <w:t xml:space="preserve">Overall, METI Originate is a comprehensive solution </w:t>
      </w:r>
      <w:r w:rsidR="00D40A77">
        <w:rPr>
          <w:rFonts w:ascii="Arial" w:hAnsi="Arial" w:cs="Arial"/>
        </w:rPr>
        <w:t>used by a growing group of leading environmental market participa</w:t>
      </w:r>
      <w:r w:rsidR="004C5BAD">
        <w:rPr>
          <w:rFonts w:ascii="Arial" w:hAnsi="Arial" w:cs="Arial"/>
        </w:rPr>
        <w:t xml:space="preserve">nts </w:t>
      </w:r>
      <w:r w:rsidRPr="00EE100D">
        <w:rPr>
          <w:rFonts w:ascii="Arial" w:hAnsi="Arial" w:cs="Arial"/>
        </w:rPr>
        <w:t>for standardizing, managing, and distributing environmental benefits</w:t>
      </w:r>
      <w:r w:rsidR="004C5BAD">
        <w:rPr>
          <w:rFonts w:ascii="Arial" w:hAnsi="Arial" w:cs="Arial"/>
        </w:rPr>
        <w:t>.</w:t>
      </w:r>
      <w:r w:rsidR="00BB5039">
        <w:rPr>
          <w:rFonts w:ascii="Arial" w:hAnsi="Arial" w:cs="Arial"/>
        </w:rPr>
        <w:t xml:space="preserve"> </w:t>
      </w:r>
      <w:r w:rsidR="000B089C" w:rsidRPr="00BB5039">
        <w:rPr>
          <w:rFonts w:ascii="Arial" w:hAnsi="Arial" w:cs="Arial"/>
        </w:rPr>
        <w:t xml:space="preserve">With METI Originate, stakeholders can confidently navigate the complexities of environmental asset management, ensuring that </w:t>
      </w:r>
      <w:r w:rsidR="00D01647" w:rsidRPr="00BB5039">
        <w:rPr>
          <w:rFonts w:ascii="Arial" w:hAnsi="Arial" w:cs="Arial"/>
        </w:rPr>
        <w:t xml:space="preserve">claims affiliated with </w:t>
      </w:r>
      <w:r w:rsidR="000B089C" w:rsidRPr="00BB5039">
        <w:rPr>
          <w:rFonts w:ascii="Arial" w:hAnsi="Arial" w:cs="Arial"/>
        </w:rPr>
        <w:t xml:space="preserve">their sustainability efforts are </w:t>
      </w:r>
      <w:r w:rsidR="00D01647" w:rsidRPr="00BB5039">
        <w:rPr>
          <w:rFonts w:ascii="Arial" w:hAnsi="Arial" w:cs="Arial"/>
        </w:rPr>
        <w:t xml:space="preserve">high-quality, </w:t>
      </w:r>
      <w:r w:rsidR="00464552" w:rsidRPr="00BB5039">
        <w:rPr>
          <w:rFonts w:ascii="Arial" w:hAnsi="Arial" w:cs="Arial"/>
        </w:rPr>
        <w:t xml:space="preserve">unique, and </w:t>
      </w:r>
      <w:r w:rsidR="008B5D30" w:rsidRPr="00BB5039">
        <w:rPr>
          <w:rFonts w:ascii="Arial" w:hAnsi="Arial" w:cs="Arial"/>
        </w:rPr>
        <w:t xml:space="preserve">aligned with the best interests of land stewards. </w:t>
      </w:r>
      <w:r w:rsidR="000B089C" w:rsidRPr="00BB5039">
        <w:rPr>
          <w:rFonts w:ascii="Arial" w:hAnsi="Arial" w:cs="Arial"/>
        </w:rPr>
        <w:t xml:space="preserve"> </w:t>
      </w:r>
    </w:p>
    <w:p w14:paraId="7D390FF5" w14:textId="77777777" w:rsidR="004C5BAD" w:rsidRPr="00EE100D" w:rsidRDefault="004C5BAD" w:rsidP="004A4029">
      <w:pPr>
        <w:rPr>
          <w:rFonts w:ascii="Arial" w:hAnsi="Arial" w:cs="Arial"/>
        </w:rPr>
      </w:pPr>
    </w:p>
    <w:p w14:paraId="149CFEAF" w14:textId="77777777" w:rsidR="00907EC5" w:rsidRPr="00EE100D" w:rsidRDefault="00907EC5" w:rsidP="00C506DD">
      <w:pPr>
        <w:pStyle w:val="Heading1"/>
        <w:rPr>
          <w:rFonts w:ascii="Arial" w:hAnsi="Arial" w:cs="Arial"/>
          <w:b/>
          <w:bCs/>
          <w:color w:val="595D64"/>
        </w:rPr>
      </w:pPr>
    </w:p>
    <w:p w14:paraId="1C66D87A" w14:textId="77777777" w:rsidR="00907EC5" w:rsidRPr="00EE100D" w:rsidRDefault="00907EC5" w:rsidP="00907EC5">
      <w:pPr>
        <w:rPr>
          <w:rFonts w:ascii="Arial" w:hAnsi="Arial" w:cs="Arial"/>
        </w:rPr>
      </w:pPr>
    </w:p>
    <w:p w14:paraId="14985A65" w14:textId="77777777" w:rsidR="000A0692" w:rsidRDefault="000A0692" w:rsidP="000A0692">
      <w:pPr>
        <w:pStyle w:val="Heading1"/>
        <w:spacing w:before="0" w:after="0"/>
        <w:rPr>
          <w:rFonts w:ascii="Arial" w:hAnsi="Arial" w:cs="Arial"/>
          <w:b/>
          <w:bCs/>
          <w:color w:val="595D64"/>
        </w:rPr>
      </w:pPr>
    </w:p>
    <w:p w14:paraId="4B60A9F7" w14:textId="1ABB0AC1" w:rsidR="00C506DD" w:rsidRPr="00EE100D" w:rsidRDefault="00C506DD" w:rsidP="000A0692">
      <w:pPr>
        <w:pStyle w:val="Heading1"/>
        <w:spacing w:before="0" w:after="0"/>
        <w:rPr>
          <w:rFonts w:ascii="Arial" w:hAnsi="Arial" w:cs="Arial"/>
          <w:b/>
          <w:bCs/>
          <w:color w:val="595D64"/>
        </w:rPr>
      </w:pPr>
      <w:bookmarkStart w:id="6" w:name="_Toc170739889"/>
      <w:r w:rsidRPr="00EE100D">
        <w:rPr>
          <w:rFonts w:ascii="Arial" w:hAnsi="Arial" w:cs="Arial"/>
          <w:b/>
          <w:bCs/>
          <w:color w:val="595D64"/>
        </w:rPr>
        <w:t xml:space="preserve">Spatiotemporal Claim </w:t>
      </w:r>
      <w:r w:rsidR="00CF7D75">
        <w:rPr>
          <w:rFonts w:ascii="Arial" w:hAnsi="Arial" w:cs="Arial"/>
          <w:b/>
          <w:bCs/>
          <w:color w:val="595D64"/>
        </w:rPr>
        <w:t>ID</w:t>
      </w:r>
      <w:r w:rsidRPr="00EE100D">
        <w:rPr>
          <w:rFonts w:ascii="Arial" w:hAnsi="Arial" w:cs="Arial"/>
          <w:b/>
          <w:bCs/>
          <w:color w:val="595D64"/>
        </w:rPr>
        <w:t xml:space="preserve"> (SCID) </w:t>
      </w:r>
      <w:r w:rsidR="00CF7D75">
        <w:rPr>
          <w:rFonts w:ascii="Arial" w:hAnsi="Arial" w:cs="Arial"/>
          <w:b/>
          <w:bCs/>
          <w:color w:val="595D64"/>
        </w:rPr>
        <w:t>Certification</w:t>
      </w:r>
      <w:bookmarkEnd w:id="6"/>
      <w:r w:rsidR="00CF7D75">
        <w:rPr>
          <w:rFonts w:ascii="Arial" w:hAnsi="Arial" w:cs="Arial"/>
          <w:b/>
          <w:bCs/>
          <w:color w:val="595D64"/>
        </w:rPr>
        <w:t xml:space="preserve"> </w:t>
      </w:r>
    </w:p>
    <w:p w14:paraId="6CB2E4AA" w14:textId="1C432823" w:rsidR="00FC23D3" w:rsidRPr="00EE100D" w:rsidRDefault="00E97A70" w:rsidP="00CA52B2">
      <w:pPr>
        <w:pStyle w:val="Heading2"/>
        <w:rPr>
          <w:rFonts w:ascii="Arial" w:hAnsi="Arial" w:cs="Arial"/>
          <w:color w:val="595D64"/>
          <w:sz w:val="28"/>
          <w:szCs w:val="28"/>
        </w:rPr>
      </w:pPr>
      <w:bookmarkStart w:id="7" w:name="_Toc170739890"/>
      <w:r w:rsidRPr="00EE100D">
        <w:rPr>
          <w:rFonts w:ascii="Arial" w:hAnsi="Arial" w:cs="Arial"/>
          <w:color w:val="595D64"/>
          <w:sz w:val="28"/>
          <w:szCs w:val="28"/>
        </w:rPr>
        <w:t>The Service</w:t>
      </w:r>
      <w:bookmarkEnd w:id="7"/>
    </w:p>
    <w:p w14:paraId="0D470B2E" w14:textId="2B83B12B" w:rsidR="00991D6B" w:rsidRPr="00EE100D" w:rsidRDefault="006F3F59">
      <w:pPr>
        <w:rPr>
          <w:rFonts w:ascii="Arial" w:hAnsi="Arial" w:cs="Arial"/>
        </w:rPr>
      </w:pPr>
      <w:r w:rsidRPr="00EE100D">
        <w:rPr>
          <w:rFonts w:ascii="Arial" w:hAnsi="Arial" w:cs="Arial"/>
        </w:rPr>
        <w:t xml:space="preserve">Designed </w:t>
      </w:r>
      <w:r w:rsidR="00411A38" w:rsidRPr="00EE100D">
        <w:rPr>
          <w:rFonts w:ascii="Arial" w:hAnsi="Arial" w:cs="Arial"/>
        </w:rPr>
        <w:t xml:space="preserve">to tackle some of the industry’s most pressing challenges, </w:t>
      </w:r>
      <w:r w:rsidR="00C9635C" w:rsidRPr="00EE100D">
        <w:rPr>
          <w:rFonts w:ascii="Arial" w:hAnsi="Arial" w:cs="Arial"/>
        </w:rPr>
        <w:t xml:space="preserve">the service </w:t>
      </w:r>
      <w:r w:rsidR="00500D65" w:rsidRPr="00EE100D">
        <w:rPr>
          <w:rFonts w:ascii="Arial" w:hAnsi="Arial" w:cs="Arial"/>
        </w:rPr>
        <w:t>supports</w:t>
      </w:r>
      <w:r w:rsidR="00E00931" w:rsidRPr="00EE100D">
        <w:rPr>
          <w:rFonts w:ascii="Arial" w:hAnsi="Arial" w:cs="Arial"/>
        </w:rPr>
        <w:t xml:space="preserve"> the growth of</w:t>
      </w:r>
      <w:r w:rsidR="0058140A" w:rsidRPr="00EE100D">
        <w:rPr>
          <w:rFonts w:ascii="Arial" w:hAnsi="Arial" w:cs="Arial"/>
        </w:rPr>
        <w:t xml:space="preserve"> environmental service market</w:t>
      </w:r>
      <w:r w:rsidR="00014B8E" w:rsidRPr="00EE100D">
        <w:rPr>
          <w:rFonts w:ascii="Arial" w:hAnsi="Arial" w:cs="Arial"/>
        </w:rPr>
        <w:t xml:space="preserve">s </w:t>
      </w:r>
      <w:r w:rsidR="00B72660" w:rsidRPr="00EE100D">
        <w:rPr>
          <w:rFonts w:ascii="Arial" w:hAnsi="Arial" w:cs="Arial"/>
        </w:rPr>
        <w:t xml:space="preserve">globally </w:t>
      </w:r>
      <w:r w:rsidR="00014B8E" w:rsidRPr="00EE100D">
        <w:rPr>
          <w:rFonts w:ascii="Arial" w:hAnsi="Arial" w:cs="Arial"/>
        </w:rPr>
        <w:t>by consolidating</w:t>
      </w:r>
      <w:r w:rsidR="009E2D0E" w:rsidRPr="00EE100D">
        <w:rPr>
          <w:rFonts w:ascii="Arial" w:hAnsi="Arial" w:cs="Arial"/>
        </w:rPr>
        <w:t xml:space="preserve"> and organizing</w:t>
      </w:r>
      <w:r w:rsidR="00014B8E" w:rsidRPr="00EE100D">
        <w:rPr>
          <w:rFonts w:ascii="Arial" w:hAnsi="Arial" w:cs="Arial"/>
        </w:rPr>
        <w:t xml:space="preserve"> </w:t>
      </w:r>
      <w:r w:rsidR="00991D6B" w:rsidRPr="00EE100D">
        <w:rPr>
          <w:rFonts w:ascii="Arial" w:hAnsi="Arial" w:cs="Arial"/>
        </w:rPr>
        <w:t>decentralized data</w:t>
      </w:r>
      <w:r w:rsidR="00AA27A3" w:rsidRPr="00EE100D">
        <w:rPr>
          <w:rFonts w:ascii="Arial" w:hAnsi="Arial" w:cs="Arial"/>
        </w:rPr>
        <w:t xml:space="preserve"> </w:t>
      </w:r>
      <w:r w:rsidR="00B72660" w:rsidRPr="00EE100D">
        <w:rPr>
          <w:rFonts w:ascii="Arial" w:hAnsi="Arial" w:cs="Arial"/>
        </w:rPr>
        <w:t xml:space="preserve">for </w:t>
      </w:r>
      <w:r w:rsidR="00755E4E" w:rsidRPr="00EE100D">
        <w:rPr>
          <w:rFonts w:ascii="Arial" w:hAnsi="Arial" w:cs="Arial"/>
        </w:rPr>
        <w:t xml:space="preserve">projects and their environmental assets </w:t>
      </w:r>
      <w:r w:rsidR="00C75FAC" w:rsidRPr="00EE100D">
        <w:rPr>
          <w:rFonts w:ascii="Arial" w:hAnsi="Arial" w:cs="Arial"/>
        </w:rPr>
        <w:t xml:space="preserve">at a vintage level </w:t>
      </w:r>
      <w:r w:rsidR="00755E4E" w:rsidRPr="00EE100D">
        <w:rPr>
          <w:rFonts w:ascii="Arial" w:hAnsi="Arial" w:cs="Arial"/>
        </w:rPr>
        <w:t xml:space="preserve">(carbon credits, CI scores, </w:t>
      </w:r>
      <w:r w:rsidR="00A24837" w:rsidRPr="00EE100D">
        <w:rPr>
          <w:rFonts w:ascii="Arial" w:hAnsi="Arial" w:cs="Arial"/>
        </w:rPr>
        <w:t xml:space="preserve">Scope 3 claims, </w:t>
      </w:r>
      <w:r w:rsidR="00755E4E" w:rsidRPr="00EE100D">
        <w:rPr>
          <w:rFonts w:ascii="Arial" w:hAnsi="Arial" w:cs="Arial"/>
        </w:rPr>
        <w:t>biodiversity scores, and water</w:t>
      </w:r>
      <w:r w:rsidR="008300C4" w:rsidRPr="00EE100D">
        <w:rPr>
          <w:rFonts w:ascii="Arial" w:hAnsi="Arial" w:cs="Arial"/>
        </w:rPr>
        <w:t xml:space="preserve"> trading credits)</w:t>
      </w:r>
      <w:r w:rsidRPr="00EE100D">
        <w:rPr>
          <w:rFonts w:ascii="Arial" w:hAnsi="Arial" w:cs="Arial"/>
        </w:rPr>
        <w:t xml:space="preserve"> providing unique </w:t>
      </w:r>
      <w:r w:rsidR="005173FC" w:rsidRPr="00EE100D">
        <w:rPr>
          <w:rFonts w:ascii="Arial" w:hAnsi="Arial" w:cs="Arial"/>
        </w:rPr>
        <w:t>spatiotemporal</w:t>
      </w:r>
      <w:r w:rsidRPr="00EE100D">
        <w:rPr>
          <w:rFonts w:ascii="Arial" w:hAnsi="Arial" w:cs="Arial"/>
        </w:rPr>
        <w:t xml:space="preserve"> claims identifiers (</w:t>
      </w:r>
      <w:r w:rsidR="005E5EE0" w:rsidRPr="00EE100D">
        <w:rPr>
          <w:rFonts w:ascii="Arial" w:hAnsi="Arial" w:cs="Arial"/>
        </w:rPr>
        <w:t>SCIDs</w:t>
      </w:r>
      <w:r w:rsidR="00C10CDE" w:rsidRPr="00EE100D">
        <w:rPr>
          <w:rFonts w:ascii="Arial" w:hAnsi="Arial" w:cs="Arial"/>
        </w:rPr>
        <w:t xml:space="preserve"> – belonging to both space and time</w:t>
      </w:r>
      <w:r w:rsidRPr="00EE100D">
        <w:rPr>
          <w:rFonts w:ascii="Arial" w:hAnsi="Arial" w:cs="Arial"/>
        </w:rPr>
        <w:t xml:space="preserve">) </w:t>
      </w:r>
      <w:r w:rsidR="001109B0">
        <w:rPr>
          <w:rFonts w:ascii="Arial" w:hAnsi="Arial" w:cs="Arial"/>
        </w:rPr>
        <w:t xml:space="preserve">embedded in digital certificates </w:t>
      </w:r>
      <w:r w:rsidRPr="00EE100D">
        <w:rPr>
          <w:rFonts w:ascii="Arial" w:hAnsi="Arial" w:cs="Arial"/>
        </w:rPr>
        <w:t>based on a combination of geospatial, temporal, and environmental attribute data</w:t>
      </w:r>
      <w:r w:rsidR="00135F89" w:rsidRPr="00EE100D">
        <w:rPr>
          <w:rFonts w:ascii="Arial" w:hAnsi="Arial" w:cs="Arial"/>
        </w:rPr>
        <w:t xml:space="preserve"> (type &amp; quantity)</w:t>
      </w:r>
      <w:r w:rsidR="003E1596" w:rsidRPr="00EE100D">
        <w:rPr>
          <w:rFonts w:ascii="Arial" w:hAnsi="Arial" w:cs="Arial"/>
        </w:rPr>
        <w:t xml:space="preserve">. </w:t>
      </w:r>
    </w:p>
    <w:p w14:paraId="2AA387C2" w14:textId="64AB1D17" w:rsidR="003E1596" w:rsidRPr="00EE100D" w:rsidRDefault="005E5EE0">
      <w:pPr>
        <w:rPr>
          <w:rFonts w:ascii="Arial" w:hAnsi="Arial" w:cs="Arial"/>
        </w:rPr>
      </w:pPr>
      <w:r w:rsidRPr="00EE100D">
        <w:rPr>
          <w:rFonts w:ascii="Arial" w:hAnsi="Arial" w:cs="Arial"/>
        </w:rPr>
        <w:t>SCIDs</w:t>
      </w:r>
      <w:r w:rsidR="008C6903" w:rsidRPr="00EE100D">
        <w:rPr>
          <w:rFonts w:ascii="Arial" w:hAnsi="Arial" w:cs="Arial"/>
        </w:rPr>
        <w:t xml:space="preserve"> </w:t>
      </w:r>
      <w:r w:rsidR="009A6B9C" w:rsidRPr="00EE100D">
        <w:rPr>
          <w:rFonts w:ascii="Arial" w:hAnsi="Arial" w:cs="Arial"/>
        </w:rPr>
        <w:t xml:space="preserve">are available for all eligible projects that are requested </w:t>
      </w:r>
      <w:r w:rsidR="00796E5E" w:rsidRPr="00EE100D">
        <w:rPr>
          <w:rFonts w:ascii="Arial" w:hAnsi="Arial" w:cs="Arial"/>
        </w:rPr>
        <w:t xml:space="preserve">for certification via </w:t>
      </w:r>
      <w:r w:rsidR="0044078B" w:rsidRPr="00EE100D">
        <w:rPr>
          <w:rFonts w:ascii="Arial" w:hAnsi="Arial" w:cs="Arial"/>
        </w:rPr>
        <w:t>METI</w:t>
      </w:r>
      <w:r w:rsidR="00796E5E" w:rsidRPr="00EE100D">
        <w:rPr>
          <w:rFonts w:ascii="Arial" w:hAnsi="Arial" w:cs="Arial"/>
        </w:rPr>
        <w:t xml:space="preserve"> </w:t>
      </w:r>
      <w:r w:rsidR="00295836" w:rsidRPr="00EE100D">
        <w:rPr>
          <w:rFonts w:ascii="Arial" w:hAnsi="Arial" w:cs="Arial"/>
        </w:rPr>
        <w:t>Originate</w:t>
      </w:r>
      <w:r w:rsidR="00FE76B6">
        <w:rPr>
          <w:rFonts w:ascii="Arial" w:hAnsi="Arial" w:cs="Arial"/>
        </w:rPr>
        <w:t>’s online user portal</w:t>
      </w:r>
      <w:r w:rsidR="00796E5E" w:rsidRPr="00EE100D">
        <w:rPr>
          <w:rFonts w:ascii="Arial" w:hAnsi="Arial" w:cs="Arial"/>
        </w:rPr>
        <w:t>, including mapping to issuer</w:t>
      </w:r>
      <w:r w:rsidR="005467E1" w:rsidRPr="00EE100D">
        <w:rPr>
          <w:rFonts w:ascii="Arial" w:hAnsi="Arial" w:cs="Arial"/>
        </w:rPr>
        <w:t>/requestor</w:t>
      </w:r>
      <w:r w:rsidR="00796E5E" w:rsidRPr="00EE100D">
        <w:rPr>
          <w:rFonts w:ascii="Arial" w:hAnsi="Arial" w:cs="Arial"/>
        </w:rPr>
        <w:t xml:space="preserve"> (</w:t>
      </w:r>
      <w:r w:rsidR="003423DB" w:rsidRPr="00EE100D">
        <w:rPr>
          <w:rFonts w:ascii="Arial" w:hAnsi="Arial" w:cs="Arial"/>
        </w:rPr>
        <w:t>i.e.</w:t>
      </w:r>
      <w:r w:rsidR="00B31C03" w:rsidRPr="00EE100D">
        <w:rPr>
          <w:rFonts w:ascii="Arial" w:hAnsi="Arial" w:cs="Arial"/>
        </w:rPr>
        <w:t xml:space="preserve"> </w:t>
      </w:r>
      <w:r w:rsidR="00DD25EA" w:rsidRPr="00EE100D">
        <w:rPr>
          <w:rFonts w:ascii="Arial" w:hAnsi="Arial" w:cs="Arial"/>
        </w:rPr>
        <w:t>c</w:t>
      </w:r>
      <w:r w:rsidR="00B31C03" w:rsidRPr="00EE100D">
        <w:rPr>
          <w:rFonts w:ascii="Arial" w:hAnsi="Arial" w:cs="Arial"/>
        </w:rPr>
        <w:t xml:space="preserve">laims custodian) </w:t>
      </w:r>
      <w:r w:rsidR="00796E5E" w:rsidRPr="00EE100D">
        <w:rPr>
          <w:rFonts w:ascii="Arial" w:hAnsi="Arial" w:cs="Arial"/>
        </w:rPr>
        <w:t>identifiers</w:t>
      </w:r>
      <w:r w:rsidR="00DD25EA" w:rsidRPr="00EE100D">
        <w:rPr>
          <w:rFonts w:ascii="Arial" w:hAnsi="Arial" w:cs="Arial"/>
        </w:rPr>
        <w:t xml:space="preserve">. </w:t>
      </w:r>
      <w:r w:rsidR="00662C14" w:rsidRPr="00EE100D">
        <w:rPr>
          <w:rFonts w:ascii="Arial" w:hAnsi="Arial" w:cs="Arial"/>
        </w:rPr>
        <w:t>The</w:t>
      </w:r>
      <w:r w:rsidR="00435CB9" w:rsidRPr="00EE100D">
        <w:rPr>
          <w:rFonts w:ascii="Arial" w:hAnsi="Arial" w:cs="Arial"/>
        </w:rPr>
        <w:t xml:space="preserve"> interoperability </w:t>
      </w:r>
      <w:r w:rsidR="009F1B13" w:rsidRPr="00EE100D">
        <w:rPr>
          <w:rFonts w:ascii="Arial" w:hAnsi="Arial" w:cs="Arial"/>
        </w:rPr>
        <w:t xml:space="preserve">enabled by </w:t>
      </w:r>
      <w:r w:rsidRPr="00EE100D">
        <w:rPr>
          <w:rFonts w:ascii="Arial" w:hAnsi="Arial" w:cs="Arial"/>
        </w:rPr>
        <w:t>SCIDs</w:t>
      </w:r>
      <w:r w:rsidR="009F1B13" w:rsidRPr="00EE100D">
        <w:rPr>
          <w:rFonts w:ascii="Arial" w:hAnsi="Arial" w:cs="Arial"/>
        </w:rPr>
        <w:t xml:space="preserve"> </w:t>
      </w:r>
      <w:r w:rsidR="00082FB8" w:rsidRPr="00EE100D">
        <w:rPr>
          <w:rFonts w:ascii="Arial" w:hAnsi="Arial" w:cs="Arial"/>
        </w:rPr>
        <w:t xml:space="preserve">ensures that essential front- and back-office functions </w:t>
      </w:r>
      <w:r w:rsidR="00B5468A" w:rsidRPr="00EE100D">
        <w:rPr>
          <w:rFonts w:ascii="Arial" w:hAnsi="Arial" w:cs="Arial"/>
        </w:rPr>
        <w:t xml:space="preserve">run </w:t>
      </w:r>
      <w:r w:rsidR="004A2E8E" w:rsidRPr="00EE100D">
        <w:rPr>
          <w:rFonts w:ascii="Arial" w:hAnsi="Arial" w:cs="Arial"/>
        </w:rPr>
        <w:t>smoothly</w:t>
      </w:r>
      <w:r w:rsidR="00337F82" w:rsidRPr="00EE100D">
        <w:rPr>
          <w:rFonts w:ascii="Arial" w:hAnsi="Arial" w:cs="Arial"/>
        </w:rPr>
        <w:t xml:space="preserve"> and reliably</w:t>
      </w:r>
      <w:r w:rsidR="004A2E8E" w:rsidRPr="00EE100D">
        <w:rPr>
          <w:rFonts w:ascii="Arial" w:hAnsi="Arial" w:cs="Arial"/>
        </w:rPr>
        <w:t xml:space="preserve">, enabling custodians and sub-custodians </w:t>
      </w:r>
      <w:r w:rsidR="00EC46DF" w:rsidRPr="00EE100D">
        <w:rPr>
          <w:rFonts w:ascii="Arial" w:hAnsi="Arial" w:cs="Arial"/>
        </w:rPr>
        <w:t xml:space="preserve">to easily communicate, manage, and examine the details of a transaction for accurate and efficient </w:t>
      </w:r>
      <w:r w:rsidR="0070324B" w:rsidRPr="00EE100D">
        <w:rPr>
          <w:rFonts w:ascii="Arial" w:hAnsi="Arial" w:cs="Arial"/>
        </w:rPr>
        <w:t xml:space="preserve">clearance and settlement. </w:t>
      </w:r>
    </w:p>
    <w:p w14:paraId="345BD6A8" w14:textId="5A953638" w:rsidR="0076434F" w:rsidRDefault="000C3645" w:rsidP="0076434F">
      <w:pPr>
        <w:rPr>
          <w:rFonts w:ascii="Arial" w:hAnsi="Arial" w:cs="Arial"/>
        </w:rPr>
      </w:pPr>
      <w:proofErr w:type="spellStart"/>
      <w:r w:rsidRPr="00EE100D">
        <w:rPr>
          <w:rFonts w:ascii="Arial" w:hAnsi="Arial" w:cs="Arial"/>
        </w:rPr>
        <w:t>MillPont’s</w:t>
      </w:r>
      <w:proofErr w:type="spellEnd"/>
      <w:r w:rsidRPr="00EE100D">
        <w:rPr>
          <w:rFonts w:ascii="Arial" w:hAnsi="Arial" w:cs="Arial"/>
        </w:rPr>
        <w:t xml:space="preserve"> online application</w:t>
      </w:r>
      <w:r w:rsidR="00332F15" w:rsidRPr="00EE100D">
        <w:rPr>
          <w:rFonts w:ascii="Arial" w:hAnsi="Arial" w:cs="Arial"/>
        </w:rPr>
        <w:t xml:space="preserve"> portal</w:t>
      </w:r>
      <w:r w:rsidRPr="00EE100D">
        <w:rPr>
          <w:rFonts w:ascii="Arial" w:hAnsi="Arial" w:cs="Arial"/>
        </w:rPr>
        <w:t xml:space="preserve"> is used to submit </w:t>
      </w:r>
      <w:r w:rsidR="008042F8" w:rsidRPr="00EE100D">
        <w:rPr>
          <w:rFonts w:ascii="Arial" w:hAnsi="Arial" w:cs="Arial"/>
        </w:rPr>
        <w:t xml:space="preserve">requests for the assignment of </w:t>
      </w:r>
      <w:r w:rsidR="005E5EE0" w:rsidRPr="00EE100D">
        <w:rPr>
          <w:rFonts w:ascii="Arial" w:hAnsi="Arial" w:cs="Arial"/>
        </w:rPr>
        <w:t>SCIDs</w:t>
      </w:r>
      <w:r w:rsidR="0069514F" w:rsidRPr="00EE100D">
        <w:rPr>
          <w:rFonts w:ascii="Arial" w:hAnsi="Arial" w:cs="Arial"/>
        </w:rPr>
        <w:t xml:space="preserve">. </w:t>
      </w:r>
      <w:r w:rsidR="008A72B5" w:rsidRPr="00EE100D">
        <w:rPr>
          <w:rFonts w:ascii="Arial" w:hAnsi="Arial" w:cs="Arial"/>
        </w:rPr>
        <w:t xml:space="preserve">The </w:t>
      </w:r>
      <w:r w:rsidR="005E5EE0" w:rsidRPr="00EE100D">
        <w:rPr>
          <w:rFonts w:ascii="Arial" w:hAnsi="Arial" w:cs="Arial"/>
        </w:rPr>
        <w:t>SCID</w:t>
      </w:r>
      <w:r w:rsidR="008A72B5" w:rsidRPr="00EE100D">
        <w:rPr>
          <w:rFonts w:ascii="Arial" w:hAnsi="Arial" w:cs="Arial"/>
        </w:rPr>
        <w:t xml:space="preserve"> request system uses </w:t>
      </w:r>
      <w:r w:rsidR="007A4B6B" w:rsidRPr="00EE100D">
        <w:rPr>
          <w:rFonts w:ascii="Arial" w:hAnsi="Arial" w:cs="Arial"/>
        </w:rPr>
        <w:t>METI’s</w:t>
      </w:r>
      <w:r w:rsidR="008A72B5" w:rsidRPr="00EE100D">
        <w:rPr>
          <w:rFonts w:ascii="Arial" w:hAnsi="Arial" w:cs="Arial"/>
        </w:rPr>
        <w:t xml:space="preserve"> advanced technology platform</w:t>
      </w:r>
      <w:r w:rsidR="00611161" w:rsidRPr="00EE100D">
        <w:rPr>
          <w:rFonts w:ascii="Arial" w:hAnsi="Arial" w:cs="Arial"/>
        </w:rPr>
        <w:t xml:space="preserve"> to</w:t>
      </w:r>
      <w:r w:rsidR="00E1156A" w:rsidRPr="00EE100D">
        <w:rPr>
          <w:rFonts w:ascii="Arial" w:hAnsi="Arial" w:cs="Arial"/>
        </w:rPr>
        <w:t xml:space="preserve"> expedite the review</w:t>
      </w:r>
      <w:r w:rsidR="005A71FC" w:rsidRPr="00EE100D">
        <w:rPr>
          <w:rFonts w:ascii="Arial" w:hAnsi="Arial" w:cs="Arial"/>
        </w:rPr>
        <w:t xml:space="preserve"> and assignment process permitting the timely </w:t>
      </w:r>
      <w:r w:rsidR="00595568" w:rsidRPr="00EE100D">
        <w:rPr>
          <w:rFonts w:ascii="Arial" w:hAnsi="Arial" w:cs="Arial"/>
        </w:rPr>
        <w:t>return</w:t>
      </w:r>
      <w:r w:rsidR="00701658" w:rsidRPr="00EE100D">
        <w:rPr>
          <w:rFonts w:ascii="Arial" w:hAnsi="Arial" w:cs="Arial"/>
        </w:rPr>
        <w:t xml:space="preserve"> and management</w:t>
      </w:r>
      <w:r w:rsidR="00595568" w:rsidRPr="00EE100D">
        <w:rPr>
          <w:rFonts w:ascii="Arial" w:hAnsi="Arial" w:cs="Arial"/>
        </w:rPr>
        <w:t xml:space="preserve"> of </w:t>
      </w:r>
      <w:r w:rsidR="005E5EE0" w:rsidRPr="00EE100D">
        <w:rPr>
          <w:rFonts w:ascii="Arial" w:hAnsi="Arial" w:cs="Arial"/>
        </w:rPr>
        <w:t>SCIDs</w:t>
      </w:r>
      <w:r w:rsidR="00595568" w:rsidRPr="00EE100D">
        <w:rPr>
          <w:rFonts w:ascii="Arial" w:hAnsi="Arial" w:cs="Arial"/>
        </w:rPr>
        <w:t xml:space="preserve">. </w:t>
      </w:r>
      <w:r w:rsidR="005E5EE0" w:rsidRPr="00EE100D">
        <w:rPr>
          <w:rFonts w:ascii="Arial" w:hAnsi="Arial" w:cs="Arial"/>
        </w:rPr>
        <w:t>SCID</w:t>
      </w:r>
      <w:r w:rsidR="008C06F6" w:rsidRPr="00EE100D">
        <w:rPr>
          <w:rFonts w:ascii="Arial" w:hAnsi="Arial" w:cs="Arial"/>
        </w:rPr>
        <w:t xml:space="preserve">’s can be requested and issued </w:t>
      </w:r>
      <w:r w:rsidR="00D23513" w:rsidRPr="00EE100D">
        <w:rPr>
          <w:rFonts w:ascii="Arial" w:hAnsi="Arial" w:cs="Arial"/>
        </w:rPr>
        <w:t>individually or grouped in aggregate</w:t>
      </w:r>
      <w:r w:rsidR="006351C3" w:rsidRPr="00EE100D">
        <w:rPr>
          <w:rFonts w:ascii="Arial" w:hAnsi="Arial" w:cs="Arial"/>
        </w:rPr>
        <w:t xml:space="preserve">, </w:t>
      </w:r>
      <w:r w:rsidR="001F789D" w:rsidRPr="00EE100D">
        <w:rPr>
          <w:rFonts w:ascii="Arial" w:hAnsi="Arial" w:cs="Arial"/>
        </w:rPr>
        <w:t>with bulk requests and rapid issuance available via API</w:t>
      </w:r>
      <w:r w:rsidR="006351C3" w:rsidRPr="00EE100D">
        <w:rPr>
          <w:rFonts w:ascii="Arial" w:hAnsi="Arial" w:cs="Arial"/>
        </w:rPr>
        <w:t>.</w:t>
      </w:r>
    </w:p>
    <w:p w14:paraId="02B5AA2C" w14:textId="01558DB0" w:rsidR="0075605A" w:rsidRPr="00EE100D" w:rsidRDefault="005A4048" w:rsidP="00AE3E91">
      <w:pPr>
        <w:jc w:val="center"/>
        <w:rPr>
          <w:rFonts w:ascii="Arial" w:hAnsi="Arial" w:cs="Arial"/>
        </w:rPr>
      </w:pPr>
      <w:r w:rsidRPr="005A4048">
        <w:rPr>
          <w:rFonts w:ascii="Arial" w:hAnsi="Arial" w:cs="Arial"/>
          <w:noProof/>
        </w:rPr>
        <w:drawing>
          <wp:inline distT="0" distB="0" distL="0" distR="0" wp14:anchorId="4A29587A" wp14:editId="5D7A85CF">
            <wp:extent cx="5943600" cy="1855622"/>
            <wp:effectExtent l="0" t="0" r="0" b="0"/>
            <wp:docPr id="9378377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37709" name="Picture 1" descr="A diagram of a diagram&#10;&#10;Description automatically generated"/>
                    <pic:cNvPicPr/>
                  </pic:nvPicPr>
                  <pic:blipFill rotWithShape="1">
                    <a:blip r:embed="rId11"/>
                    <a:srcRect t="9332"/>
                    <a:stretch/>
                  </pic:blipFill>
                  <pic:spPr bwMode="auto">
                    <a:xfrm>
                      <a:off x="0" y="0"/>
                      <a:ext cx="5943600" cy="1855622"/>
                    </a:xfrm>
                    <a:prstGeom prst="rect">
                      <a:avLst/>
                    </a:prstGeom>
                    <a:ln>
                      <a:noFill/>
                    </a:ln>
                    <a:extLst>
                      <a:ext uri="{53640926-AAD7-44D8-BBD7-CCE9431645EC}">
                        <a14:shadowObscured xmlns:a14="http://schemas.microsoft.com/office/drawing/2010/main"/>
                      </a:ext>
                    </a:extLst>
                  </pic:spPr>
                </pic:pic>
              </a:graphicData>
            </a:graphic>
          </wp:inline>
        </w:drawing>
      </w:r>
    </w:p>
    <w:p w14:paraId="561FBF95" w14:textId="6012CC4D" w:rsidR="00BC604C" w:rsidRPr="00EE100D" w:rsidRDefault="00A42AE3" w:rsidP="00741A74">
      <w:pPr>
        <w:rPr>
          <w:rFonts w:ascii="Arial" w:hAnsi="Arial" w:cs="Arial"/>
        </w:rPr>
      </w:pPr>
      <w:r w:rsidRPr="00EE100D">
        <w:rPr>
          <w:rFonts w:ascii="Arial" w:hAnsi="Arial" w:cs="Arial"/>
        </w:rPr>
        <w:t xml:space="preserve">As part of </w:t>
      </w:r>
      <w:r w:rsidR="00776516" w:rsidRPr="00EE100D">
        <w:rPr>
          <w:rFonts w:ascii="Arial" w:hAnsi="Arial" w:cs="Arial"/>
        </w:rPr>
        <w:t>our</w:t>
      </w:r>
      <w:r w:rsidRPr="00EE100D">
        <w:rPr>
          <w:rFonts w:ascii="Arial" w:hAnsi="Arial" w:cs="Arial"/>
        </w:rPr>
        <w:t xml:space="preserve"> responsibility to </w:t>
      </w:r>
      <w:r w:rsidR="005B01CF" w:rsidRPr="00EE100D">
        <w:rPr>
          <w:rFonts w:ascii="Arial" w:hAnsi="Arial" w:cs="Arial"/>
        </w:rPr>
        <w:t>collect</w:t>
      </w:r>
      <w:r w:rsidR="00287238" w:rsidRPr="00EE100D">
        <w:rPr>
          <w:rFonts w:ascii="Arial" w:hAnsi="Arial" w:cs="Arial"/>
        </w:rPr>
        <w:t xml:space="preserve">, </w:t>
      </w:r>
      <w:r w:rsidR="004831C8" w:rsidRPr="00EE100D">
        <w:rPr>
          <w:rFonts w:ascii="Arial" w:hAnsi="Arial" w:cs="Arial"/>
        </w:rPr>
        <w:t xml:space="preserve">accurately </w:t>
      </w:r>
      <w:r w:rsidR="00687974" w:rsidRPr="00EE100D">
        <w:rPr>
          <w:rFonts w:ascii="Arial" w:hAnsi="Arial" w:cs="Arial"/>
        </w:rPr>
        <w:t xml:space="preserve">maintain, </w:t>
      </w:r>
      <w:r w:rsidR="00E13376" w:rsidRPr="00EE100D">
        <w:rPr>
          <w:rFonts w:ascii="Arial" w:hAnsi="Arial" w:cs="Arial"/>
        </w:rPr>
        <w:t xml:space="preserve">represent and certify information, MillPont </w:t>
      </w:r>
      <w:r w:rsidR="0035640F">
        <w:rPr>
          <w:rFonts w:ascii="Arial" w:hAnsi="Arial" w:cs="Arial"/>
        </w:rPr>
        <w:t>administers</w:t>
      </w:r>
      <w:r w:rsidR="00E13376" w:rsidRPr="00EE100D">
        <w:rPr>
          <w:rFonts w:ascii="Arial" w:hAnsi="Arial" w:cs="Arial"/>
        </w:rPr>
        <w:t xml:space="preserve"> </w:t>
      </w:r>
      <w:r w:rsidR="00F55281" w:rsidRPr="00EE100D">
        <w:rPr>
          <w:rFonts w:ascii="Arial" w:hAnsi="Arial" w:cs="Arial"/>
        </w:rPr>
        <w:t>a</w:t>
      </w:r>
      <w:r w:rsidR="00BE2D92" w:rsidRPr="00EE100D">
        <w:rPr>
          <w:rFonts w:ascii="Arial" w:hAnsi="Arial" w:cs="Arial"/>
        </w:rPr>
        <w:t xml:space="preserve">n annual </w:t>
      </w:r>
      <w:r w:rsidR="0035640F">
        <w:rPr>
          <w:rFonts w:ascii="Arial" w:hAnsi="Arial" w:cs="Arial"/>
        </w:rPr>
        <w:t>certification/review</w:t>
      </w:r>
      <w:r w:rsidR="00BE2D92" w:rsidRPr="00EE100D">
        <w:rPr>
          <w:rFonts w:ascii="Arial" w:hAnsi="Arial" w:cs="Arial"/>
        </w:rPr>
        <w:t xml:space="preserve"> process in </w:t>
      </w:r>
      <w:r w:rsidR="00913A3F">
        <w:rPr>
          <w:rFonts w:ascii="Arial" w:hAnsi="Arial" w:cs="Arial"/>
        </w:rPr>
        <w:t>which existing METI Originate users</w:t>
      </w:r>
      <w:r w:rsidR="00362112" w:rsidRPr="00EE100D">
        <w:rPr>
          <w:rFonts w:ascii="Arial" w:hAnsi="Arial" w:cs="Arial"/>
        </w:rPr>
        <w:t xml:space="preserve"> must review, update and or correct any </w:t>
      </w:r>
      <w:r w:rsidR="0069356D" w:rsidRPr="00EE100D">
        <w:rPr>
          <w:rFonts w:ascii="Arial" w:hAnsi="Arial" w:cs="Arial"/>
        </w:rPr>
        <w:t xml:space="preserve">information that appears to be missing or incorrect. </w:t>
      </w:r>
      <w:r w:rsidR="0069512C" w:rsidRPr="00EE100D">
        <w:rPr>
          <w:rFonts w:ascii="Arial" w:hAnsi="Arial" w:cs="Arial"/>
        </w:rPr>
        <w:t xml:space="preserve">Once the issuer provides any revisions or updates, MillPont registers their </w:t>
      </w:r>
      <w:r w:rsidR="005E5EE0" w:rsidRPr="00EE100D">
        <w:rPr>
          <w:rFonts w:ascii="Arial" w:hAnsi="Arial" w:cs="Arial"/>
        </w:rPr>
        <w:t>SCID</w:t>
      </w:r>
      <w:r w:rsidR="0021654D">
        <w:rPr>
          <w:rFonts w:ascii="Arial" w:hAnsi="Arial" w:cs="Arial"/>
        </w:rPr>
        <w:t xml:space="preserve"> certificates</w:t>
      </w:r>
      <w:r w:rsidR="0069512C" w:rsidRPr="00EE100D">
        <w:rPr>
          <w:rFonts w:ascii="Arial" w:hAnsi="Arial" w:cs="Arial"/>
        </w:rPr>
        <w:t xml:space="preserve"> as “Cleared”</w:t>
      </w:r>
      <w:r w:rsidR="001F0C7B" w:rsidRPr="00EE100D">
        <w:rPr>
          <w:rFonts w:ascii="Arial" w:hAnsi="Arial" w:cs="Arial"/>
        </w:rPr>
        <w:t xml:space="preserve"> </w:t>
      </w:r>
      <w:r w:rsidR="00C4601C" w:rsidRPr="00EE100D">
        <w:rPr>
          <w:rFonts w:ascii="Arial" w:hAnsi="Arial" w:cs="Arial"/>
        </w:rPr>
        <w:t xml:space="preserve">indicating the issuer has participated in the update process, has reviewed the information and </w:t>
      </w:r>
      <w:r w:rsidR="00741A74" w:rsidRPr="00EE100D">
        <w:rPr>
          <w:rFonts w:ascii="Arial" w:hAnsi="Arial" w:cs="Arial"/>
        </w:rPr>
        <w:t>has certified the data as correct.</w:t>
      </w:r>
      <w:r w:rsidR="009207BD" w:rsidRPr="00EE100D">
        <w:rPr>
          <w:rFonts w:ascii="Arial" w:hAnsi="Arial" w:cs="Arial"/>
        </w:rPr>
        <w:t xml:space="preserve"> </w:t>
      </w:r>
    </w:p>
    <w:p w14:paraId="5F7F4E76" w14:textId="01E67575" w:rsidR="00503BBB" w:rsidRPr="00EE100D" w:rsidRDefault="00BC604C">
      <w:pPr>
        <w:rPr>
          <w:rFonts w:ascii="Arial" w:hAnsi="Arial" w:cs="Arial"/>
        </w:rPr>
      </w:pPr>
      <w:r w:rsidRPr="00EE100D">
        <w:rPr>
          <w:rFonts w:ascii="Arial" w:hAnsi="Arial" w:cs="Arial"/>
        </w:rPr>
        <w:t>The</w:t>
      </w:r>
      <w:r w:rsidR="00741A74" w:rsidRPr="00EE100D">
        <w:rPr>
          <w:rFonts w:ascii="Arial" w:hAnsi="Arial" w:cs="Arial"/>
        </w:rPr>
        <w:t xml:space="preserve"> annual </w:t>
      </w:r>
      <w:r w:rsidR="008C6187">
        <w:rPr>
          <w:rFonts w:ascii="Arial" w:hAnsi="Arial" w:cs="Arial"/>
        </w:rPr>
        <w:t xml:space="preserve">METI Originate </w:t>
      </w:r>
      <w:r w:rsidR="00741A74" w:rsidRPr="00EE100D">
        <w:rPr>
          <w:rFonts w:ascii="Arial" w:hAnsi="Arial" w:cs="Arial"/>
        </w:rPr>
        <w:t xml:space="preserve">membership fee covers the </w:t>
      </w:r>
      <w:r w:rsidR="005E5EE0" w:rsidRPr="00EE100D">
        <w:rPr>
          <w:rFonts w:ascii="Arial" w:hAnsi="Arial" w:cs="Arial"/>
        </w:rPr>
        <w:t>SCID</w:t>
      </w:r>
      <w:r w:rsidRPr="00EE100D">
        <w:rPr>
          <w:rFonts w:ascii="Arial" w:hAnsi="Arial" w:cs="Arial"/>
        </w:rPr>
        <w:t xml:space="preserve"> </w:t>
      </w:r>
      <w:r w:rsidR="00446E6F">
        <w:rPr>
          <w:rFonts w:ascii="Arial" w:hAnsi="Arial" w:cs="Arial"/>
        </w:rPr>
        <w:t xml:space="preserve">certification service </w:t>
      </w:r>
      <w:r w:rsidRPr="00EE100D">
        <w:rPr>
          <w:rFonts w:ascii="Arial" w:hAnsi="Arial" w:cs="Arial"/>
        </w:rPr>
        <w:t xml:space="preserve">request, </w:t>
      </w:r>
      <w:r w:rsidR="00741A74" w:rsidRPr="00EE100D">
        <w:rPr>
          <w:rFonts w:ascii="Arial" w:hAnsi="Arial" w:cs="Arial"/>
        </w:rPr>
        <w:t xml:space="preserve">review, </w:t>
      </w:r>
      <w:r w:rsidRPr="00EE100D">
        <w:rPr>
          <w:rFonts w:ascii="Arial" w:hAnsi="Arial" w:cs="Arial"/>
        </w:rPr>
        <w:t xml:space="preserve">issuance, </w:t>
      </w:r>
      <w:r w:rsidR="00741A74" w:rsidRPr="00EE100D">
        <w:rPr>
          <w:rFonts w:ascii="Arial" w:hAnsi="Arial" w:cs="Arial"/>
        </w:rPr>
        <w:t>modification, maintenance and c</w:t>
      </w:r>
      <w:r w:rsidRPr="00EE100D">
        <w:rPr>
          <w:rFonts w:ascii="Arial" w:hAnsi="Arial" w:cs="Arial"/>
        </w:rPr>
        <w:t>learing</w:t>
      </w:r>
      <w:r w:rsidR="00741A74" w:rsidRPr="00EE100D">
        <w:rPr>
          <w:rFonts w:ascii="Arial" w:hAnsi="Arial" w:cs="Arial"/>
        </w:rPr>
        <w:t xml:space="preserve"> process. </w:t>
      </w:r>
    </w:p>
    <w:p w14:paraId="7066C3AD" w14:textId="77777777" w:rsidR="00441D38" w:rsidRDefault="00441D38" w:rsidP="00CA52B2">
      <w:pPr>
        <w:pStyle w:val="Heading2"/>
        <w:rPr>
          <w:rFonts w:ascii="Arial" w:hAnsi="Arial" w:cs="Arial"/>
          <w:color w:val="595D64"/>
          <w:sz w:val="28"/>
          <w:szCs w:val="28"/>
        </w:rPr>
      </w:pPr>
    </w:p>
    <w:p w14:paraId="19BA00B3" w14:textId="31ED1C63" w:rsidR="00E97A70" w:rsidRPr="00EE100D" w:rsidRDefault="00E97A70" w:rsidP="00CA52B2">
      <w:pPr>
        <w:pStyle w:val="Heading2"/>
        <w:rPr>
          <w:rFonts w:ascii="Arial" w:hAnsi="Arial" w:cs="Arial"/>
          <w:color w:val="595D64"/>
          <w:sz w:val="28"/>
          <w:szCs w:val="28"/>
        </w:rPr>
      </w:pPr>
      <w:bookmarkStart w:id="8" w:name="_Toc170739891"/>
      <w:r w:rsidRPr="00EE100D">
        <w:rPr>
          <w:rFonts w:ascii="Arial" w:hAnsi="Arial" w:cs="Arial"/>
          <w:color w:val="595D64"/>
          <w:sz w:val="28"/>
          <w:szCs w:val="28"/>
        </w:rPr>
        <w:t>Features</w:t>
      </w:r>
      <w:r w:rsidR="002A2415" w:rsidRPr="00EE100D">
        <w:rPr>
          <w:rFonts w:ascii="Arial" w:hAnsi="Arial" w:cs="Arial"/>
          <w:color w:val="595D64"/>
          <w:sz w:val="28"/>
          <w:szCs w:val="28"/>
        </w:rPr>
        <w:t xml:space="preserve"> &amp; Benefits</w:t>
      </w:r>
      <w:bookmarkEnd w:id="8"/>
    </w:p>
    <w:p w14:paraId="6DB9C2B6" w14:textId="7299F11D" w:rsidR="00675157" w:rsidRPr="00EE100D" w:rsidRDefault="00675157" w:rsidP="00675157">
      <w:pPr>
        <w:rPr>
          <w:rFonts w:ascii="Arial" w:hAnsi="Arial" w:cs="Arial"/>
        </w:rPr>
      </w:pPr>
      <w:r w:rsidRPr="00EE100D">
        <w:rPr>
          <w:rFonts w:ascii="Arial" w:hAnsi="Arial" w:cs="Arial"/>
        </w:rPr>
        <w:t>Unique</w:t>
      </w:r>
      <w:r w:rsidR="00A04A95" w:rsidRPr="00EE100D">
        <w:rPr>
          <w:rFonts w:ascii="Arial" w:hAnsi="Arial" w:cs="Arial"/>
        </w:rPr>
        <w:t xml:space="preserve"> </w:t>
      </w:r>
      <w:r w:rsidR="005173FC" w:rsidRPr="00EE100D">
        <w:rPr>
          <w:rFonts w:ascii="Arial" w:hAnsi="Arial" w:cs="Arial"/>
        </w:rPr>
        <w:t>Spatiotemporal</w:t>
      </w:r>
      <w:r w:rsidR="00402740" w:rsidRPr="00EE100D">
        <w:rPr>
          <w:rFonts w:ascii="Arial" w:hAnsi="Arial" w:cs="Arial"/>
        </w:rPr>
        <w:t xml:space="preserve"> Claim</w:t>
      </w:r>
      <w:r w:rsidRPr="00EE100D">
        <w:rPr>
          <w:rFonts w:ascii="Arial" w:hAnsi="Arial" w:cs="Arial"/>
        </w:rPr>
        <w:t xml:space="preserve"> Identification</w:t>
      </w:r>
      <w:r w:rsidR="00775D4B" w:rsidRPr="00EE100D">
        <w:rPr>
          <w:rFonts w:ascii="Arial" w:hAnsi="Arial" w:cs="Arial"/>
        </w:rPr>
        <w:t xml:space="preserve"> (</w:t>
      </w:r>
      <w:r w:rsidR="005E5EE0" w:rsidRPr="00EE100D">
        <w:rPr>
          <w:rFonts w:ascii="Arial" w:hAnsi="Arial" w:cs="Arial"/>
        </w:rPr>
        <w:t>SCID</w:t>
      </w:r>
      <w:r w:rsidR="00775D4B" w:rsidRPr="00EE100D">
        <w:rPr>
          <w:rFonts w:ascii="Arial" w:hAnsi="Arial" w:cs="Arial"/>
        </w:rPr>
        <w:t>)</w:t>
      </w:r>
      <w:r w:rsidR="00C3723D">
        <w:rPr>
          <w:rFonts w:ascii="Arial" w:hAnsi="Arial" w:cs="Arial"/>
        </w:rPr>
        <w:t xml:space="preserve"> Certificate</w:t>
      </w:r>
      <w:r w:rsidRPr="00EE100D">
        <w:rPr>
          <w:rFonts w:ascii="Arial" w:hAnsi="Arial" w:cs="Arial"/>
        </w:rPr>
        <w:t xml:space="preserve">: </w:t>
      </w:r>
      <w:r w:rsidR="008333A2" w:rsidRPr="00EE100D">
        <w:rPr>
          <w:rFonts w:ascii="Arial" w:hAnsi="Arial" w:cs="Arial"/>
        </w:rPr>
        <w:t>24-digit</w:t>
      </w:r>
      <w:r w:rsidRPr="00EE100D">
        <w:rPr>
          <w:rFonts w:ascii="Arial" w:hAnsi="Arial" w:cs="Arial"/>
        </w:rPr>
        <w:t xml:space="preserve"> identifiers </w:t>
      </w:r>
      <w:r w:rsidR="005F71DC">
        <w:rPr>
          <w:rFonts w:ascii="Arial" w:hAnsi="Arial" w:cs="Arial"/>
        </w:rPr>
        <w:t xml:space="preserve">embedded in digital certificate </w:t>
      </w:r>
      <w:r w:rsidRPr="00EE100D">
        <w:rPr>
          <w:rFonts w:ascii="Arial" w:hAnsi="Arial" w:cs="Arial"/>
        </w:rPr>
        <w:t xml:space="preserve">uniquely identify specific </w:t>
      </w:r>
      <w:r w:rsidR="008333A2" w:rsidRPr="00EE100D">
        <w:rPr>
          <w:rFonts w:ascii="Arial" w:hAnsi="Arial" w:cs="Arial"/>
        </w:rPr>
        <w:t>environmental claims</w:t>
      </w:r>
      <w:r w:rsidR="005F71DC">
        <w:rPr>
          <w:rFonts w:ascii="Arial" w:hAnsi="Arial" w:cs="Arial"/>
        </w:rPr>
        <w:t xml:space="preserve"> and</w:t>
      </w:r>
      <w:r w:rsidR="008F3579">
        <w:rPr>
          <w:rFonts w:ascii="Arial" w:hAnsi="Arial" w:cs="Arial"/>
        </w:rPr>
        <w:t xml:space="preserve"> </w:t>
      </w:r>
      <w:r w:rsidRPr="00EE100D">
        <w:rPr>
          <w:rFonts w:ascii="Arial" w:hAnsi="Arial" w:cs="Arial"/>
        </w:rPr>
        <w:t>their issuers</w:t>
      </w:r>
      <w:r w:rsidR="008F3579">
        <w:rPr>
          <w:rFonts w:ascii="Arial" w:hAnsi="Arial" w:cs="Arial"/>
        </w:rPr>
        <w:t xml:space="preserve"> </w:t>
      </w:r>
      <w:r w:rsidR="007B66D1">
        <w:rPr>
          <w:rFonts w:ascii="Arial" w:hAnsi="Arial" w:cs="Arial"/>
        </w:rPr>
        <w:t>to</w:t>
      </w:r>
      <w:r w:rsidR="00ED1258" w:rsidRPr="00EE100D">
        <w:rPr>
          <w:rFonts w:ascii="Arial" w:hAnsi="Arial" w:cs="Arial"/>
        </w:rPr>
        <w:t xml:space="preserve"> support</w:t>
      </w:r>
      <w:r w:rsidR="007B66D1">
        <w:rPr>
          <w:rFonts w:ascii="Arial" w:hAnsi="Arial" w:cs="Arial"/>
        </w:rPr>
        <w:t xml:space="preserve"> </w:t>
      </w:r>
      <w:r w:rsidR="00ED1258" w:rsidRPr="00EE100D">
        <w:rPr>
          <w:rFonts w:ascii="Arial" w:hAnsi="Arial" w:cs="Arial"/>
        </w:rPr>
        <w:t>effic</w:t>
      </w:r>
      <w:r w:rsidR="00D348A1" w:rsidRPr="00EE100D">
        <w:rPr>
          <w:rFonts w:ascii="Arial" w:hAnsi="Arial" w:cs="Arial"/>
        </w:rPr>
        <w:t xml:space="preserve">ient and reliable </w:t>
      </w:r>
      <w:r w:rsidR="008F3579">
        <w:rPr>
          <w:rFonts w:ascii="Arial" w:hAnsi="Arial" w:cs="Arial"/>
        </w:rPr>
        <w:t xml:space="preserve">underwriting, </w:t>
      </w:r>
      <w:r w:rsidR="00F9776E">
        <w:rPr>
          <w:rFonts w:ascii="Arial" w:hAnsi="Arial" w:cs="Arial"/>
        </w:rPr>
        <w:t xml:space="preserve">verify, </w:t>
      </w:r>
      <w:r w:rsidR="00D348A1" w:rsidRPr="00EE100D">
        <w:rPr>
          <w:rFonts w:ascii="Arial" w:hAnsi="Arial" w:cs="Arial"/>
        </w:rPr>
        <w:t>trading, settle</w:t>
      </w:r>
      <w:r w:rsidR="00F9776E">
        <w:rPr>
          <w:rFonts w:ascii="Arial" w:hAnsi="Arial" w:cs="Arial"/>
        </w:rPr>
        <w:t>ment</w:t>
      </w:r>
      <w:r w:rsidR="00D348A1" w:rsidRPr="00EE100D">
        <w:rPr>
          <w:rFonts w:ascii="Arial" w:hAnsi="Arial" w:cs="Arial"/>
        </w:rPr>
        <w:t xml:space="preserve">, </w:t>
      </w:r>
      <w:r w:rsidR="00B75F91" w:rsidRPr="00EE100D">
        <w:rPr>
          <w:rFonts w:ascii="Arial" w:hAnsi="Arial" w:cs="Arial"/>
        </w:rPr>
        <w:t xml:space="preserve">and clearing. </w:t>
      </w:r>
      <w:r w:rsidR="00D348A1" w:rsidRPr="00EE100D">
        <w:rPr>
          <w:rFonts w:ascii="Arial" w:hAnsi="Arial" w:cs="Arial"/>
        </w:rPr>
        <w:t xml:space="preserve"> </w:t>
      </w:r>
    </w:p>
    <w:p w14:paraId="0A6FC006" w14:textId="71605B97" w:rsidR="00675157" w:rsidRPr="00EE100D" w:rsidRDefault="005E5EE0" w:rsidP="00675157">
      <w:pPr>
        <w:rPr>
          <w:rFonts w:ascii="Arial" w:hAnsi="Arial" w:cs="Arial"/>
        </w:rPr>
      </w:pPr>
      <w:r w:rsidRPr="00EE100D">
        <w:rPr>
          <w:rFonts w:ascii="Arial" w:hAnsi="Arial" w:cs="Arial"/>
        </w:rPr>
        <w:t>SCID</w:t>
      </w:r>
      <w:r w:rsidR="00F67988" w:rsidRPr="00EE100D">
        <w:rPr>
          <w:rFonts w:ascii="Arial" w:hAnsi="Arial" w:cs="Arial"/>
        </w:rPr>
        <w:t xml:space="preserve"> </w:t>
      </w:r>
      <w:r w:rsidR="00675157" w:rsidRPr="00EE100D">
        <w:rPr>
          <w:rFonts w:ascii="Arial" w:hAnsi="Arial" w:cs="Arial"/>
        </w:rPr>
        <w:t xml:space="preserve">Issuance and Management: Simple online application </w:t>
      </w:r>
      <w:r w:rsidR="00F67988" w:rsidRPr="00EE100D">
        <w:rPr>
          <w:rFonts w:ascii="Arial" w:hAnsi="Arial" w:cs="Arial"/>
        </w:rPr>
        <w:t xml:space="preserve">request </w:t>
      </w:r>
      <w:r w:rsidR="00675157" w:rsidRPr="00EE100D">
        <w:rPr>
          <w:rFonts w:ascii="Arial" w:hAnsi="Arial" w:cs="Arial"/>
        </w:rPr>
        <w:t xml:space="preserve">process; </w:t>
      </w:r>
      <w:r w:rsidRPr="00EE100D">
        <w:rPr>
          <w:rFonts w:ascii="Arial" w:hAnsi="Arial" w:cs="Arial"/>
        </w:rPr>
        <w:t>SCID</w:t>
      </w:r>
      <w:r w:rsidR="001937FB">
        <w:rPr>
          <w:rFonts w:ascii="Arial" w:hAnsi="Arial" w:cs="Arial"/>
        </w:rPr>
        <w:t xml:space="preserve"> certificates</w:t>
      </w:r>
      <w:r w:rsidR="00675157" w:rsidRPr="00EE100D">
        <w:rPr>
          <w:rFonts w:ascii="Arial" w:hAnsi="Arial" w:cs="Arial"/>
        </w:rPr>
        <w:t xml:space="preserve"> created and distributed in real-time.</w:t>
      </w:r>
    </w:p>
    <w:p w14:paraId="7C265C0D" w14:textId="31C375F3" w:rsidR="00675157" w:rsidRPr="00EE100D" w:rsidRDefault="00675157" w:rsidP="00675157">
      <w:pPr>
        <w:rPr>
          <w:rFonts w:ascii="Arial" w:hAnsi="Arial" w:cs="Arial"/>
        </w:rPr>
      </w:pPr>
      <w:r w:rsidRPr="00EE100D">
        <w:rPr>
          <w:rFonts w:ascii="Arial" w:hAnsi="Arial" w:cs="Arial"/>
        </w:rPr>
        <w:t xml:space="preserve">Global Standardization: </w:t>
      </w:r>
      <w:r w:rsidR="00000FBE" w:rsidRPr="00EE100D">
        <w:rPr>
          <w:rFonts w:ascii="Arial" w:hAnsi="Arial" w:cs="Arial"/>
        </w:rPr>
        <w:t xml:space="preserve">Creating a common language for </w:t>
      </w:r>
      <w:r w:rsidR="00F9776E">
        <w:rPr>
          <w:rFonts w:ascii="Arial" w:hAnsi="Arial" w:cs="Arial"/>
        </w:rPr>
        <w:t xml:space="preserve">underwriting, </w:t>
      </w:r>
      <w:r w:rsidR="00100B55">
        <w:rPr>
          <w:rFonts w:ascii="Arial" w:hAnsi="Arial" w:cs="Arial"/>
        </w:rPr>
        <w:t xml:space="preserve">verifying, </w:t>
      </w:r>
      <w:r w:rsidR="007E3DF8" w:rsidRPr="00EE100D">
        <w:rPr>
          <w:rFonts w:ascii="Arial" w:hAnsi="Arial" w:cs="Arial"/>
        </w:rPr>
        <w:t xml:space="preserve">trading, </w:t>
      </w:r>
      <w:r w:rsidR="005C0B46" w:rsidRPr="00EE100D">
        <w:rPr>
          <w:rFonts w:ascii="Arial" w:hAnsi="Arial" w:cs="Arial"/>
        </w:rPr>
        <w:t>tracing,</w:t>
      </w:r>
      <w:r w:rsidR="007E3DF8" w:rsidRPr="00EE100D">
        <w:rPr>
          <w:rFonts w:ascii="Arial" w:hAnsi="Arial" w:cs="Arial"/>
        </w:rPr>
        <w:t xml:space="preserve"> and tracking environmental claims</w:t>
      </w:r>
      <w:r w:rsidRPr="00EE100D">
        <w:rPr>
          <w:rFonts w:ascii="Arial" w:hAnsi="Arial" w:cs="Arial"/>
        </w:rPr>
        <w:t>.</w:t>
      </w:r>
    </w:p>
    <w:p w14:paraId="4D442146" w14:textId="3290C5A4" w:rsidR="00C80BFC" w:rsidRPr="00EE100D" w:rsidRDefault="00675157" w:rsidP="00675157">
      <w:pPr>
        <w:rPr>
          <w:rFonts w:ascii="Arial" w:hAnsi="Arial" w:cs="Arial"/>
        </w:rPr>
      </w:pPr>
      <w:r w:rsidRPr="00EE100D">
        <w:rPr>
          <w:rFonts w:ascii="Arial" w:hAnsi="Arial" w:cs="Arial"/>
        </w:rPr>
        <w:t xml:space="preserve">Extensibility and Flexibility: Adapts to various and evolving </w:t>
      </w:r>
      <w:r w:rsidR="00C3552E" w:rsidRPr="00EE100D">
        <w:rPr>
          <w:rFonts w:ascii="Arial" w:hAnsi="Arial" w:cs="Arial"/>
        </w:rPr>
        <w:t>ecosystem services market programs, projects</w:t>
      </w:r>
      <w:r w:rsidR="009F5B92" w:rsidRPr="00EE100D">
        <w:rPr>
          <w:rFonts w:ascii="Arial" w:hAnsi="Arial" w:cs="Arial"/>
        </w:rPr>
        <w:t xml:space="preserve">, </w:t>
      </w:r>
      <w:r w:rsidR="00C3552E" w:rsidRPr="00EE100D">
        <w:rPr>
          <w:rFonts w:ascii="Arial" w:hAnsi="Arial" w:cs="Arial"/>
        </w:rPr>
        <w:t>initiatives</w:t>
      </w:r>
      <w:r w:rsidR="009F5B92" w:rsidRPr="00EE100D">
        <w:rPr>
          <w:rFonts w:ascii="Arial" w:hAnsi="Arial" w:cs="Arial"/>
        </w:rPr>
        <w:t xml:space="preserve"> and standards. </w:t>
      </w:r>
    </w:p>
    <w:p w14:paraId="1547366F" w14:textId="46CD58B8" w:rsidR="00675157" w:rsidRPr="00EE100D" w:rsidRDefault="00675157" w:rsidP="00675157">
      <w:pPr>
        <w:rPr>
          <w:rFonts w:ascii="Arial" w:hAnsi="Arial" w:cs="Arial"/>
        </w:rPr>
      </w:pPr>
      <w:r w:rsidRPr="00EE100D">
        <w:rPr>
          <w:rFonts w:ascii="Arial" w:hAnsi="Arial" w:cs="Arial"/>
        </w:rPr>
        <w:t xml:space="preserve">Data Accessibility: Detailed issuer and </w:t>
      </w:r>
      <w:r w:rsidR="005E5EE0" w:rsidRPr="00EE100D">
        <w:rPr>
          <w:rFonts w:ascii="Arial" w:hAnsi="Arial" w:cs="Arial"/>
        </w:rPr>
        <w:t>SCID</w:t>
      </w:r>
      <w:r w:rsidRPr="00EE100D">
        <w:rPr>
          <w:rFonts w:ascii="Arial" w:hAnsi="Arial" w:cs="Arial"/>
        </w:rPr>
        <w:t xml:space="preserve"> data, regularly updated and easily accessible.</w:t>
      </w:r>
    </w:p>
    <w:p w14:paraId="6800021C" w14:textId="1D32F557" w:rsidR="00675157" w:rsidRPr="00EE100D" w:rsidRDefault="00675157" w:rsidP="00675157">
      <w:pPr>
        <w:rPr>
          <w:rFonts w:ascii="Arial" w:hAnsi="Arial" w:cs="Arial"/>
        </w:rPr>
      </w:pPr>
      <w:r w:rsidRPr="00EE100D">
        <w:rPr>
          <w:rFonts w:ascii="Arial" w:hAnsi="Arial" w:cs="Arial"/>
        </w:rPr>
        <w:t>Efficien</w:t>
      </w:r>
      <w:r w:rsidR="00BF639B">
        <w:rPr>
          <w:rFonts w:ascii="Arial" w:hAnsi="Arial" w:cs="Arial"/>
        </w:rPr>
        <w:t xml:space="preserve">cy in Critical Process: </w:t>
      </w:r>
      <w:r w:rsidRPr="00EE100D">
        <w:rPr>
          <w:rFonts w:ascii="Arial" w:hAnsi="Arial" w:cs="Arial"/>
        </w:rPr>
        <w:t xml:space="preserve">Crucial for error-free </w:t>
      </w:r>
      <w:r w:rsidR="00FE461C">
        <w:rPr>
          <w:rFonts w:ascii="Arial" w:hAnsi="Arial" w:cs="Arial"/>
        </w:rPr>
        <w:t xml:space="preserve">operations related to </w:t>
      </w:r>
      <w:r w:rsidR="00BF639B">
        <w:rPr>
          <w:rFonts w:ascii="Arial" w:hAnsi="Arial" w:cs="Arial"/>
        </w:rPr>
        <w:t xml:space="preserve">environmental asset underwriting, </w:t>
      </w:r>
      <w:r w:rsidR="001B24A3">
        <w:rPr>
          <w:rFonts w:ascii="Arial" w:hAnsi="Arial" w:cs="Arial"/>
        </w:rPr>
        <w:t xml:space="preserve">trading and settlement. </w:t>
      </w:r>
    </w:p>
    <w:p w14:paraId="1A672617" w14:textId="44813C50" w:rsidR="0008086F" w:rsidRPr="00EE100D" w:rsidRDefault="00D71C0A">
      <w:pPr>
        <w:rPr>
          <w:rFonts w:ascii="Arial" w:hAnsi="Arial" w:cs="Arial"/>
        </w:rPr>
      </w:pPr>
      <w:r w:rsidRPr="00EE100D">
        <w:rPr>
          <w:rFonts w:ascii="Arial" w:hAnsi="Arial" w:cs="Arial"/>
        </w:rPr>
        <w:t xml:space="preserve">Increasingly </w:t>
      </w:r>
      <w:r w:rsidR="007D375B" w:rsidRPr="00EE100D">
        <w:rPr>
          <w:rFonts w:ascii="Arial" w:hAnsi="Arial" w:cs="Arial"/>
        </w:rPr>
        <w:t>u</w:t>
      </w:r>
      <w:r w:rsidRPr="00EE100D">
        <w:rPr>
          <w:rFonts w:ascii="Arial" w:hAnsi="Arial" w:cs="Arial"/>
        </w:rPr>
        <w:t xml:space="preserve">tilized by </w:t>
      </w:r>
      <w:r w:rsidR="00333F6F" w:rsidRPr="00EE100D">
        <w:rPr>
          <w:rFonts w:ascii="Arial" w:hAnsi="Arial" w:cs="Arial"/>
        </w:rPr>
        <w:t xml:space="preserve">leading Environmental Market Asset Managers, </w:t>
      </w:r>
      <w:r w:rsidR="00C330BC" w:rsidRPr="00EE100D">
        <w:rPr>
          <w:rFonts w:ascii="Arial" w:hAnsi="Arial" w:cs="Arial"/>
        </w:rPr>
        <w:t xml:space="preserve">Carbon </w:t>
      </w:r>
      <w:proofErr w:type="spellStart"/>
      <w:r w:rsidR="00C330BC" w:rsidRPr="00EE100D">
        <w:rPr>
          <w:rFonts w:ascii="Arial" w:hAnsi="Arial" w:cs="Arial"/>
        </w:rPr>
        <w:t>Mgmt</w:t>
      </w:r>
      <w:proofErr w:type="spellEnd"/>
      <w:r w:rsidR="00C330BC" w:rsidRPr="00EE100D">
        <w:rPr>
          <w:rFonts w:ascii="Arial" w:hAnsi="Arial" w:cs="Arial"/>
        </w:rPr>
        <w:t xml:space="preserve"> Platforms, </w:t>
      </w:r>
      <w:r w:rsidR="00333F6F" w:rsidRPr="00EE100D">
        <w:rPr>
          <w:rFonts w:ascii="Arial" w:hAnsi="Arial" w:cs="Arial"/>
        </w:rPr>
        <w:t xml:space="preserve">Data Custodians, Climate-Smart Projects, Scope 3 Programs, and </w:t>
      </w:r>
      <w:r w:rsidR="007D375B" w:rsidRPr="00EE100D">
        <w:rPr>
          <w:rFonts w:ascii="Arial" w:hAnsi="Arial" w:cs="Arial"/>
        </w:rPr>
        <w:t xml:space="preserve">Biofuel Certification Programs. </w:t>
      </w:r>
    </w:p>
    <w:p w14:paraId="6B4CDC2C" w14:textId="28C3AA8F" w:rsidR="007B3279" w:rsidRPr="00EE100D" w:rsidRDefault="00E97A70" w:rsidP="00071611">
      <w:pPr>
        <w:pStyle w:val="Heading2"/>
        <w:rPr>
          <w:rFonts w:ascii="Arial" w:hAnsi="Arial" w:cs="Arial"/>
          <w:color w:val="595D64"/>
          <w:sz w:val="28"/>
          <w:szCs w:val="28"/>
        </w:rPr>
      </w:pPr>
      <w:bookmarkStart w:id="9" w:name="_Toc170739892"/>
      <w:r w:rsidRPr="00EE100D">
        <w:rPr>
          <w:rFonts w:ascii="Arial" w:hAnsi="Arial" w:cs="Arial"/>
          <w:color w:val="595D64"/>
          <w:sz w:val="28"/>
          <w:szCs w:val="28"/>
        </w:rPr>
        <w:t>Data</w:t>
      </w:r>
      <w:bookmarkEnd w:id="9"/>
    </w:p>
    <w:p w14:paraId="7BBE2FC1" w14:textId="52D1A6F5" w:rsidR="00071611" w:rsidRPr="00EE100D" w:rsidRDefault="00071611">
      <w:pPr>
        <w:rPr>
          <w:rFonts w:ascii="Arial" w:hAnsi="Arial" w:cs="Arial"/>
          <w:i/>
          <w:iCs/>
        </w:rPr>
        <w:sectPr w:rsidR="00071611" w:rsidRPr="00EE100D" w:rsidSect="001A3922">
          <w:headerReference w:type="default" r:id="rId12"/>
          <w:footerReference w:type="default" r:id="rId13"/>
          <w:pgSz w:w="12240" w:h="15840"/>
          <w:pgMar w:top="1440" w:right="1440" w:bottom="1440" w:left="1440" w:header="720" w:footer="720" w:gutter="0"/>
          <w:pgNumType w:start="0"/>
          <w:cols w:space="720"/>
          <w:titlePg/>
          <w:docGrid w:linePitch="360"/>
        </w:sectPr>
      </w:pPr>
      <w:r w:rsidRPr="00EE100D">
        <w:rPr>
          <w:rFonts w:ascii="Arial" w:hAnsi="Arial" w:cs="Arial"/>
        </w:rPr>
        <w:t>General</w:t>
      </w:r>
      <w:r w:rsidR="00233413" w:rsidRPr="00EE100D">
        <w:rPr>
          <w:rFonts w:ascii="Arial" w:hAnsi="Arial" w:cs="Arial"/>
        </w:rPr>
        <w:t xml:space="preserve"> </w:t>
      </w:r>
      <w:r w:rsidR="00233413" w:rsidRPr="00EE100D">
        <w:rPr>
          <w:rFonts w:ascii="Arial" w:hAnsi="Arial" w:cs="Arial"/>
          <w:i/>
          <w:iCs/>
        </w:rPr>
        <w:t>(required)</w:t>
      </w:r>
    </w:p>
    <w:p w14:paraId="5C92EB33" w14:textId="503EB432" w:rsidR="001C49B8" w:rsidRPr="00EE100D" w:rsidRDefault="007B3279"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24</w:t>
      </w:r>
      <w:r w:rsidR="006042E2" w:rsidRPr="00EE100D">
        <w:rPr>
          <w:rFonts w:ascii="Arial" w:hAnsi="Arial" w:cs="Arial"/>
        </w:rPr>
        <w:t xml:space="preserve">-character </w:t>
      </w:r>
      <w:r w:rsidR="005E5EE0" w:rsidRPr="00EE100D">
        <w:rPr>
          <w:rFonts w:ascii="Arial" w:hAnsi="Arial" w:cs="Arial"/>
        </w:rPr>
        <w:t>SCID</w:t>
      </w:r>
      <w:r w:rsidR="006042E2" w:rsidRPr="00EE100D">
        <w:rPr>
          <w:rFonts w:ascii="Arial" w:hAnsi="Arial" w:cs="Arial"/>
        </w:rPr>
        <w:t xml:space="preserve"> Identifier</w:t>
      </w:r>
    </w:p>
    <w:p w14:paraId="394A4F47" w14:textId="624D3462" w:rsidR="00580B64" w:rsidRPr="00EE100D" w:rsidRDefault="007E5725" w:rsidP="00580B64">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Geospatial coordinates </w:t>
      </w:r>
    </w:p>
    <w:p w14:paraId="51FA373D" w14:textId="7B196BFA" w:rsidR="00580B64" w:rsidRPr="000A6021" w:rsidRDefault="00580B64" w:rsidP="00580B64">
      <w:pPr>
        <w:pStyle w:val="ListParagraph"/>
        <w:numPr>
          <w:ilvl w:val="0"/>
          <w:numId w:val="7"/>
        </w:numPr>
        <w:rPr>
          <w:rFonts w:ascii="Arial" w:hAnsi="Arial" w:cs="Arial"/>
          <w:color w:val="0F4761" w:themeColor="accent1" w:themeShade="BF"/>
          <w:sz w:val="28"/>
          <w:szCs w:val="28"/>
        </w:rPr>
      </w:pPr>
      <w:r w:rsidRPr="00EE100D">
        <w:rPr>
          <w:rFonts w:ascii="Arial" w:hAnsi="Arial" w:cs="Arial"/>
        </w:rPr>
        <w:t>Attribute</w:t>
      </w:r>
      <w:r w:rsidR="00A3451B" w:rsidRPr="00EE100D">
        <w:rPr>
          <w:rFonts w:ascii="Arial" w:hAnsi="Arial" w:cs="Arial"/>
        </w:rPr>
        <w:t xml:space="preserve"> Type(s) </w:t>
      </w:r>
    </w:p>
    <w:p w14:paraId="2A3F4FC2" w14:textId="77777777" w:rsidR="000A6021" w:rsidRPr="00EE100D" w:rsidRDefault="000A6021" w:rsidP="000A6021">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Quantity of Attribute(s) </w:t>
      </w:r>
    </w:p>
    <w:p w14:paraId="04B18B72" w14:textId="452D68D0" w:rsidR="000A6021" w:rsidRPr="002C3C71" w:rsidRDefault="000A6021"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Unit of Attribute(s) </w:t>
      </w:r>
    </w:p>
    <w:p w14:paraId="4FDE3C44" w14:textId="727AC160" w:rsidR="0048466E" w:rsidRPr="00EE100D" w:rsidRDefault="0048466E"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Contract Start Date </w:t>
      </w:r>
    </w:p>
    <w:p w14:paraId="34CF9F5D" w14:textId="09CE1463" w:rsidR="0048466E" w:rsidRPr="00EE100D" w:rsidRDefault="0048466E"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Contract End Date </w:t>
      </w:r>
    </w:p>
    <w:p w14:paraId="0139927F" w14:textId="4556317A" w:rsidR="00932056" w:rsidRPr="00EE100D" w:rsidRDefault="000039B6"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Issuer</w:t>
      </w:r>
      <w:r w:rsidR="00932056" w:rsidRPr="00EE100D">
        <w:rPr>
          <w:rFonts w:ascii="Arial" w:hAnsi="Arial" w:cs="Arial"/>
        </w:rPr>
        <w:t xml:space="preserve">/Custodian ID </w:t>
      </w:r>
    </w:p>
    <w:p w14:paraId="132BDC24" w14:textId="5EE8AA57" w:rsidR="00892D9B" w:rsidRPr="00EE100D" w:rsidRDefault="00932056" w:rsidP="00F525A9">
      <w:pPr>
        <w:pStyle w:val="ListParagraph"/>
        <w:numPr>
          <w:ilvl w:val="0"/>
          <w:numId w:val="7"/>
        </w:numPr>
        <w:spacing w:after="0"/>
        <w:rPr>
          <w:rFonts w:ascii="Arial" w:hAnsi="Arial" w:cs="Arial"/>
          <w:color w:val="0F4761" w:themeColor="accent1" w:themeShade="BF"/>
          <w:sz w:val="28"/>
          <w:szCs w:val="28"/>
        </w:rPr>
        <w:sectPr w:rsidR="00892D9B" w:rsidRPr="00EE100D" w:rsidSect="00892D9B">
          <w:type w:val="continuous"/>
          <w:pgSz w:w="12240" w:h="15840"/>
          <w:pgMar w:top="1440" w:right="1440" w:bottom="1440" w:left="1440" w:header="720" w:footer="720" w:gutter="0"/>
          <w:cols w:num="2" w:space="720"/>
          <w:docGrid w:linePitch="360"/>
        </w:sectPr>
      </w:pPr>
      <w:r w:rsidRPr="00EE100D">
        <w:rPr>
          <w:rFonts w:ascii="Arial" w:hAnsi="Arial" w:cs="Arial"/>
        </w:rPr>
        <w:t xml:space="preserve">Issuer/Custodian Name </w:t>
      </w:r>
    </w:p>
    <w:p w14:paraId="20BB9A3E" w14:textId="77777777" w:rsidR="00892D9B" w:rsidRPr="00EE100D" w:rsidRDefault="00892D9B" w:rsidP="00F525A9">
      <w:pPr>
        <w:spacing w:after="0"/>
        <w:rPr>
          <w:rFonts w:ascii="Arial" w:hAnsi="Arial" w:cs="Arial"/>
        </w:rPr>
      </w:pPr>
    </w:p>
    <w:p w14:paraId="734B0521" w14:textId="0A8C4B3B" w:rsidR="00F635CA" w:rsidRPr="00EE100D" w:rsidRDefault="00AE36D4" w:rsidP="00F635CA">
      <w:pPr>
        <w:rPr>
          <w:rFonts w:ascii="Arial" w:hAnsi="Arial" w:cs="Arial"/>
        </w:rPr>
      </w:pPr>
      <w:r w:rsidRPr="00EE100D">
        <w:rPr>
          <w:rFonts w:ascii="Arial" w:hAnsi="Arial" w:cs="Arial"/>
        </w:rPr>
        <w:t xml:space="preserve">For </w:t>
      </w:r>
      <w:r w:rsidR="00F635CA" w:rsidRPr="00EE100D">
        <w:rPr>
          <w:rFonts w:ascii="Arial" w:hAnsi="Arial" w:cs="Arial"/>
        </w:rPr>
        <w:t>Carbon</w:t>
      </w:r>
      <w:r w:rsidR="0063497C" w:rsidRPr="00EE100D">
        <w:rPr>
          <w:rFonts w:ascii="Arial" w:hAnsi="Arial" w:cs="Arial"/>
        </w:rPr>
        <w:t xml:space="preserve"> &amp; Environmental</w:t>
      </w:r>
      <w:r w:rsidR="00F635CA" w:rsidRPr="00EE100D">
        <w:rPr>
          <w:rFonts w:ascii="Arial" w:hAnsi="Arial" w:cs="Arial"/>
        </w:rPr>
        <w:t xml:space="preserve"> Crediting </w:t>
      </w:r>
    </w:p>
    <w:p w14:paraId="14A90CF3" w14:textId="77777777" w:rsidR="00892D9B" w:rsidRPr="00EE100D" w:rsidRDefault="00892D9B" w:rsidP="007B3279">
      <w:pPr>
        <w:pStyle w:val="ListParagraph"/>
        <w:numPr>
          <w:ilvl w:val="0"/>
          <w:numId w:val="7"/>
        </w:numPr>
        <w:rPr>
          <w:rFonts w:ascii="Arial" w:hAnsi="Arial" w:cs="Arial"/>
        </w:rPr>
        <w:sectPr w:rsidR="00892D9B" w:rsidRPr="00EE100D" w:rsidSect="00892D9B">
          <w:type w:val="continuous"/>
          <w:pgSz w:w="12240" w:h="15840"/>
          <w:pgMar w:top="1440" w:right="1440" w:bottom="1440" w:left="1440" w:header="720" w:footer="720" w:gutter="0"/>
          <w:cols w:space="720"/>
          <w:docGrid w:linePitch="360"/>
        </w:sectPr>
      </w:pPr>
    </w:p>
    <w:p w14:paraId="23FB4BC4" w14:textId="1EDBC272" w:rsidR="001C49B8" w:rsidRPr="00EE100D" w:rsidRDefault="006042E2"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Project Name </w:t>
      </w:r>
    </w:p>
    <w:p w14:paraId="71D72755" w14:textId="6FBF4609" w:rsidR="001C49B8" w:rsidRPr="00EE100D" w:rsidRDefault="006042E2"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Activit</w:t>
      </w:r>
      <w:r w:rsidR="00986380" w:rsidRPr="00EE100D">
        <w:rPr>
          <w:rFonts w:ascii="Arial" w:hAnsi="Arial" w:cs="Arial"/>
        </w:rPr>
        <w:t xml:space="preserve">ies or </w:t>
      </w:r>
      <w:r w:rsidR="003E4CC9" w:rsidRPr="00EE100D">
        <w:rPr>
          <w:rFonts w:ascii="Arial" w:hAnsi="Arial" w:cs="Arial"/>
        </w:rPr>
        <w:t xml:space="preserve">Intervention </w:t>
      </w:r>
      <w:r w:rsidRPr="00EE100D">
        <w:rPr>
          <w:rFonts w:ascii="Arial" w:hAnsi="Arial" w:cs="Arial"/>
        </w:rPr>
        <w:t>Type</w:t>
      </w:r>
      <w:r w:rsidR="00756CF9" w:rsidRPr="00EE100D">
        <w:rPr>
          <w:rFonts w:ascii="Arial" w:hAnsi="Arial" w:cs="Arial"/>
        </w:rPr>
        <w:t xml:space="preserve"> </w:t>
      </w:r>
    </w:p>
    <w:p w14:paraId="391D5548" w14:textId="3B0BC54C" w:rsidR="001C49B8" w:rsidRPr="00EE100D" w:rsidRDefault="006042E2"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Registry </w:t>
      </w:r>
    </w:p>
    <w:p w14:paraId="1B6BADD1" w14:textId="591A6C23" w:rsidR="001C49B8" w:rsidRPr="00EE100D" w:rsidRDefault="00872B27"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GHG </w:t>
      </w:r>
      <w:r w:rsidR="006042E2" w:rsidRPr="00EE100D">
        <w:rPr>
          <w:rFonts w:ascii="Arial" w:hAnsi="Arial" w:cs="Arial"/>
        </w:rPr>
        <w:t>Type</w:t>
      </w:r>
      <w:r w:rsidR="00A059BF">
        <w:rPr>
          <w:rFonts w:ascii="Arial" w:hAnsi="Arial" w:cs="Arial"/>
        </w:rPr>
        <w:t>(s)</w:t>
      </w:r>
    </w:p>
    <w:p w14:paraId="51263826" w14:textId="650C2DE2" w:rsidR="00483BDF" w:rsidRPr="00EE100D" w:rsidRDefault="00483BDF" w:rsidP="007B3279">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Removal Flag </w:t>
      </w:r>
    </w:p>
    <w:p w14:paraId="6C7BCC60" w14:textId="6D93DE23" w:rsidR="00892D9B" w:rsidRPr="00EE100D" w:rsidRDefault="00892D9B" w:rsidP="00892D9B">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Reduction Flag </w:t>
      </w:r>
    </w:p>
    <w:p w14:paraId="645C7017" w14:textId="5D146B5C" w:rsidR="00892D9B" w:rsidRPr="00EE100D" w:rsidRDefault="00892D9B" w:rsidP="00892D9B">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Registry Link </w:t>
      </w:r>
    </w:p>
    <w:p w14:paraId="49450DE1" w14:textId="517F066B" w:rsidR="00892D9B" w:rsidRPr="00EE100D" w:rsidRDefault="00892D9B" w:rsidP="00892D9B">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Sector </w:t>
      </w:r>
    </w:p>
    <w:p w14:paraId="79323D50" w14:textId="673D96FB" w:rsidR="00892D9B" w:rsidRPr="00EE100D" w:rsidRDefault="00892D9B" w:rsidP="00892D9B">
      <w:pPr>
        <w:pStyle w:val="ListParagraph"/>
        <w:numPr>
          <w:ilvl w:val="0"/>
          <w:numId w:val="7"/>
        </w:numPr>
        <w:rPr>
          <w:rFonts w:ascii="Arial" w:hAnsi="Arial" w:cs="Arial"/>
          <w:color w:val="0F4761" w:themeColor="accent1" w:themeShade="BF"/>
          <w:sz w:val="28"/>
          <w:szCs w:val="28"/>
        </w:rPr>
      </w:pPr>
      <w:r w:rsidRPr="00EE100D">
        <w:rPr>
          <w:rFonts w:ascii="Arial" w:hAnsi="Arial" w:cs="Arial"/>
        </w:rPr>
        <w:t xml:space="preserve">Sector Group </w:t>
      </w:r>
    </w:p>
    <w:p w14:paraId="17671855" w14:textId="0D77D154"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Project Type </w:t>
      </w:r>
    </w:p>
    <w:p w14:paraId="26464379" w14:textId="113E287D" w:rsidR="00AE36D4"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Sub Sector Classification </w:t>
      </w:r>
    </w:p>
    <w:p w14:paraId="1EA7BC79" w14:textId="60F6F7CF"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Developer Name </w:t>
      </w:r>
    </w:p>
    <w:p w14:paraId="38DFBDC9" w14:textId="34B89DBF"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First Credit Issuance Date </w:t>
      </w:r>
    </w:p>
    <w:p w14:paraId="7A808CBA" w14:textId="023B09F6"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Country </w:t>
      </w:r>
    </w:p>
    <w:p w14:paraId="30A3AB11" w14:textId="32CDC121"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Rating </w:t>
      </w:r>
    </w:p>
    <w:p w14:paraId="11E66972" w14:textId="208C4103"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Verification Status </w:t>
      </w:r>
    </w:p>
    <w:p w14:paraId="4F67EBB7" w14:textId="517B884C"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Third-Party Verification Flag </w:t>
      </w:r>
    </w:p>
    <w:p w14:paraId="60CAB940" w14:textId="1CC01348"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Third-Party Verifier Name </w:t>
      </w:r>
    </w:p>
    <w:p w14:paraId="5C31AA0F" w14:textId="59EFBD0C" w:rsidR="00892D9B" w:rsidRPr="00EE100D" w:rsidRDefault="00892D9B" w:rsidP="00F525A9">
      <w:pPr>
        <w:pStyle w:val="ListParagraph"/>
        <w:numPr>
          <w:ilvl w:val="0"/>
          <w:numId w:val="7"/>
        </w:numPr>
        <w:spacing w:after="0"/>
        <w:rPr>
          <w:rFonts w:ascii="Arial" w:hAnsi="Arial" w:cs="Arial"/>
          <w:color w:val="0F4761" w:themeColor="accent1" w:themeShade="BF"/>
          <w:sz w:val="28"/>
          <w:szCs w:val="28"/>
        </w:rPr>
      </w:pPr>
      <w:r w:rsidRPr="00EE100D">
        <w:rPr>
          <w:rFonts w:ascii="Arial" w:hAnsi="Arial" w:cs="Arial"/>
        </w:rPr>
        <w:t xml:space="preserve">Vintage </w:t>
      </w:r>
    </w:p>
    <w:p w14:paraId="7855EB2C" w14:textId="17F8D7D1" w:rsidR="00892D9B" w:rsidRPr="00EE100D" w:rsidRDefault="00892D9B" w:rsidP="00F525A9">
      <w:pPr>
        <w:pStyle w:val="ListParagraph"/>
        <w:numPr>
          <w:ilvl w:val="0"/>
          <w:numId w:val="7"/>
        </w:numPr>
        <w:spacing w:after="0"/>
        <w:rPr>
          <w:rFonts w:ascii="Arial" w:hAnsi="Arial" w:cs="Arial"/>
          <w:i/>
          <w:iCs/>
          <w:color w:val="0F4761" w:themeColor="accent1" w:themeShade="BF"/>
          <w:sz w:val="28"/>
          <w:szCs w:val="28"/>
        </w:rPr>
        <w:sectPr w:rsidR="00892D9B" w:rsidRPr="00EE100D" w:rsidSect="00892D9B">
          <w:type w:val="continuous"/>
          <w:pgSz w:w="12240" w:h="15840"/>
          <w:pgMar w:top="1440" w:right="1440" w:bottom="1440" w:left="1440" w:header="720" w:footer="720" w:gutter="0"/>
          <w:cols w:num="2" w:space="720"/>
          <w:docGrid w:linePitch="360"/>
        </w:sectPr>
      </w:pPr>
      <w:r w:rsidRPr="00EE100D">
        <w:rPr>
          <w:rFonts w:ascii="Arial" w:hAnsi="Arial" w:cs="Arial"/>
          <w:i/>
          <w:iCs/>
        </w:rPr>
        <w:t>Other Self-defined &amp; Extensib</w:t>
      </w:r>
      <w:r w:rsidR="00F525A9">
        <w:rPr>
          <w:rFonts w:ascii="Arial" w:hAnsi="Arial" w:cs="Arial"/>
          <w:i/>
          <w:iCs/>
        </w:rPr>
        <w:t>le</w:t>
      </w:r>
    </w:p>
    <w:p w14:paraId="3644C9D6" w14:textId="77777777" w:rsidR="00A327B8" w:rsidRPr="00EE100D" w:rsidRDefault="00A327B8" w:rsidP="00F525A9">
      <w:pPr>
        <w:spacing w:after="0"/>
        <w:rPr>
          <w:rFonts w:ascii="Arial" w:hAnsi="Arial" w:cs="Arial"/>
          <w:i/>
          <w:iCs/>
        </w:rPr>
      </w:pPr>
    </w:p>
    <w:p w14:paraId="4C8DD8AC" w14:textId="77777777" w:rsidR="00BC2CB9" w:rsidRDefault="00BC2CB9" w:rsidP="00D60279">
      <w:pPr>
        <w:rPr>
          <w:rFonts w:ascii="Arial" w:hAnsi="Arial" w:cs="Arial"/>
        </w:rPr>
      </w:pPr>
    </w:p>
    <w:p w14:paraId="31DFE0FF" w14:textId="77777777" w:rsidR="00BC2CB9" w:rsidRDefault="00BC2CB9" w:rsidP="00D60279">
      <w:pPr>
        <w:rPr>
          <w:rFonts w:ascii="Arial" w:hAnsi="Arial" w:cs="Arial"/>
        </w:rPr>
      </w:pPr>
    </w:p>
    <w:p w14:paraId="29F702CE" w14:textId="78BE26B5" w:rsidR="00AE36D4" w:rsidRPr="00EE100D" w:rsidRDefault="00AE36D4" w:rsidP="00D60279">
      <w:pPr>
        <w:rPr>
          <w:rFonts w:ascii="Arial" w:hAnsi="Arial" w:cs="Arial"/>
        </w:rPr>
      </w:pPr>
      <w:r w:rsidRPr="00EE100D">
        <w:rPr>
          <w:rFonts w:ascii="Arial" w:hAnsi="Arial" w:cs="Arial"/>
        </w:rPr>
        <w:t>For Scope 3</w:t>
      </w:r>
      <w:r w:rsidR="00A82D57" w:rsidRPr="00EE100D">
        <w:rPr>
          <w:rFonts w:ascii="Arial" w:hAnsi="Arial" w:cs="Arial"/>
        </w:rPr>
        <w:t>, including VCI, GHGP, SBTi, and ISO</w:t>
      </w:r>
    </w:p>
    <w:p w14:paraId="0F13F7FC" w14:textId="77777777" w:rsidR="00E569F8" w:rsidRDefault="00E569F8" w:rsidP="00BE3A58">
      <w:pPr>
        <w:pStyle w:val="ListParagraph"/>
        <w:numPr>
          <w:ilvl w:val="0"/>
          <w:numId w:val="25"/>
        </w:numPr>
        <w:rPr>
          <w:rFonts w:ascii="Arial" w:hAnsi="Arial" w:cs="Arial"/>
        </w:rPr>
        <w:sectPr w:rsidR="00E569F8" w:rsidSect="007B3279">
          <w:type w:val="continuous"/>
          <w:pgSz w:w="12240" w:h="15840"/>
          <w:pgMar w:top="1440" w:right="1440" w:bottom="1440" w:left="1440" w:header="720" w:footer="720" w:gutter="0"/>
          <w:cols w:space="720"/>
          <w:docGrid w:linePitch="360"/>
        </w:sectPr>
      </w:pPr>
    </w:p>
    <w:p w14:paraId="4DCCCF50" w14:textId="17DF88E2" w:rsidR="00F63885" w:rsidRDefault="0023762C" w:rsidP="00BE3A58">
      <w:pPr>
        <w:pStyle w:val="ListParagraph"/>
        <w:numPr>
          <w:ilvl w:val="0"/>
          <w:numId w:val="25"/>
        </w:numPr>
        <w:rPr>
          <w:rFonts w:ascii="Arial" w:hAnsi="Arial" w:cs="Arial"/>
        </w:rPr>
      </w:pPr>
      <w:r>
        <w:rPr>
          <w:rFonts w:ascii="Arial" w:hAnsi="Arial" w:cs="Arial"/>
        </w:rPr>
        <w:t>GHG emission or removal activity</w:t>
      </w:r>
      <w:r w:rsidR="00C77C14">
        <w:rPr>
          <w:rFonts w:ascii="Arial" w:hAnsi="Arial" w:cs="Arial"/>
        </w:rPr>
        <w:t xml:space="preserve"> type</w:t>
      </w:r>
    </w:p>
    <w:p w14:paraId="3F62612F" w14:textId="094FCDEC" w:rsidR="0023762C" w:rsidRDefault="0023762C" w:rsidP="00BE3A58">
      <w:pPr>
        <w:pStyle w:val="ListParagraph"/>
        <w:numPr>
          <w:ilvl w:val="0"/>
          <w:numId w:val="25"/>
        </w:numPr>
        <w:rPr>
          <w:rFonts w:ascii="Arial" w:hAnsi="Arial" w:cs="Arial"/>
        </w:rPr>
      </w:pPr>
      <w:r>
        <w:rPr>
          <w:rFonts w:ascii="Arial" w:hAnsi="Arial" w:cs="Arial"/>
        </w:rPr>
        <w:t xml:space="preserve">GHG emissions or removal </w:t>
      </w:r>
      <w:r w:rsidR="00C77C14">
        <w:rPr>
          <w:rFonts w:ascii="Arial" w:hAnsi="Arial" w:cs="Arial"/>
        </w:rPr>
        <w:t>activity quantity</w:t>
      </w:r>
    </w:p>
    <w:p w14:paraId="26A224B8" w14:textId="16F59297" w:rsidR="00C77C14" w:rsidRDefault="000C0565" w:rsidP="00BE3A58">
      <w:pPr>
        <w:pStyle w:val="ListParagraph"/>
        <w:numPr>
          <w:ilvl w:val="0"/>
          <w:numId w:val="25"/>
        </w:numPr>
        <w:rPr>
          <w:rFonts w:ascii="Arial" w:hAnsi="Arial" w:cs="Arial"/>
        </w:rPr>
      </w:pPr>
      <w:r>
        <w:rPr>
          <w:rFonts w:ascii="Arial" w:hAnsi="Arial" w:cs="Arial"/>
        </w:rPr>
        <w:t xml:space="preserve">Affected GHG source, sink or reservoir </w:t>
      </w:r>
    </w:p>
    <w:p w14:paraId="79A9F5E6" w14:textId="2C8AA0E9" w:rsidR="000C0565" w:rsidRDefault="001A0A62" w:rsidP="00BE3A58">
      <w:pPr>
        <w:pStyle w:val="ListParagraph"/>
        <w:numPr>
          <w:ilvl w:val="0"/>
          <w:numId w:val="25"/>
        </w:numPr>
        <w:rPr>
          <w:rFonts w:ascii="Arial" w:hAnsi="Arial" w:cs="Arial"/>
        </w:rPr>
      </w:pPr>
      <w:r>
        <w:rPr>
          <w:rFonts w:ascii="Arial" w:hAnsi="Arial" w:cs="Arial"/>
        </w:rPr>
        <w:t>Proof of Causality</w:t>
      </w:r>
    </w:p>
    <w:p w14:paraId="40086312" w14:textId="670DFD70" w:rsidR="001A0A62" w:rsidRDefault="002C3668" w:rsidP="00BE3A58">
      <w:pPr>
        <w:pStyle w:val="ListParagraph"/>
        <w:numPr>
          <w:ilvl w:val="0"/>
          <w:numId w:val="25"/>
        </w:numPr>
        <w:rPr>
          <w:rFonts w:ascii="Arial" w:hAnsi="Arial" w:cs="Arial"/>
        </w:rPr>
      </w:pPr>
      <w:r>
        <w:rPr>
          <w:rFonts w:ascii="Arial" w:hAnsi="Arial" w:cs="Arial"/>
        </w:rPr>
        <w:t>Certificate Holder Name</w:t>
      </w:r>
    </w:p>
    <w:p w14:paraId="61080E6A" w14:textId="0EBFB1D2" w:rsidR="002C3668" w:rsidRDefault="002C3668" w:rsidP="00BE3A58">
      <w:pPr>
        <w:pStyle w:val="ListParagraph"/>
        <w:numPr>
          <w:ilvl w:val="0"/>
          <w:numId w:val="25"/>
        </w:numPr>
        <w:rPr>
          <w:rFonts w:ascii="Arial" w:hAnsi="Arial" w:cs="Arial"/>
        </w:rPr>
      </w:pPr>
      <w:r>
        <w:rPr>
          <w:rFonts w:ascii="Arial" w:hAnsi="Arial" w:cs="Arial"/>
        </w:rPr>
        <w:t>Claimant Company Name</w:t>
      </w:r>
    </w:p>
    <w:p w14:paraId="4E6E6FEA" w14:textId="28F641AA" w:rsidR="000B5AB6" w:rsidRDefault="000B5AB6" w:rsidP="00BE3A58">
      <w:pPr>
        <w:pStyle w:val="ListParagraph"/>
        <w:numPr>
          <w:ilvl w:val="0"/>
          <w:numId w:val="25"/>
        </w:numPr>
        <w:rPr>
          <w:rFonts w:ascii="Arial" w:hAnsi="Arial" w:cs="Arial"/>
        </w:rPr>
      </w:pPr>
      <w:r>
        <w:rPr>
          <w:rFonts w:ascii="Arial" w:hAnsi="Arial" w:cs="Arial"/>
        </w:rPr>
        <w:t xml:space="preserve">Controlled GHG source, sink, or reservoir </w:t>
      </w:r>
    </w:p>
    <w:p w14:paraId="1D2E20F9" w14:textId="5FE4B90A" w:rsidR="000B5AB6" w:rsidRDefault="00EA7758" w:rsidP="00BE3A58">
      <w:pPr>
        <w:pStyle w:val="ListParagraph"/>
        <w:numPr>
          <w:ilvl w:val="0"/>
          <w:numId w:val="25"/>
        </w:numPr>
        <w:rPr>
          <w:rFonts w:ascii="Arial" w:hAnsi="Arial" w:cs="Arial"/>
        </w:rPr>
      </w:pPr>
      <w:r>
        <w:rPr>
          <w:rFonts w:ascii="Arial" w:hAnsi="Arial" w:cs="Arial"/>
        </w:rPr>
        <w:t>Emissions Factor</w:t>
      </w:r>
    </w:p>
    <w:p w14:paraId="4019F998" w14:textId="22C9C7FF" w:rsidR="00EA7758" w:rsidRDefault="00601ADA" w:rsidP="00BE3A58">
      <w:pPr>
        <w:pStyle w:val="ListParagraph"/>
        <w:numPr>
          <w:ilvl w:val="0"/>
          <w:numId w:val="25"/>
        </w:numPr>
        <w:rPr>
          <w:rFonts w:ascii="Arial" w:hAnsi="Arial" w:cs="Arial"/>
        </w:rPr>
      </w:pPr>
      <w:r>
        <w:rPr>
          <w:rFonts w:ascii="Arial" w:hAnsi="Arial" w:cs="Arial"/>
        </w:rPr>
        <w:t>Good (</w:t>
      </w:r>
      <w:r w:rsidRPr="00601ADA">
        <w:rPr>
          <w:rFonts w:ascii="Arial" w:hAnsi="Arial" w:cs="Arial"/>
          <w:i/>
          <w:iCs/>
        </w:rPr>
        <w:t>raw material</w:t>
      </w:r>
      <w:r>
        <w:rPr>
          <w:rFonts w:ascii="Arial" w:hAnsi="Arial" w:cs="Arial"/>
          <w:i/>
          <w:iCs/>
        </w:rPr>
        <w:t xml:space="preserve"> or commodity</w:t>
      </w:r>
      <w:r>
        <w:rPr>
          <w:rFonts w:ascii="Arial" w:hAnsi="Arial" w:cs="Arial"/>
        </w:rPr>
        <w:t>)</w:t>
      </w:r>
    </w:p>
    <w:p w14:paraId="4FE325D5" w14:textId="4BCA7F03" w:rsidR="00601ADA" w:rsidRDefault="00882E84" w:rsidP="00BE3A58">
      <w:pPr>
        <w:pStyle w:val="ListParagraph"/>
        <w:numPr>
          <w:ilvl w:val="0"/>
          <w:numId w:val="25"/>
        </w:numPr>
        <w:rPr>
          <w:rFonts w:ascii="Arial" w:hAnsi="Arial" w:cs="Arial"/>
        </w:rPr>
      </w:pPr>
      <w:r>
        <w:rPr>
          <w:rFonts w:ascii="Arial" w:hAnsi="Arial" w:cs="Arial"/>
        </w:rPr>
        <w:t>Impact Layer (</w:t>
      </w:r>
      <w:r w:rsidRPr="00E4718C">
        <w:rPr>
          <w:rFonts w:ascii="Arial" w:hAnsi="Arial" w:cs="Arial"/>
          <w:i/>
          <w:iCs/>
        </w:rPr>
        <w:t xml:space="preserve">e.g., production, processing, </w:t>
      </w:r>
      <w:r w:rsidR="008D6B6C" w:rsidRPr="00E4718C">
        <w:rPr>
          <w:rFonts w:ascii="Arial" w:hAnsi="Arial" w:cs="Arial"/>
          <w:i/>
          <w:iCs/>
        </w:rPr>
        <w:t>packaging, etc.</w:t>
      </w:r>
      <w:r w:rsidR="008D6B6C">
        <w:rPr>
          <w:rFonts w:ascii="Arial" w:hAnsi="Arial" w:cs="Arial"/>
        </w:rPr>
        <w:t>)</w:t>
      </w:r>
    </w:p>
    <w:p w14:paraId="2DF08DE6" w14:textId="00A8A770" w:rsidR="008D6B6C" w:rsidRDefault="008D6B6C" w:rsidP="00BE3A58">
      <w:pPr>
        <w:pStyle w:val="ListParagraph"/>
        <w:numPr>
          <w:ilvl w:val="0"/>
          <w:numId w:val="25"/>
        </w:numPr>
        <w:rPr>
          <w:rFonts w:ascii="Arial" w:hAnsi="Arial" w:cs="Arial"/>
        </w:rPr>
      </w:pPr>
      <w:r>
        <w:rPr>
          <w:rFonts w:ascii="Arial" w:hAnsi="Arial" w:cs="Arial"/>
        </w:rPr>
        <w:t xml:space="preserve">Impacted Good </w:t>
      </w:r>
    </w:p>
    <w:p w14:paraId="771ADA17" w14:textId="1232BEF9" w:rsidR="008D6B6C" w:rsidRDefault="008D6B6C" w:rsidP="00BE3A58">
      <w:pPr>
        <w:pStyle w:val="ListParagraph"/>
        <w:numPr>
          <w:ilvl w:val="0"/>
          <w:numId w:val="25"/>
        </w:numPr>
        <w:rPr>
          <w:rFonts w:ascii="Arial" w:hAnsi="Arial" w:cs="Arial"/>
        </w:rPr>
      </w:pPr>
      <w:r>
        <w:rPr>
          <w:rFonts w:ascii="Arial" w:hAnsi="Arial" w:cs="Arial"/>
        </w:rPr>
        <w:t>Intervention</w:t>
      </w:r>
    </w:p>
    <w:p w14:paraId="6A9D4AFC" w14:textId="382047D9" w:rsidR="008D6B6C" w:rsidRDefault="007D232D" w:rsidP="00BE3A58">
      <w:pPr>
        <w:pStyle w:val="ListParagraph"/>
        <w:numPr>
          <w:ilvl w:val="0"/>
          <w:numId w:val="25"/>
        </w:numPr>
        <w:rPr>
          <w:rFonts w:ascii="Arial" w:hAnsi="Arial" w:cs="Arial"/>
        </w:rPr>
      </w:pPr>
      <w:r>
        <w:rPr>
          <w:rFonts w:ascii="Arial" w:hAnsi="Arial" w:cs="Arial"/>
        </w:rPr>
        <w:t>Intervention Activity</w:t>
      </w:r>
    </w:p>
    <w:p w14:paraId="11DD6540" w14:textId="5A314D26" w:rsidR="007D232D" w:rsidRDefault="007D232D" w:rsidP="00BE3A58">
      <w:pPr>
        <w:pStyle w:val="ListParagraph"/>
        <w:numPr>
          <w:ilvl w:val="0"/>
          <w:numId w:val="25"/>
        </w:numPr>
        <w:rPr>
          <w:rFonts w:ascii="Arial" w:hAnsi="Arial" w:cs="Arial"/>
        </w:rPr>
      </w:pPr>
      <w:r>
        <w:rPr>
          <w:rFonts w:ascii="Arial" w:hAnsi="Arial" w:cs="Arial"/>
        </w:rPr>
        <w:t>Intervention Baseline</w:t>
      </w:r>
    </w:p>
    <w:p w14:paraId="5B4EDCE5" w14:textId="7638D32D" w:rsidR="007D232D" w:rsidRDefault="00866973" w:rsidP="00BE3A58">
      <w:pPr>
        <w:pStyle w:val="ListParagraph"/>
        <w:numPr>
          <w:ilvl w:val="0"/>
          <w:numId w:val="25"/>
        </w:numPr>
        <w:rPr>
          <w:rFonts w:ascii="Arial" w:hAnsi="Arial" w:cs="Arial"/>
        </w:rPr>
      </w:pPr>
      <w:r>
        <w:rPr>
          <w:rFonts w:ascii="Arial" w:hAnsi="Arial" w:cs="Arial"/>
        </w:rPr>
        <w:t>Life Cycle Approach (</w:t>
      </w:r>
      <w:r w:rsidRPr="00E4718C">
        <w:rPr>
          <w:rFonts w:ascii="Arial" w:hAnsi="Arial" w:cs="Arial"/>
          <w:i/>
          <w:iCs/>
        </w:rPr>
        <w:t>i.e., cradle-to-grave</w:t>
      </w:r>
      <w:r>
        <w:rPr>
          <w:rFonts w:ascii="Arial" w:hAnsi="Arial" w:cs="Arial"/>
        </w:rPr>
        <w:t>)</w:t>
      </w:r>
    </w:p>
    <w:p w14:paraId="1367FE14" w14:textId="193B2D61" w:rsidR="00866973" w:rsidRDefault="00942170" w:rsidP="00BE3A58">
      <w:pPr>
        <w:pStyle w:val="ListParagraph"/>
        <w:numPr>
          <w:ilvl w:val="0"/>
          <w:numId w:val="25"/>
        </w:numPr>
        <w:rPr>
          <w:rFonts w:ascii="Arial" w:hAnsi="Arial" w:cs="Arial"/>
        </w:rPr>
      </w:pPr>
      <w:r>
        <w:rPr>
          <w:rFonts w:ascii="Arial" w:hAnsi="Arial" w:cs="Arial"/>
        </w:rPr>
        <w:t>Life Cycle Assessment</w:t>
      </w:r>
    </w:p>
    <w:p w14:paraId="158132AB" w14:textId="0177CD98" w:rsidR="00223CCC" w:rsidRDefault="00223CCC" w:rsidP="00BE3A58">
      <w:pPr>
        <w:pStyle w:val="ListParagraph"/>
        <w:numPr>
          <w:ilvl w:val="0"/>
          <w:numId w:val="25"/>
        </w:numPr>
        <w:rPr>
          <w:rFonts w:ascii="Arial" w:hAnsi="Arial" w:cs="Arial"/>
        </w:rPr>
      </w:pPr>
      <w:r>
        <w:rPr>
          <w:rFonts w:ascii="Arial" w:hAnsi="Arial" w:cs="Arial"/>
        </w:rPr>
        <w:t>Market (</w:t>
      </w:r>
      <w:r w:rsidRPr="00E4718C">
        <w:rPr>
          <w:rFonts w:ascii="Arial" w:hAnsi="Arial" w:cs="Arial"/>
          <w:i/>
          <w:iCs/>
        </w:rPr>
        <w:t>e.g., sourc</w:t>
      </w:r>
      <w:r w:rsidR="008E79EB" w:rsidRPr="00E4718C">
        <w:rPr>
          <w:rFonts w:ascii="Arial" w:hAnsi="Arial" w:cs="Arial"/>
          <w:i/>
          <w:iCs/>
        </w:rPr>
        <w:t xml:space="preserve">ing area, landscape, country, </w:t>
      </w:r>
      <w:r w:rsidR="00993F96" w:rsidRPr="00E4718C">
        <w:rPr>
          <w:rFonts w:ascii="Arial" w:hAnsi="Arial" w:cs="Arial"/>
          <w:i/>
          <w:iCs/>
        </w:rPr>
        <w:t>etc</w:t>
      </w:r>
      <w:r w:rsidR="00993F96">
        <w:rPr>
          <w:rFonts w:ascii="Arial" w:hAnsi="Arial" w:cs="Arial"/>
        </w:rPr>
        <w:t>.)</w:t>
      </w:r>
    </w:p>
    <w:p w14:paraId="47A3E46F" w14:textId="7DFAF43E" w:rsidR="00993F96" w:rsidRDefault="00993F96" w:rsidP="00BE3A58">
      <w:pPr>
        <w:pStyle w:val="ListParagraph"/>
        <w:numPr>
          <w:ilvl w:val="0"/>
          <w:numId w:val="25"/>
        </w:numPr>
        <w:rPr>
          <w:rFonts w:ascii="Arial" w:hAnsi="Arial" w:cs="Arial"/>
        </w:rPr>
      </w:pPr>
      <w:r>
        <w:rPr>
          <w:rFonts w:ascii="Arial" w:hAnsi="Arial" w:cs="Arial"/>
        </w:rPr>
        <w:t xml:space="preserve">Market Segment </w:t>
      </w:r>
    </w:p>
    <w:p w14:paraId="710CF662" w14:textId="0AC05F8B" w:rsidR="002F7558" w:rsidRDefault="00E4718C" w:rsidP="00BE3A58">
      <w:pPr>
        <w:pStyle w:val="ListParagraph"/>
        <w:numPr>
          <w:ilvl w:val="0"/>
          <w:numId w:val="25"/>
        </w:numPr>
        <w:rPr>
          <w:rFonts w:ascii="Arial" w:hAnsi="Arial" w:cs="Arial"/>
        </w:rPr>
      </w:pPr>
      <w:r>
        <w:rPr>
          <w:rFonts w:ascii="Arial" w:hAnsi="Arial" w:cs="Arial"/>
        </w:rPr>
        <w:t>Operation (</w:t>
      </w:r>
      <w:r w:rsidRPr="00E4718C">
        <w:rPr>
          <w:rFonts w:ascii="Arial" w:hAnsi="Arial" w:cs="Arial"/>
          <w:i/>
          <w:iCs/>
        </w:rPr>
        <w:t>impacted by activity</w:t>
      </w:r>
      <w:r>
        <w:rPr>
          <w:rFonts w:ascii="Arial" w:hAnsi="Arial" w:cs="Arial"/>
        </w:rPr>
        <w:t>)</w:t>
      </w:r>
    </w:p>
    <w:p w14:paraId="60FAC641" w14:textId="1CC88F26" w:rsidR="00940824" w:rsidRDefault="00474127" w:rsidP="00BE3A58">
      <w:pPr>
        <w:pStyle w:val="ListParagraph"/>
        <w:numPr>
          <w:ilvl w:val="0"/>
          <w:numId w:val="25"/>
        </w:numPr>
        <w:rPr>
          <w:rFonts w:ascii="Arial" w:hAnsi="Arial" w:cs="Arial"/>
        </w:rPr>
      </w:pPr>
      <w:r>
        <w:rPr>
          <w:rFonts w:ascii="Arial" w:hAnsi="Arial" w:cs="Arial"/>
        </w:rPr>
        <w:t>Managing Entity (</w:t>
      </w:r>
      <w:r w:rsidRPr="00474127">
        <w:rPr>
          <w:rFonts w:ascii="Arial" w:hAnsi="Arial" w:cs="Arial"/>
          <w:i/>
          <w:iCs/>
        </w:rPr>
        <w:t>if different than custodian</w:t>
      </w:r>
      <w:r>
        <w:rPr>
          <w:rFonts w:ascii="Arial" w:hAnsi="Arial" w:cs="Arial"/>
        </w:rPr>
        <w:t>)</w:t>
      </w:r>
    </w:p>
    <w:p w14:paraId="0A9873C2" w14:textId="42C7732C" w:rsidR="00474127" w:rsidRDefault="000B2548" w:rsidP="00BE3A58">
      <w:pPr>
        <w:pStyle w:val="ListParagraph"/>
        <w:numPr>
          <w:ilvl w:val="0"/>
          <w:numId w:val="25"/>
        </w:numPr>
        <w:rPr>
          <w:rFonts w:ascii="Arial" w:hAnsi="Arial" w:cs="Arial"/>
        </w:rPr>
      </w:pPr>
      <w:r>
        <w:rPr>
          <w:rFonts w:ascii="Arial" w:hAnsi="Arial" w:cs="Arial"/>
        </w:rPr>
        <w:t>Purchased Goods &amp; Services</w:t>
      </w:r>
    </w:p>
    <w:p w14:paraId="50D5F910" w14:textId="53CD45F1" w:rsidR="000B2548" w:rsidRDefault="000B2548" w:rsidP="00BE3A58">
      <w:pPr>
        <w:pStyle w:val="ListParagraph"/>
        <w:numPr>
          <w:ilvl w:val="0"/>
          <w:numId w:val="25"/>
        </w:numPr>
        <w:rPr>
          <w:rFonts w:ascii="Arial" w:hAnsi="Arial" w:cs="Arial"/>
        </w:rPr>
      </w:pPr>
      <w:r>
        <w:rPr>
          <w:rFonts w:ascii="Arial" w:hAnsi="Arial" w:cs="Arial"/>
        </w:rPr>
        <w:t>Quantification Approach</w:t>
      </w:r>
      <w:r w:rsidR="00EB00B8">
        <w:rPr>
          <w:rFonts w:ascii="Arial" w:hAnsi="Arial" w:cs="Arial"/>
        </w:rPr>
        <w:t xml:space="preserve"> (</w:t>
      </w:r>
      <w:r w:rsidR="00EB00B8" w:rsidRPr="00E569F8">
        <w:rPr>
          <w:rFonts w:ascii="Arial" w:hAnsi="Arial" w:cs="Arial"/>
          <w:i/>
          <w:iCs/>
        </w:rPr>
        <w:t>top-down or bottoms-up)</w:t>
      </w:r>
    </w:p>
    <w:p w14:paraId="66C4B751" w14:textId="414DBC1C" w:rsidR="000B2548" w:rsidRDefault="00996A31" w:rsidP="00BE3A58">
      <w:pPr>
        <w:pStyle w:val="ListParagraph"/>
        <w:numPr>
          <w:ilvl w:val="0"/>
          <w:numId w:val="25"/>
        </w:numPr>
        <w:rPr>
          <w:rFonts w:ascii="Arial" w:hAnsi="Arial" w:cs="Arial"/>
        </w:rPr>
      </w:pPr>
      <w:r>
        <w:rPr>
          <w:rFonts w:ascii="Arial" w:hAnsi="Arial" w:cs="Arial"/>
        </w:rPr>
        <w:t>Scope 3 Boundary</w:t>
      </w:r>
    </w:p>
    <w:p w14:paraId="64544E59" w14:textId="14CD5052" w:rsidR="00996A31" w:rsidRDefault="00FE2910" w:rsidP="00BE3A58">
      <w:pPr>
        <w:pStyle w:val="ListParagraph"/>
        <w:numPr>
          <w:ilvl w:val="0"/>
          <w:numId w:val="25"/>
        </w:numPr>
        <w:rPr>
          <w:rFonts w:ascii="Arial" w:hAnsi="Arial" w:cs="Arial"/>
        </w:rPr>
      </w:pPr>
      <w:r>
        <w:rPr>
          <w:rFonts w:ascii="Arial" w:hAnsi="Arial" w:cs="Arial"/>
        </w:rPr>
        <w:t>Supply Shed Name</w:t>
      </w:r>
    </w:p>
    <w:p w14:paraId="453B7600" w14:textId="78BF2359" w:rsidR="00FE2910" w:rsidRDefault="00AE2752" w:rsidP="00BE3A58">
      <w:pPr>
        <w:pStyle w:val="ListParagraph"/>
        <w:numPr>
          <w:ilvl w:val="0"/>
          <w:numId w:val="25"/>
        </w:numPr>
        <w:rPr>
          <w:rFonts w:ascii="Arial" w:hAnsi="Arial" w:cs="Arial"/>
        </w:rPr>
      </w:pPr>
      <w:r>
        <w:rPr>
          <w:rFonts w:ascii="Arial" w:hAnsi="Arial" w:cs="Arial"/>
        </w:rPr>
        <w:t>Verification Body</w:t>
      </w:r>
    </w:p>
    <w:p w14:paraId="646E71CB" w14:textId="03F027EE" w:rsidR="00AE2752" w:rsidRDefault="00AE2752" w:rsidP="00BE3A58">
      <w:pPr>
        <w:pStyle w:val="ListParagraph"/>
        <w:numPr>
          <w:ilvl w:val="0"/>
          <w:numId w:val="25"/>
        </w:numPr>
        <w:rPr>
          <w:rFonts w:ascii="Arial" w:hAnsi="Arial" w:cs="Arial"/>
        </w:rPr>
      </w:pPr>
      <w:r>
        <w:rPr>
          <w:rFonts w:ascii="Arial" w:hAnsi="Arial" w:cs="Arial"/>
        </w:rPr>
        <w:t>Verification Status</w:t>
      </w:r>
    </w:p>
    <w:p w14:paraId="2931B69C" w14:textId="41708896" w:rsidR="00AE2752" w:rsidRDefault="00AE2752" w:rsidP="00BE3A58">
      <w:pPr>
        <w:pStyle w:val="ListParagraph"/>
        <w:numPr>
          <w:ilvl w:val="0"/>
          <w:numId w:val="25"/>
        </w:numPr>
        <w:rPr>
          <w:rFonts w:ascii="Arial" w:hAnsi="Arial" w:cs="Arial"/>
        </w:rPr>
      </w:pPr>
      <w:r>
        <w:rPr>
          <w:rFonts w:ascii="Arial" w:hAnsi="Arial" w:cs="Arial"/>
        </w:rPr>
        <w:t>Validation Body</w:t>
      </w:r>
    </w:p>
    <w:p w14:paraId="7148AD28" w14:textId="0A483488" w:rsidR="00AE2752" w:rsidRPr="00E569F8" w:rsidRDefault="00AE2752" w:rsidP="00E569F8">
      <w:pPr>
        <w:pStyle w:val="ListParagraph"/>
        <w:numPr>
          <w:ilvl w:val="0"/>
          <w:numId w:val="25"/>
        </w:numPr>
        <w:rPr>
          <w:rFonts w:ascii="Arial" w:hAnsi="Arial" w:cs="Arial"/>
        </w:rPr>
      </w:pPr>
      <w:r>
        <w:rPr>
          <w:rFonts w:ascii="Arial" w:hAnsi="Arial" w:cs="Arial"/>
        </w:rPr>
        <w:t>Validation Status</w:t>
      </w:r>
    </w:p>
    <w:p w14:paraId="0C1D4954" w14:textId="77777777" w:rsidR="00E569F8" w:rsidRDefault="00E569F8" w:rsidP="00D60279">
      <w:pPr>
        <w:rPr>
          <w:rFonts w:ascii="Arial" w:hAnsi="Arial" w:cs="Arial"/>
        </w:rPr>
        <w:sectPr w:rsidR="00E569F8" w:rsidSect="00E569F8">
          <w:type w:val="continuous"/>
          <w:pgSz w:w="12240" w:h="15840"/>
          <w:pgMar w:top="1440" w:right="1440" w:bottom="1440" w:left="1440" w:header="720" w:footer="720" w:gutter="0"/>
          <w:cols w:num="2" w:space="720"/>
          <w:docGrid w:linePitch="360"/>
        </w:sectPr>
      </w:pPr>
    </w:p>
    <w:p w14:paraId="42622DA1" w14:textId="77777777" w:rsidR="00441D38" w:rsidRDefault="00441D38" w:rsidP="00D60279">
      <w:pPr>
        <w:rPr>
          <w:rFonts w:ascii="Arial" w:hAnsi="Arial" w:cs="Arial"/>
        </w:rPr>
      </w:pPr>
    </w:p>
    <w:p w14:paraId="179B2A5F" w14:textId="196492D8" w:rsidR="00E60547" w:rsidRPr="00EE100D" w:rsidRDefault="00E03258" w:rsidP="00D60279">
      <w:pPr>
        <w:rPr>
          <w:rFonts w:ascii="Arial" w:hAnsi="Arial" w:cs="Arial"/>
        </w:rPr>
      </w:pPr>
      <w:r w:rsidRPr="00EE100D">
        <w:rPr>
          <w:rFonts w:ascii="Arial" w:hAnsi="Arial" w:cs="Arial"/>
        </w:rPr>
        <w:t>For SAF</w:t>
      </w:r>
      <w:r w:rsidR="00E60547" w:rsidRPr="00EE100D">
        <w:rPr>
          <w:rFonts w:ascii="Arial" w:hAnsi="Arial" w:cs="Arial"/>
        </w:rPr>
        <w:t xml:space="preserve"> &amp; </w:t>
      </w:r>
      <w:r w:rsidR="007042E1" w:rsidRPr="00EE100D">
        <w:rPr>
          <w:rFonts w:ascii="Arial" w:hAnsi="Arial" w:cs="Arial"/>
        </w:rPr>
        <w:t xml:space="preserve">Affiliated </w:t>
      </w:r>
      <w:r w:rsidR="00E60547" w:rsidRPr="00EE100D">
        <w:rPr>
          <w:rFonts w:ascii="Arial" w:hAnsi="Arial" w:cs="Arial"/>
        </w:rPr>
        <w:t>CI-Scores</w:t>
      </w:r>
    </w:p>
    <w:p w14:paraId="6D5E7EC4" w14:textId="11B3EF1D" w:rsidR="006F6332" w:rsidRPr="00EE100D" w:rsidRDefault="006F6332" w:rsidP="00DE5C70">
      <w:pPr>
        <w:pStyle w:val="ListParagraph"/>
        <w:numPr>
          <w:ilvl w:val="0"/>
          <w:numId w:val="7"/>
        </w:numPr>
        <w:rPr>
          <w:rFonts w:ascii="Arial" w:hAnsi="Arial" w:cs="Arial"/>
        </w:rPr>
        <w:sectPr w:rsidR="006F6332" w:rsidRPr="00EE100D" w:rsidSect="007B3279">
          <w:type w:val="continuous"/>
          <w:pgSz w:w="12240" w:h="15840"/>
          <w:pgMar w:top="1440" w:right="1440" w:bottom="1440" w:left="1440" w:header="720" w:footer="720" w:gutter="0"/>
          <w:cols w:space="720"/>
          <w:docGrid w:linePitch="360"/>
        </w:sectPr>
      </w:pPr>
    </w:p>
    <w:p w14:paraId="1D7B9A3D" w14:textId="6521E8C0" w:rsidR="00331F98" w:rsidRPr="00EE100D" w:rsidRDefault="0088534C" w:rsidP="008A4B2B">
      <w:pPr>
        <w:pStyle w:val="ListParagraph"/>
        <w:numPr>
          <w:ilvl w:val="0"/>
          <w:numId w:val="14"/>
        </w:numPr>
        <w:rPr>
          <w:rFonts w:ascii="Arial" w:hAnsi="Arial" w:cs="Arial"/>
        </w:rPr>
      </w:pPr>
      <w:r w:rsidRPr="00EE100D">
        <w:rPr>
          <w:rFonts w:ascii="Arial" w:hAnsi="Arial" w:cs="Arial"/>
        </w:rPr>
        <w:t>Certificate ID Number (</w:t>
      </w:r>
      <w:r w:rsidRPr="00EE100D">
        <w:rPr>
          <w:rFonts w:ascii="Arial" w:hAnsi="Arial" w:cs="Arial"/>
          <w:i/>
          <w:iCs/>
        </w:rPr>
        <w:t>required)</w:t>
      </w:r>
    </w:p>
    <w:p w14:paraId="06C342FD" w14:textId="7AA3DE4F" w:rsidR="00554B28" w:rsidRPr="00EE100D" w:rsidRDefault="00554B28" w:rsidP="008A4B2B">
      <w:pPr>
        <w:pStyle w:val="ListParagraph"/>
        <w:numPr>
          <w:ilvl w:val="0"/>
          <w:numId w:val="14"/>
        </w:numPr>
        <w:rPr>
          <w:rFonts w:ascii="Arial" w:hAnsi="Arial" w:cs="Arial"/>
        </w:rPr>
      </w:pPr>
      <w:r w:rsidRPr="00EE100D">
        <w:rPr>
          <w:rFonts w:ascii="Arial" w:hAnsi="Arial" w:cs="Arial"/>
        </w:rPr>
        <w:t xml:space="preserve">Certificate URL </w:t>
      </w:r>
    </w:p>
    <w:p w14:paraId="43CC9B04" w14:textId="65199F83" w:rsidR="00131B05" w:rsidRPr="00EE100D" w:rsidRDefault="004F1152" w:rsidP="008A4B2B">
      <w:pPr>
        <w:pStyle w:val="ListParagraph"/>
        <w:numPr>
          <w:ilvl w:val="0"/>
          <w:numId w:val="14"/>
        </w:numPr>
        <w:rPr>
          <w:rFonts w:ascii="Arial" w:hAnsi="Arial" w:cs="Arial"/>
        </w:rPr>
      </w:pPr>
      <w:r w:rsidRPr="00EE100D">
        <w:rPr>
          <w:rFonts w:ascii="Arial" w:hAnsi="Arial" w:cs="Arial"/>
        </w:rPr>
        <w:t xml:space="preserve">Commodity Type </w:t>
      </w:r>
    </w:p>
    <w:p w14:paraId="75771CCE" w14:textId="69367DC9" w:rsidR="008E6847" w:rsidRPr="00EE100D" w:rsidRDefault="00ED620C" w:rsidP="009147C9">
      <w:pPr>
        <w:pStyle w:val="ListParagraph"/>
        <w:numPr>
          <w:ilvl w:val="0"/>
          <w:numId w:val="14"/>
        </w:numPr>
        <w:rPr>
          <w:rFonts w:ascii="Arial" w:hAnsi="Arial" w:cs="Arial"/>
        </w:rPr>
      </w:pPr>
      <w:r w:rsidRPr="00EE100D">
        <w:rPr>
          <w:rFonts w:ascii="Arial" w:hAnsi="Arial" w:cs="Arial"/>
        </w:rPr>
        <w:t xml:space="preserve">Quantity </w:t>
      </w:r>
      <w:r w:rsidR="00124CDA" w:rsidRPr="00EE100D">
        <w:rPr>
          <w:rFonts w:ascii="Arial" w:hAnsi="Arial" w:cs="Arial"/>
        </w:rPr>
        <w:t xml:space="preserve">of Bushels </w:t>
      </w:r>
    </w:p>
    <w:p w14:paraId="7598FE5F" w14:textId="7B946645" w:rsidR="008E6847" w:rsidRPr="00EE100D" w:rsidRDefault="008E6847" w:rsidP="008E6847">
      <w:pPr>
        <w:pStyle w:val="ListParagraph"/>
        <w:numPr>
          <w:ilvl w:val="0"/>
          <w:numId w:val="14"/>
        </w:numPr>
        <w:rPr>
          <w:rFonts w:ascii="Arial" w:hAnsi="Arial" w:cs="Arial"/>
        </w:rPr>
      </w:pPr>
      <w:r w:rsidRPr="00EE100D">
        <w:rPr>
          <w:rFonts w:ascii="Arial" w:hAnsi="Arial" w:cs="Arial"/>
        </w:rPr>
        <w:t xml:space="preserve">Invoice or Delivery Ticket Number </w:t>
      </w:r>
    </w:p>
    <w:p w14:paraId="638C0C37" w14:textId="5C6CCE6A" w:rsidR="00460DE0" w:rsidRPr="00EE100D" w:rsidRDefault="008E6847" w:rsidP="008E6847">
      <w:pPr>
        <w:pStyle w:val="ListParagraph"/>
        <w:numPr>
          <w:ilvl w:val="0"/>
          <w:numId w:val="14"/>
        </w:numPr>
        <w:rPr>
          <w:rFonts w:ascii="Arial" w:hAnsi="Arial" w:cs="Arial"/>
        </w:rPr>
      </w:pPr>
      <w:r w:rsidRPr="00EE100D">
        <w:rPr>
          <w:rFonts w:ascii="Arial" w:hAnsi="Arial" w:cs="Arial"/>
        </w:rPr>
        <w:t xml:space="preserve">Total Number of Certificates Issued for Invoice or Delivery Ticket Number </w:t>
      </w:r>
    </w:p>
    <w:p w14:paraId="149DB582" w14:textId="636472CE" w:rsidR="006218D3" w:rsidRPr="00EE100D" w:rsidRDefault="00C6641B" w:rsidP="008E6847">
      <w:pPr>
        <w:pStyle w:val="ListParagraph"/>
        <w:numPr>
          <w:ilvl w:val="0"/>
          <w:numId w:val="14"/>
        </w:numPr>
        <w:rPr>
          <w:rFonts w:ascii="Arial" w:hAnsi="Arial" w:cs="Arial"/>
        </w:rPr>
      </w:pPr>
      <w:r w:rsidRPr="00EE100D">
        <w:rPr>
          <w:rFonts w:ascii="Arial" w:hAnsi="Arial" w:cs="Arial"/>
        </w:rPr>
        <w:t xml:space="preserve">No-Till confirmation </w:t>
      </w:r>
    </w:p>
    <w:p w14:paraId="0FA7C198" w14:textId="67653EEF" w:rsidR="00C6641B" w:rsidRPr="00EE100D" w:rsidRDefault="003621D5" w:rsidP="008E6847">
      <w:pPr>
        <w:pStyle w:val="ListParagraph"/>
        <w:numPr>
          <w:ilvl w:val="0"/>
          <w:numId w:val="14"/>
        </w:numPr>
        <w:rPr>
          <w:rFonts w:ascii="Arial" w:hAnsi="Arial" w:cs="Arial"/>
        </w:rPr>
      </w:pPr>
      <w:r w:rsidRPr="00EE100D">
        <w:rPr>
          <w:rFonts w:ascii="Arial" w:hAnsi="Arial" w:cs="Arial"/>
        </w:rPr>
        <w:t>Cover-Crop confirmation</w:t>
      </w:r>
    </w:p>
    <w:p w14:paraId="75C4391E" w14:textId="77777777" w:rsidR="006E5794" w:rsidRPr="00F525A9" w:rsidRDefault="006E5794" w:rsidP="00F525A9">
      <w:pPr>
        <w:rPr>
          <w:rFonts w:ascii="Arial" w:hAnsi="Arial" w:cs="Arial"/>
        </w:rPr>
      </w:pPr>
    </w:p>
    <w:p w14:paraId="2F07FD50" w14:textId="0AE7B2D5" w:rsidR="003621D5" w:rsidRPr="00EE100D" w:rsidRDefault="003621D5" w:rsidP="008E6847">
      <w:pPr>
        <w:pStyle w:val="ListParagraph"/>
        <w:numPr>
          <w:ilvl w:val="0"/>
          <w:numId w:val="14"/>
        </w:numPr>
        <w:rPr>
          <w:rFonts w:ascii="Arial" w:hAnsi="Arial" w:cs="Arial"/>
        </w:rPr>
      </w:pPr>
      <w:r w:rsidRPr="00EE100D">
        <w:rPr>
          <w:rFonts w:ascii="Arial" w:hAnsi="Arial" w:cs="Arial"/>
        </w:rPr>
        <w:t xml:space="preserve">Enhance Efficiency Fertilizer </w:t>
      </w:r>
    </w:p>
    <w:p w14:paraId="73E9F763" w14:textId="1F19452B" w:rsidR="003621D5" w:rsidRPr="00EE100D" w:rsidRDefault="00DE25DA" w:rsidP="008E6847">
      <w:pPr>
        <w:pStyle w:val="ListParagraph"/>
        <w:numPr>
          <w:ilvl w:val="0"/>
          <w:numId w:val="14"/>
        </w:numPr>
        <w:rPr>
          <w:rFonts w:ascii="Arial" w:hAnsi="Arial" w:cs="Arial"/>
        </w:rPr>
      </w:pPr>
      <w:r w:rsidRPr="00EE100D">
        <w:rPr>
          <w:rFonts w:ascii="Arial" w:hAnsi="Arial" w:cs="Arial"/>
        </w:rPr>
        <w:t xml:space="preserve">Farmer </w:t>
      </w:r>
      <w:r w:rsidR="00336875" w:rsidRPr="00EE100D">
        <w:rPr>
          <w:rFonts w:ascii="Arial" w:hAnsi="Arial" w:cs="Arial"/>
        </w:rPr>
        <w:t xml:space="preserve">Ownership &amp; Control Flag </w:t>
      </w:r>
    </w:p>
    <w:p w14:paraId="50AE758C" w14:textId="5674B5D0" w:rsidR="00F530E6" w:rsidRPr="00EE100D" w:rsidRDefault="00931390" w:rsidP="00F530E6">
      <w:pPr>
        <w:pStyle w:val="ListParagraph"/>
        <w:numPr>
          <w:ilvl w:val="0"/>
          <w:numId w:val="14"/>
        </w:numPr>
        <w:rPr>
          <w:rFonts w:ascii="Arial" w:hAnsi="Arial" w:cs="Arial"/>
        </w:rPr>
      </w:pPr>
      <w:r w:rsidRPr="00EE100D">
        <w:rPr>
          <w:rFonts w:ascii="Arial" w:hAnsi="Arial" w:cs="Arial"/>
        </w:rPr>
        <w:t xml:space="preserve">Unrelated </w:t>
      </w:r>
      <w:r w:rsidR="00BC51F3" w:rsidRPr="00EE100D">
        <w:rPr>
          <w:rFonts w:ascii="Arial" w:hAnsi="Arial" w:cs="Arial"/>
        </w:rPr>
        <w:t xml:space="preserve">Certification Party </w:t>
      </w:r>
      <w:r w:rsidR="0091550B" w:rsidRPr="00EE100D">
        <w:rPr>
          <w:rFonts w:ascii="Arial" w:hAnsi="Arial" w:cs="Arial"/>
        </w:rPr>
        <w:t xml:space="preserve">Name </w:t>
      </w:r>
    </w:p>
    <w:p w14:paraId="32A275AC" w14:textId="4A8C3C1A" w:rsidR="00931390" w:rsidRPr="00EE100D" w:rsidRDefault="00931390" w:rsidP="008E6847">
      <w:pPr>
        <w:pStyle w:val="ListParagraph"/>
        <w:numPr>
          <w:ilvl w:val="0"/>
          <w:numId w:val="14"/>
        </w:numPr>
        <w:rPr>
          <w:rFonts w:ascii="Arial" w:hAnsi="Arial" w:cs="Arial"/>
        </w:rPr>
      </w:pPr>
      <w:r w:rsidRPr="00EE100D">
        <w:rPr>
          <w:rFonts w:ascii="Arial" w:hAnsi="Arial" w:cs="Arial"/>
        </w:rPr>
        <w:t xml:space="preserve">USDA TSP Name </w:t>
      </w:r>
    </w:p>
    <w:p w14:paraId="71938377" w14:textId="447B304A" w:rsidR="0091550B" w:rsidRPr="00EE100D" w:rsidRDefault="008B4D37" w:rsidP="008E6847">
      <w:pPr>
        <w:pStyle w:val="ListParagraph"/>
        <w:numPr>
          <w:ilvl w:val="0"/>
          <w:numId w:val="14"/>
        </w:numPr>
        <w:rPr>
          <w:rFonts w:ascii="Arial" w:hAnsi="Arial" w:cs="Arial"/>
        </w:rPr>
      </w:pPr>
      <w:r w:rsidRPr="00EE100D">
        <w:rPr>
          <w:rFonts w:ascii="Arial" w:hAnsi="Arial" w:cs="Arial"/>
        </w:rPr>
        <w:t>CARB</w:t>
      </w:r>
      <w:r w:rsidR="00874053" w:rsidRPr="00EE100D">
        <w:rPr>
          <w:rFonts w:ascii="Arial" w:hAnsi="Arial" w:cs="Arial"/>
        </w:rPr>
        <w:t xml:space="preserve"> Verifier Name </w:t>
      </w:r>
    </w:p>
    <w:p w14:paraId="5BE9DBD9" w14:textId="197D2B79" w:rsidR="00874053" w:rsidRPr="00EE100D" w:rsidRDefault="002201A6" w:rsidP="008E6847">
      <w:pPr>
        <w:pStyle w:val="ListParagraph"/>
        <w:numPr>
          <w:ilvl w:val="0"/>
          <w:numId w:val="14"/>
        </w:numPr>
        <w:rPr>
          <w:rFonts w:ascii="Arial" w:hAnsi="Arial" w:cs="Arial"/>
        </w:rPr>
      </w:pPr>
      <w:r w:rsidRPr="00EE100D">
        <w:rPr>
          <w:rFonts w:ascii="Arial" w:hAnsi="Arial" w:cs="Arial"/>
        </w:rPr>
        <w:t>CARB Executive Order Number</w:t>
      </w:r>
    </w:p>
    <w:p w14:paraId="741DEDDE" w14:textId="03D02665" w:rsidR="00020E1A" w:rsidRPr="00EE100D" w:rsidRDefault="003005C9" w:rsidP="008E6847">
      <w:pPr>
        <w:pStyle w:val="ListParagraph"/>
        <w:numPr>
          <w:ilvl w:val="0"/>
          <w:numId w:val="14"/>
        </w:numPr>
        <w:rPr>
          <w:rFonts w:ascii="Arial" w:hAnsi="Arial" w:cs="Arial"/>
        </w:rPr>
      </w:pPr>
      <w:r w:rsidRPr="00EE100D">
        <w:rPr>
          <w:rFonts w:ascii="Arial" w:hAnsi="Arial" w:cs="Arial"/>
        </w:rPr>
        <w:t xml:space="preserve">Quantity of SAF gallons </w:t>
      </w:r>
    </w:p>
    <w:p w14:paraId="76315F81" w14:textId="087D94BC" w:rsidR="003005C9" w:rsidRPr="00EE100D" w:rsidRDefault="00A37C5F" w:rsidP="008E6847">
      <w:pPr>
        <w:pStyle w:val="ListParagraph"/>
        <w:numPr>
          <w:ilvl w:val="0"/>
          <w:numId w:val="14"/>
        </w:numPr>
        <w:rPr>
          <w:rFonts w:ascii="Arial" w:hAnsi="Arial" w:cs="Arial"/>
        </w:rPr>
      </w:pPr>
      <w:r w:rsidRPr="00EE100D">
        <w:rPr>
          <w:rFonts w:ascii="Arial" w:hAnsi="Arial" w:cs="Arial"/>
        </w:rPr>
        <w:t xml:space="preserve">CI Score </w:t>
      </w:r>
    </w:p>
    <w:p w14:paraId="40A3065D" w14:textId="7AB65D3E" w:rsidR="00A37C5F" w:rsidRPr="00EE100D" w:rsidRDefault="00E14414" w:rsidP="008E6847">
      <w:pPr>
        <w:pStyle w:val="ListParagraph"/>
        <w:numPr>
          <w:ilvl w:val="0"/>
          <w:numId w:val="14"/>
        </w:numPr>
        <w:rPr>
          <w:rFonts w:ascii="Arial" w:hAnsi="Arial" w:cs="Arial"/>
        </w:rPr>
      </w:pPr>
      <w:r w:rsidRPr="00EE100D">
        <w:rPr>
          <w:rFonts w:ascii="Arial" w:hAnsi="Arial" w:cs="Arial"/>
        </w:rPr>
        <w:t xml:space="preserve">SAF Producer </w:t>
      </w:r>
      <w:r w:rsidR="00193949" w:rsidRPr="00EE100D">
        <w:rPr>
          <w:rFonts w:ascii="Arial" w:hAnsi="Arial" w:cs="Arial"/>
        </w:rPr>
        <w:t xml:space="preserve">Registration Number </w:t>
      </w:r>
    </w:p>
    <w:p w14:paraId="7C742364" w14:textId="3D099C7B" w:rsidR="00193949" w:rsidRPr="00EE100D" w:rsidRDefault="000D28A0" w:rsidP="008E6847">
      <w:pPr>
        <w:pStyle w:val="ListParagraph"/>
        <w:numPr>
          <w:ilvl w:val="0"/>
          <w:numId w:val="14"/>
        </w:numPr>
        <w:rPr>
          <w:rFonts w:ascii="Arial" w:hAnsi="Arial" w:cs="Arial"/>
        </w:rPr>
      </w:pPr>
      <w:r w:rsidRPr="00EE100D">
        <w:rPr>
          <w:rFonts w:ascii="Arial" w:hAnsi="Arial" w:cs="Arial"/>
        </w:rPr>
        <w:t>GREET Model Version</w:t>
      </w:r>
    </w:p>
    <w:p w14:paraId="708CF8DD" w14:textId="35962D92" w:rsidR="00F81BCB" w:rsidRPr="00EE100D" w:rsidRDefault="00F81BCB" w:rsidP="008E6847">
      <w:pPr>
        <w:pStyle w:val="ListParagraph"/>
        <w:numPr>
          <w:ilvl w:val="0"/>
          <w:numId w:val="14"/>
        </w:numPr>
        <w:rPr>
          <w:rFonts w:ascii="Arial" w:hAnsi="Arial" w:cs="Arial"/>
        </w:rPr>
      </w:pPr>
      <w:r w:rsidRPr="00EE100D">
        <w:rPr>
          <w:rFonts w:ascii="Arial" w:hAnsi="Arial" w:cs="Arial"/>
        </w:rPr>
        <w:t xml:space="preserve">CSA ID Number </w:t>
      </w:r>
    </w:p>
    <w:p w14:paraId="5D3222A2" w14:textId="2876BBCF" w:rsidR="006F6332" w:rsidRPr="00EE100D" w:rsidRDefault="000C7B72" w:rsidP="00F34881">
      <w:pPr>
        <w:pStyle w:val="ListParagraph"/>
        <w:numPr>
          <w:ilvl w:val="0"/>
          <w:numId w:val="14"/>
        </w:numPr>
        <w:rPr>
          <w:rFonts w:ascii="Arial" w:hAnsi="Arial" w:cs="Arial"/>
        </w:rPr>
        <w:sectPr w:rsidR="006F6332" w:rsidRPr="00EE100D" w:rsidSect="006F6332">
          <w:type w:val="continuous"/>
          <w:pgSz w:w="12240" w:h="15840"/>
          <w:pgMar w:top="1440" w:right="1440" w:bottom="1440" w:left="1440" w:header="720" w:footer="720" w:gutter="0"/>
          <w:cols w:num="2" w:space="720"/>
          <w:docGrid w:linePitch="360"/>
        </w:sectPr>
      </w:pPr>
      <w:r w:rsidRPr="00EE100D">
        <w:rPr>
          <w:rFonts w:ascii="Arial" w:hAnsi="Arial" w:cs="Arial"/>
        </w:rPr>
        <w:t xml:space="preserve">Reseller Name </w:t>
      </w:r>
    </w:p>
    <w:p w14:paraId="7697BCC2" w14:textId="6F3DA8DB" w:rsidR="00E97A70" w:rsidRPr="00EE100D" w:rsidRDefault="00E97A70" w:rsidP="00CA52B2">
      <w:pPr>
        <w:pStyle w:val="Heading2"/>
        <w:rPr>
          <w:rFonts w:ascii="Arial" w:hAnsi="Arial" w:cs="Arial"/>
          <w:color w:val="595D64"/>
          <w:sz w:val="28"/>
          <w:szCs w:val="28"/>
        </w:rPr>
      </w:pPr>
      <w:bookmarkStart w:id="10" w:name="_Toc170739893"/>
      <w:r w:rsidRPr="00EE100D">
        <w:rPr>
          <w:rFonts w:ascii="Arial" w:hAnsi="Arial" w:cs="Arial"/>
          <w:color w:val="595D64"/>
          <w:sz w:val="28"/>
          <w:szCs w:val="28"/>
        </w:rPr>
        <w:t>Delivery</w:t>
      </w:r>
      <w:bookmarkEnd w:id="10"/>
    </w:p>
    <w:p w14:paraId="1193040E" w14:textId="678A2D48" w:rsidR="0008086F" w:rsidRPr="00EE100D" w:rsidRDefault="00166F16" w:rsidP="00503BBB">
      <w:pPr>
        <w:pStyle w:val="ListParagraph"/>
        <w:numPr>
          <w:ilvl w:val="0"/>
          <w:numId w:val="11"/>
        </w:numPr>
        <w:rPr>
          <w:rFonts w:ascii="Arial" w:hAnsi="Arial" w:cs="Arial"/>
          <w:color w:val="0F4761" w:themeColor="accent1" w:themeShade="BF"/>
          <w:sz w:val="28"/>
          <w:szCs w:val="28"/>
        </w:rPr>
      </w:pPr>
      <w:r w:rsidRPr="00EE100D">
        <w:rPr>
          <w:rFonts w:ascii="Arial" w:hAnsi="Arial" w:cs="Arial"/>
        </w:rPr>
        <w:t xml:space="preserve">Available </w:t>
      </w:r>
      <w:r w:rsidR="00C94EB0" w:rsidRPr="00EE100D">
        <w:rPr>
          <w:rFonts w:ascii="Arial" w:hAnsi="Arial" w:cs="Arial"/>
        </w:rPr>
        <w:t>via</w:t>
      </w:r>
      <w:r w:rsidR="00573C98" w:rsidRPr="00EE100D">
        <w:rPr>
          <w:rFonts w:ascii="Arial" w:hAnsi="Arial" w:cs="Arial"/>
        </w:rPr>
        <w:t xml:space="preserve"> </w:t>
      </w:r>
      <w:r w:rsidR="0021288C">
        <w:rPr>
          <w:rFonts w:ascii="Arial" w:hAnsi="Arial" w:cs="Arial"/>
        </w:rPr>
        <w:t>METI</w:t>
      </w:r>
      <w:r w:rsidR="000B4AC6" w:rsidRPr="00EE100D">
        <w:rPr>
          <w:rFonts w:ascii="Arial" w:hAnsi="Arial" w:cs="Arial"/>
        </w:rPr>
        <w:t xml:space="preserve"> </w:t>
      </w:r>
      <w:r w:rsidR="00901441">
        <w:rPr>
          <w:rFonts w:ascii="Arial" w:hAnsi="Arial" w:cs="Arial"/>
        </w:rPr>
        <w:t xml:space="preserve">Originate </w:t>
      </w:r>
      <w:r w:rsidR="000B4AC6" w:rsidRPr="00EE100D">
        <w:rPr>
          <w:rFonts w:ascii="Arial" w:hAnsi="Arial" w:cs="Arial"/>
        </w:rPr>
        <w:t xml:space="preserve">Online Portal </w:t>
      </w:r>
      <w:r w:rsidR="00C94EB0" w:rsidRPr="00EE100D">
        <w:rPr>
          <w:rFonts w:ascii="Arial" w:hAnsi="Arial" w:cs="Arial"/>
        </w:rPr>
        <w:t>&amp;</w:t>
      </w:r>
      <w:r w:rsidR="007F2F10" w:rsidRPr="00EE100D">
        <w:rPr>
          <w:rFonts w:ascii="Arial" w:hAnsi="Arial" w:cs="Arial"/>
        </w:rPr>
        <w:t xml:space="preserve"> via</w:t>
      </w:r>
      <w:r w:rsidR="00C94EB0" w:rsidRPr="00EE100D">
        <w:rPr>
          <w:rFonts w:ascii="Arial" w:hAnsi="Arial" w:cs="Arial"/>
        </w:rPr>
        <w:t xml:space="preserve"> API</w:t>
      </w:r>
    </w:p>
    <w:p w14:paraId="664F0377" w14:textId="29CC1572" w:rsidR="00CF3E29" w:rsidRPr="001C7188" w:rsidRDefault="007F2F10" w:rsidP="00CF3E29">
      <w:pPr>
        <w:pStyle w:val="ListParagraph"/>
        <w:numPr>
          <w:ilvl w:val="0"/>
          <w:numId w:val="11"/>
        </w:numPr>
        <w:rPr>
          <w:rFonts w:ascii="Arial" w:hAnsi="Arial" w:cs="Arial"/>
          <w:color w:val="0F4761" w:themeColor="accent1" w:themeShade="BF"/>
          <w:sz w:val="28"/>
          <w:szCs w:val="28"/>
        </w:rPr>
      </w:pPr>
      <w:r w:rsidRPr="00EE100D">
        <w:rPr>
          <w:rFonts w:ascii="Arial" w:hAnsi="Arial" w:cs="Arial"/>
        </w:rPr>
        <w:t>Excel Add-in (</w:t>
      </w:r>
      <w:r w:rsidRPr="00EE100D">
        <w:rPr>
          <w:rFonts w:ascii="Arial" w:hAnsi="Arial" w:cs="Arial"/>
          <w:i/>
          <w:iCs/>
        </w:rPr>
        <w:t>coming soon</w:t>
      </w:r>
      <w:r w:rsidRPr="00EE100D">
        <w:rPr>
          <w:rFonts w:ascii="Arial" w:hAnsi="Arial" w:cs="Arial"/>
        </w:rPr>
        <w:t>)</w:t>
      </w:r>
    </w:p>
    <w:p w14:paraId="0E297BCD" w14:textId="77777777" w:rsidR="001C7188" w:rsidRPr="00EE100D" w:rsidRDefault="001C7188" w:rsidP="001C7188">
      <w:pPr>
        <w:pStyle w:val="ListParagraph"/>
        <w:rPr>
          <w:rFonts w:ascii="Arial" w:hAnsi="Arial" w:cs="Arial"/>
          <w:color w:val="0F4761" w:themeColor="accent1" w:themeShade="BF"/>
          <w:sz w:val="28"/>
          <w:szCs w:val="28"/>
        </w:rPr>
      </w:pPr>
    </w:p>
    <w:p w14:paraId="0F32085B" w14:textId="77777777" w:rsidR="00441D38" w:rsidRDefault="00441D38" w:rsidP="00CA52B2">
      <w:pPr>
        <w:pStyle w:val="Heading2"/>
        <w:rPr>
          <w:rFonts w:ascii="Arial" w:hAnsi="Arial" w:cs="Arial"/>
          <w:color w:val="595D64"/>
          <w:sz w:val="28"/>
          <w:szCs w:val="28"/>
        </w:rPr>
      </w:pPr>
    </w:p>
    <w:p w14:paraId="3684B8A6" w14:textId="77777777" w:rsidR="00165AAA" w:rsidRPr="00165AAA" w:rsidRDefault="00165AAA" w:rsidP="00165AAA"/>
    <w:p w14:paraId="21EE3872" w14:textId="77777777" w:rsidR="00165AAA" w:rsidRDefault="00165AAA" w:rsidP="00CA52B2">
      <w:pPr>
        <w:pStyle w:val="Heading2"/>
        <w:rPr>
          <w:rFonts w:ascii="Arial" w:hAnsi="Arial" w:cs="Arial"/>
          <w:color w:val="595D64"/>
          <w:sz w:val="28"/>
          <w:szCs w:val="28"/>
        </w:rPr>
      </w:pPr>
    </w:p>
    <w:p w14:paraId="30E7EAD1" w14:textId="1CAC881B" w:rsidR="00E97A70" w:rsidRPr="00EE100D" w:rsidRDefault="00C94EB0" w:rsidP="00CA52B2">
      <w:pPr>
        <w:pStyle w:val="Heading2"/>
        <w:rPr>
          <w:rFonts w:ascii="Arial" w:hAnsi="Arial" w:cs="Arial"/>
          <w:color w:val="595D64"/>
          <w:sz w:val="28"/>
          <w:szCs w:val="28"/>
        </w:rPr>
      </w:pPr>
      <w:bookmarkStart w:id="11" w:name="_Toc170739894"/>
      <w:r w:rsidRPr="00EE100D">
        <w:rPr>
          <w:rFonts w:ascii="Arial" w:hAnsi="Arial" w:cs="Arial"/>
          <w:color w:val="595D64"/>
          <w:sz w:val="28"/>
          <w:szCs w:val="28"/>
        </w:rPr>
        <w:t>Annual</w:t>
      </w:r>
      <w:r w:rsidR="00167481">
        <w:rPr>
          <w:rFonts w:ascii="Arial" w:hAnsi="Arial" w:cs="Arial"/>
          <w:color w:val="595D64"/>
          <w:sz w:val="28"/>
          <w:szCs w:val="28"/>
        </w:rPr>
        <w:t xml:space="preserve"> SCID Certification</w:t>
      </w:r>
      <w:r w:rsidRPr="00EE100D">
        <w:rPr>
          <w:rFonts w:ascii="Arial" w:hAnsi="Arial" w:cs="Arial"/>
          <w:color w:val="595D64"/>
          <w:sz w:val="28"/>
          <w:szCs w:val="28"/>
        </w:rPr>
        <w:t xml:space="preserve"> </w:t>
      </w:r>
      <w:r w:rsidR="00E97A70" w:rsidRPr="00EE100D">
        <w:rPr>
          <w:rFonts w:ascii="Arial" w:hAnsi="Arial" w:cs="Arial"/>
          <w:color w:val="595D64"/>
          <w:sz w:val="28"/>
          <w:szCs w:val="28"/>
        </w:rPr>
        <w:t>Fee</w:t>
      </w:r>
      <w:r w:rsidR="00C80BFC" w:rsidRPr="00EE100D">
        <w:rPr>
          <w:rFonts w:ascii="Arial" w:hAnsi="Arial" w:cs="Arial"/>
          <w:color w:val="595D64"/>
          <w:sz w:val="28"/>
          <w:szCs w:val="28"/>
        </w:rPr>
        <w:t xml:space="preserve"> Schedule</w:t>
      </w:r>
      <w:bookmarkEnd w:id="11"/>
      <w:r w:rsidR="00C80BFC" w:rsidRPr="00EE100D">
        <w:rPr>
          <w:rFonts w:ascii="Arial" w:hAnsi="Arial" w:cs="Arial"/>
          <w:color w:val="595D64"/>
          <w:sz w:val="28"/>
          <w:szCs w:val="28"/>
        </w:rPr>
        <w:t xml:space="preserve"> </w:t>
      </w:r>
    </w:p>
    <w:p w14:paraId="3945C7A3" w14:textId="068ED93C" w:rsidR="007608A9" w:rsidRPr="00EE100D" w:rsidRDefault="007608A9">
      <w:pPr>
        <w:rPr>
          <w:rFonts w:ascii="Arial" w:hAnsi="Arial" w:cs="Arial"/>
          <w:color w:val="0F4761" w:themeColor="accent1" w:themeShade="BF"/>
          <w:sz w:val="28"/>
          <w:szCs w:val="28"/>
        </w:rPr>
      </w:pPr>
      <w:r w:rsidRPr="00EE100D">
        <w:rPr>
          <w:rFonts w:ascii="Arial" w:hAnsi="Arial" w:cs="Arial"/>
        </w:rPr>
        <w:t xml:space="preserve">The </w:t>
      </w:r>
      <w:r w:rsidR="008E45D6">
        <w:rPr>
          <w:rFonts w:ascii="Arial" w:hAnsi="Arial" w:cs="Arial"/>
        </w:rPr>
        <w:t>A</w:t>
      </w:r>
      <w:r w:rsidRPr="00EE100D">
        <w:rPr>
          <w:rFonts w:ascii="Arial" w:hAnsi="Arial" w:cs="Arial"/>
        </w:rPr>
        <w:t xml:space="preserve">nnual </w:t>
      </w:r>
      <w:r w:rsidR="008E45D6">
        <w:rPr>
          <w:rFonts w:ascii="Arial" w:hAnsi="Arial" w:cs="Arial"/>
        </w:rPr>
        <w:t>SCID Certification</w:t>
      </w:r>
      <w:r w:rsidRPr="00EE100D">
        <w:rPr>
          <w:rFonts w:ascii="Arial" w:hAnsi="Arial" w:cs="Arial"/>
        </w:rPr>
        <w:t xml:space="preserve"> Fee Schedule is based on </w:t>
      </w:r>
      <w:r w:rsidR="004F3D6D" w:rsidRPr="00EE100D">
        <w:rPr>
          <w:rFonts w:ascii="Arial" w:hAnsi="Arial" w:cs="Arial"/>
        </w:rPr>
        <w:t>the quantity of an</w:t>
      </w:r>
      <w:r w:rsidRPr="00EE100D">
        <w:rPr>
          <w:rFonts w:ascii="Arial" w:hAnsi="Arial" w:cs="Arial"/>
        </w:rPr>
        <w:t xml:space="preserve"> </w:t>
      </w:r>
      <w:r w:rsidR="00AC0624" w:rsidRPr="00EE100D">
        <w:rPr>
          <w:rFonts w:ascii="Arial" w:hAnsi="Arial" w:cs="Arial"/>
        </w:rPr>
        <w:t>organization’s</w:t>
      </w:r>
      <w:r w:rsidRPr="00EE100D">
        <w:rPr>
          <w:rFonts w:ascii="Arial" w:hAnsi="Arial" w:cs="Arial"/>
        </w:rPr>
        <w:t xml:space="preserve"> </w:t>
      </w:r>
      <w:r w:rsidR="009C5E9D">
        <w:rPr>
          <w:rFonts w:ascii="Arial" w:hAnsi="Arial" w:cs="Arial"/>
        </w:rPr>
        <w:t xml:space="preserve">annual </w:t>
      </w:r>
      <w:r w:rsidR="007B4BA8" w:rsidRPr="00EE100D">
        <w:rPr>
          <w:rFonts w:ascii="Arial" w:hAnsi="Arial" w:cs="Arial"/>
        </w:rPr>
        <w:t xml:space="preserve">acres, and or, environmental assets </w:t>
      </w:r>
      <w:r w:rsidR="00495708" w:rsidRPr="00EE100D">
        <w:rPr>
          <w:rFonts w:ascii="Arial" w:hAnsi="Arial" w:cs="Arial"/>
        </w:rPr>
        <w:t xml:space="preserve">(whichever is greater) </w:t>
      </w:r>
      <w:r w:rsidR="007B4BA8" w:rsidRPr="00EE100D">
        <w:rPr>
          <w:rFonts w:ascii="Arial" w:hAnsi="Arial" w:cs="Arial"/>
        </w:rPr>
        <w:t xml:space="preserve">under management, and is structured as follows: </w:t>
      </w:r>
    </w:p>
    <w:tbl>
      <w:tblPr>
        <w:tblStyle w:val="ListTable4"/>
        <w:tblW w:w="0" w:type="auto"/>
        <w:tblLook w:val="04A0" w:firstRow="1" w:lastRow="0" w:firstColumn="1" w:lastColumn="0" w:noHBand="0" w:noVBand="1"/>
      </w:tblPr>
      <w:tblGrid>
        <w:gridCol w:w="3502"/>
        <w:gridCol w:w="2924"/>
        <w:gridCol w:w="2924"/>
      </w:tblGrid>
      <w:tr w:rsidR="00530382" w:rsidRPr="00EE100D" w14:paraId="0B0169C9" w14:textId="4C5D7A00" w:rsidTr="00FE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Borders>
              <w:bottom w:val="single" w:sz="4" w:space="0" w:color="auto"/>
            </w:tcBorders>
          </w:tcPr>
          <w:p w14:paraId="7F6B9D2F" w14:textId="26A3E98A" w:rsidR="001B5C89" w:rsidRPr="00EE100D" w:rsidRDefault="007B4BA8" w:rsidP="009E49FF">
            <w:pPr>
              <w:jc w:val="center"/>
              <w:rPr>
                <w:rFonts w:ascii="Arial" w:hAnsi="Arial" w:cs="Arial"/>
              </w:rPr>
            </w:pPr>
            <w:r w:rsidRPr="00EE100D">
              <w:rPr>
                <w:rFonts w:ascii="Arial" w:hAnsi="Arial" w:cs="Arial"/>
              </w:rPr>
              <w:t>Plan</w:t>
            </w:r>
          </w:p>
        </w:tc>
        <w:tc>
          <w:tcPr>
            <w:tcW w:w="2924" w:type="dxa"/>
            <w:tcBorders>
              <w:bottom w:val="single" w:sz="4" w:space="0" w:color="auto"/>
            </w:tcBorders>
          </w:tcPr>
          <w:p w14:paraId="5E7A0AE9" w14:textId="6E114E5D" w:rsidR="001B5C89" w:rsidRPr="00EE100D" w:rsidRDefault="006971A4" w:rsidP="009E49F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 xml:space="preserve">Annual </w:t>
            </w:r>
            <w:r w:rsidR="00893CD9" w:rsidRPr="00EE100D">
              <w:rPr>
                <w:rFonts w:ascii="Arial" w:hAnsi="Arial" w:cs="Arial"/>
              </w:rPr>
              <w:t>Fee</w:t>
            </w:r>
            <w:r w:rsidR="00153555" w:rsidRPr="00EE100D">
              <w:rPr>
                <w:rFonts w:ascii="Arial" w:hAnsi="Arial" w:cs="Arial"/>
              </w:rPr>
              <w:t xml:space="preserve"> </w:t>
            </w:r>
          </w:p>
        </w:tc>
        <w:tc>
          <w:tcPr>
            <w:tcW w:w="2924" w:type="dxa"/>
            <w:tcBorders>
              <w:bottom w:val="single" w:sz="4" w:space="0" w:color="auto"/>
            </w:tcBorders>
          </w:tcPr>
          <w:p w14:paraId="391E3907" w14:textId="24ACCD71" w:rsidR="001B5C89" w:rsidRPr="00EE100D" w:rsidRDefault="001B5C89" w:rsidP="009E49FF">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Includes</w:t>
            </w:r>
          </w:p>
        </w:tc>
      </w:tr>
      <w:tr w:rsidR="00530382" w:rsidRPr="00EE100D" w14:paraId="7E96E4F1" w14:textId="68C57BC1" w:rsidTr="0007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Borders>
              <w:top w:val="single" w:sz="4" w:space="0" w:color="auto"/>
              <w:left w:val="single" w:sz="4" w:space="0" w:color="auto"/>
              <w:bottom w:val="single" w:sz="4" w:space="0" w:color="auto"/>
              <w:right w:val="single" w:sz="4" w:space="0" w:color="auto"/>
            </w:tcBorders>
            <w:vAlign w:val="center"/>
          </w:tcPr>
          <w:p w14:paraId="5043EF07" w14:textId="63BECF7D" w:rsidR="001B5C89" w:rsidRPr="00EE100D" w:rsidRDefault="00AC0624" w:rsidP="000700E7">
            <w:pPr>
              <w:jc w:val="center"/>
              <w:rPr>
                <w:rFonts w:ascii="Arial" w:hAnsi="Arial" w:cs="Arial"/>
                <w:b w:val="0"/>
                <w:bCs w:val="0"/>
              </w:rPr>
            </w:pPr>
            <w:r w:rsidRPr="00EE100D">
              <w:rPr>
                <w:rFonts w:ascii="Arial" w:hAnsi="Arial" w:cs="Arial"/>
                <w:b w:val="0"/>
                <w:bCs w:val="0"/>
              </w:rPr>
              <w:t>Enterprise (</w:t>
            </w:r>
            <w:r w:rsidR="001B5C89" w:rsidRPr="00EE100D">
              <w:rPr>
                <w:rFonts w:ascii="Arial" w:hAnsi="Arial" w:cs="Arial"/>
                <w:b w:val="0"/>
                <w:bCs w:val="0"/>
              </w:rPr>
              <w:t>&gt; 1 million</w:t>
            </w:r>
            <w:r w:rsidRPr="00EE100D">
              <w:rPr>
                <w:rFonts w:ascii="Arial" w:hAnsi="Arial" w:cs="Arial"/>
                <w:b w:val="0"/>
                <w:bCs w:val="0"/>
              </w:rPr>
              <w:t>)</w:t>
            </w:r>
          </w:p>
        </w:tc>
        <w:tc>
          <w:tcPr>
            <w:tcW w:w="2924" w:type="dxa"/>
            <w:tcBorders>
              <w:top w:val="single" w:sz="4" w:space="0" w:color="auto"/>
              <w:left w:val="single" w:sz="4" w:space="0" w:color="auto"/>
              <w:bottom w:val="single" w:sz="4" w:space="0" w:color="auto"/>
              <w:right w:val="single" w:sz="4" w:space="0" w:color="auto"/>
            </w:tcBorders>
            <w:vAlign w:val="center"/>
          </w:tcPr>
          <w:p w14:paraId="5935C36C" w14:textId="7E979A0C" w:rsidR="001B5C89" w:rsidRPr="00EE100D" w:rsidRDefault="00060A2F" w:rsidP="000700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$10,000</w:t>
            </w:r>
          </w:p>
        </w:tc>
        <w:tc>
          <w:tcPr>
            <w:tcW w:w="2924" w:type="dxa"/>
            <w:tcBorders>
              <w:top w:val="single" w:sz="4" w:space="0" w:color="auto"/>
              <w:left w:val="single" w:sz="4" w:space="0" w:color="auto"/>
              <w:bottom w:val="single" w:sz="4" w:space="0" w:color="auto"/>
              <w:right w:val="single" w:sz="4" w:space="0" w:color="auto"/>
            </w:tcBorders>
          </w:tcPr>
          <w:p w14:paraId="7B299A30" w14:textId="7109E2B9" w:rsidR="001B5C89" w:rsidRPr="00EE100D" w:rsidRDefault="00153555" w:rsidP="0015355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 xml:space="preserve">Unlimited </w:t>
            </w:r>
            <w:r w:rsidR="005E5EE0" w:rsidRPr="00EE100D">
              <w:rPr>
                <w:rFonts w:ascii="Arial" w:hAnsi="Arial" w:cs="Arial"/>
              </w:rPr>
              <w:t>SCID</w:t>
            </w:r>
            <w:r w:rsidRPr="00EE100D">
              <w:rPr>
                <w:rFonts w:ascii="Arial" w:hAnsi="Arial" w:cs="Arial"/>
              </w:rPr>
              <w:t xml:space="preserve"> </w:t>
            </w:r>
            <w:r w:rsidR="007372F6">
              <w:rPr>
                <w:rFonts w:ascii="Arial" w:hAnsi="Arial" w:cs="Arial"/>
              </w:rPr>
              <w:t>Cert</w:t>
            </w:r>
            <w:r w:rsidR="00867D0D">
              <w:rPr>
                <w:rFonts w:ascii="Arial" w:hAnsi="Arial" w:cs="Arial"/>
              </w:rPr>
              <w:t xml:space="preserve">ificate </w:t>
            </w:r>
            <w:r w:rsidRPr="00EE100D">
              <w:rPr>
                <w:rFonts w:ascii="Arial" w:hAnsi="Arial" w:cs="Arial"/>
              </w:rPr>
              <w:t>Requests</w:t>
            </w:r>
            <w:r w:rsidR="00A93D55" w:rsidRPr="00EE100D">
              <w:rPr>
                <w:rFonts w:ascii="Arial" w:hAnsi="Arial" w:cs="Arial"/>
              </w:rPr>
              <w:t>/Issuances</w:t>
            </w:r>
          </w:p>
        </w:tc>
      </w:tr>
      <w:tr w:rsidR="001B5C89" w:rsidRPr="00EE100D" w14:paraId="183AB119" w14:textId="5DA1B903" w:rsidTr="000700E7">
        <w:tc>
          <w:tcPr>
            <w:cnfStyle w:val="001000000000" w:firstRow="0" w:lastRow="0" w:firstColumn="1" w:lastColumn="0" w:oddVBand="0" w:evenVBand="0" w:oddHBand="0" w:evenHBand="0" w:firstRowFirstColumn="0" w:firstRowLastColumn="0" w:lastRowFirstColumn="0" w:lastRowLastColumn="0"/>
            <w:tcW w:w="3502" w:type="dxa"/>
            <w:tcBorders>
              <w:top w:val="single" w:sz="4" w:space="0" w:color="auto"/>
              <w:left w:val="single" w:sz="4" w:space="0" w:color="auto"/>
              <w:bottom w:val="single" w:sz="4" w:space="0" w:color="auto"/>
              <w:right w:val="single" w:sz="4" w:space="0" w:color="auto"/>
            </w:tcBorders>
            <w:vAlign w:val="center"/>
          </w:tcPr>
          <w:p w14:paraId="7DD9E22A" w14:textId="5AA1EA90" w:rsidR="001B5C89" w:rsidRPr="00EE100D" w:rsidRDefault="00A92864" w:rsidP="000700E7">
            <w:pPr>
              <w:jc w:val="center"/>
              <w:rPr>
                <w:rFonts w:ascii="Arial" w:hAnsi="Arial" w:cs="Arial"/>
                <w:b w:val="0"/>
                <w:bCs w:val="0"/>
              </w:rPr>
            </w:pPr>
            <w:r w:rsidRPr="00EE100D">
              <w:rPr>
                <w:rFonts w:ascii="Arial" w:hAnsi="Arial" w:cs="Arial"/>
                <w:b w:val="0"/>
                <w:bCs w:val="0"/>
              </w:rPr>
              <w:t>Premium (</w:t>
            </w:r>
            <w:r w:rsidR="001B5C89" w:rsidRPr="00EE100D">
              <w:rPr>
                <w:rFonts w:ascii="Arial" w:hAnsi="Arial" w:cs="Arial"/>
                <w:b w:val="0"/>
                <w:bCs w:val="0"/>
              </w:rPr>
              <w:t>500,000 – 999,999</w:t>
            </w:r>
            <w:r w:rsidRPr="00EE100D">
              <w:rPr>
                <w:rFonts w:ascii="Arial" w:hAnsi="Arial" w:cs="Arial"/>
                <w:b w:val="0"/>
                <w:bCs w:val="0"/>
              </w:rPr>
              <w:t>)</w:t>
            </w:r>
          </w:p>
        </w:tc>
        <w:tc>
          <w:tcPr>
            <w:tcW w:w="2924" w:type="dxa"/>
            <w:tcBorders>
              <w:top w:val="single" w:sz="4" w:space="0" w:color="auto"/>
              <w:left w:val="single" w:sz="4" w:space="0" w:color="auto"/>
              <w:bottom w:val="single" w:sz="4" w:space="0" w:color="auto"/>
              <w:right w:val="single" w:sz="4" w:space="0" w:color="auto"/>
            </w:tcBorders>
            <w:vAlign w:val="center"/>
          </w:tcPr>
          <w:p w14:paraId="2AC665C3" w14:textId="5C5BE253" w:rsidR="001B5C89" w:rsidRPr="00EE100D" w:rsidRDefault="00BC7D79" w:rsidP="000700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$7,500</w:t>
            </w:r>
          </w:p>
        </w:tc>
        <w:tc>
          <w:tcPr>
            <w:tcW w:w="2924" w:type="dxa"/>
            <w:tcBorders>
              <w:top w:val="single" w:sz="4" w:space="0" w:color="auto"/>
              <w:left w:val="single" w:sz="4" w:space="0" w:color="auto"/>
              <w:bottom w:val="single" w:sz="4" w:space="0" w:color="auto"/>
              <w:right w:val="single" w:sz="4" w:space="0" w:color="auto"/>
            </w:tcBorders>
          </w:tcPr>
          <w:p w14:paraId="20437E2F" w14:textId="06915645" w:rsidR="001B5C89" w:rsidRPr="00EE100D" w:rsidRDefault="005E5EE0" w:rsidP="0017733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SCID</w:t>
            </w:r>
            <w:r w:rsidR="009B3248" w:rsidRPr="00EE100D">
              <w:rPr>
                <w:rFonts w:ascii="Arial" w:hAnsi="Arial" w:cs="Arial"/>
              </w:rPr>
              <w:t xml:space="preserve"> </w:t>
            </w:r>
            <w:r w:rsidR="00867D0D">
              <w:rPr>
                <w:rFonts w:ascii="Arial" w:hAnsi="Arial" w:cs="Arial"/>
              </w:rPr>
              <w:t xml:space="preserve">Certificate </w:t>
            </w:r>
            <w:r w:rsidR="009B3248" w:rsidRPr="00EE100D">
              <w:rPr>
                <w:rFonts w:ascii="Arial" w:hAnsi="Arial" w:cs="Arial"/>
              </w:rPr>
              <w:t>Request</w:t>
            </w:r>
            <w:r w:rsidR="00A93D55" w:rsidRPr="00EE100D">
              <w:rPr>
                <w:rFonts w:ascii="Arial" w:hAnsi="Arial" w:cs="Arial"/>
              </w:rPr>
              <w:t>/Issuances</w:t>
            </w:r>
            <w:r w:rsidR="009B3248" w:rsidRPr="00EE100D">
              <w:rPr>
                <w:rFonts w:ascii="Arial" w:hAnsi="Arial" w:cs="Arial"/>
              </w:rPr>
              <w:t xml:space="preserve"> </w:t>
            </w:r>
            <w:r w:rsidR="00177338" w:rsidRPr="00EE100D">
              <w:rPr>
                <w:rFonts w:ascii="Arial" w:hAnsi="Arial" w:cs="Arial"/>
              </w:rPr>
              <w:t>up to 999,999</w:t>
            </w:r>
          </w:p>
        </w:tc>
      </w:tr>
      <w:tr w:rsidR="00530382" w:rsidRPr="00EE100D" w14:paraId="76AF4BB6" w14:textId="4F430B1C" w:rsidTr="0007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Borders>
              <w:top w:val="single" w:sz="4" w:space="0" w:color="auto"/>
              <w:left w:val="single" w:sz="4" w:space="0" w:color="auto"/>
              <w:bottom w:val="single" w:sz="4" w:space="0" w:color="auto"/>
              <w:right w:val="single" w:sz="4" w:space="0" w:color="auto"/>
            </w:tcBorders>
            <w:vAlign w:val="center"/>
          </w:tcPr>
          <w:p w14:paraId="1EA8DBF5" w14:textId="2E18CD36" w:rsidR="001B5C89" w:rsidRPr="00EE100D" w:rsidRDefault="00A92864" w:rsidP="000700E7">
            <w:pPr>
              <w:jc w:val="center"/>
              <w:rPr>
                <w:rFonts w:ascii="Arial" w:hAnsi="Arial" w:cs="Arial"/>
                <w:b w:val="0"/>
                <w:bCs w:val="0"/>
              </w:rPr>
            </w:pPr>
            <w:r w:rsidRPr="00EE100D">
              <w:rPr>
                <w:rFonts w:ascii="Arial" w:hAnsi="Arial" w:cs="Arial"/>
                <w:b w:val="0"/>
                <w:bCs w:val="0"/>
              </w:rPr>
              <w:t>Standard (</w:t>
            </w:r>
            <w:r w:rsidR="001B5C89" w:rsidRPr="00EE100D">
              <w:rPr>
                <w:rFonts w:ascii="Arial" w:hAnsi="Arial" w:cs="Arial"/>
                <w:b w:val="0"/>
                <w:bCs w:val="0"/>
              </w:rPr>
              <w:t>100,000 – 499,000</w:t>
            </w:r>
            <w:r w:rsidRPr="00EE100D">
              <w:rPr>
                <w:rFonts w:ascii="Arial" w:hAnsi="Arial" w:cs="Arial"/>
                <w:b w:val="0"/>
                <w:bCs w:val="0"/>
              </w:rPr>
              <w:t>)</w:t>
            </w:r>
          </w:p>
        </w:tc>
        <w:tc>
          <w:tcPr>
            <w:tcW w:w="2924" w:type="dxa"/>
            <w:tcBorders>
              <w:top w:val="single" w:sz="4" w:space="0" w:color="auto"/>
              <w:left w:val="single" w:sz="4" w:space="0" w:color="auto"/>
              <w:bottom w:val="single" w:sz="4" w:space="0" w:color="auto"/>
              <w:right w:val="single" w:sz="4" w:space="0" w:color="auto"/>
            </w:tcBorders>
            <w:vAlign w:val="center"/>
          </w:tcPr>
          <w:p w14:paraId="4F0B119B" w14:textId="301F57C2" w:rsidR="001B5C89" w:rsidRPr="00EE100D" w:rsidRDefault="00BC7D79" w:rsidP="000700E7">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$2,000</w:t>
            </w:r>
          </w:p>
        </w:tc>
        <w:tc>
          <w:tcPr>
            <w:tcW w:w="2924" w:type="dxa"/>
            <w:tcBorders>
              <w:top w:val="single" w:sz="4" w:space="0" w:color="auto"/>
              <w:left w:val="single" w:sz="4" w:space="0" w:color="auto"/>
              <w:bottom w:val="single" w:sz="4" w:space="0" w:color="auto"/>
              <w:right w:val="single" w:sz="4" w:space="0" w:color="auto"/>
            </w:tcBorders>
          </w:tcPr>
          <w:p w14:paraId="5A0E138D" w14:textId="408AD37B" w:rsidR="001B5C89" w:rsidRPr="00EE100D" w:rsidRDefault="005E5EE0" w:rsidP="00F04CD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SCID</w:t>
            </w:r>
            <w:r w:rsidR="00177338" w:rsidRPr="00EE100D">
              <w:rPr>
                <w:rFonts w:ascii="Arial" w:hAnsi="Arial" w:cs="Arial"/>
              </w:rPr>
              <w:t xml:space="preserve"> </w:t>
            </w:r>
            <w:r w:rsidR="00530382">
              <w:rPr>
                <w:rFonts w:ascii="Arial" w:hAnsi="Arial" w:cs="Arial"/>
              </w:rPr>
              <w:t xml:space="preserve">Certificate </w:t>
            </w:r>
            <w:r w:rsidR="00177338" w:rsidRPr="00EE100D">
              <w:rPr>
                <w:rFonts w:ascii="Arial" w:hAnsi="Arial" w:cs="Arial"/>
              </w:rPr>
              <w:t>Requests</w:t>
            </w:r>
            <w:r w:rsidR="00A93D55" w:rsidRPr="00EE100D">
              <w:rPr>
                <w:rFonts w:ascii="Arial" w:hAnsi="Arial" w:cs="Arial"/>
              </w:rPr>
              <w:t>/Issuances</w:t>
            </w:r>
            <w:r w:rsidR="00177338" w:rsidRPr="00EE100D">
              <w:rPr>
                <w:rFonts w:ascii="Arial" w:hAnsi="Arial" w:cs="Arial"/>
              </w:rPr>
              <w:t xml:space="preserve"> up to 499,000</w:t>
            </w:r>
          </w:p>
        </w:tc>
      </w:tr>
      <w:tr w:rsidR="001B5C89" w:rsidRPr="00EE100D" w14:paraId="59CFEB1F" w14:textId="408281C6" w:rsidTr="000700E7">
        <w:tc>
          <w:tcPr>
            <w:cnfStyle w:val="001000000000" w:firstRow="0" w:lastRow="0" w:firstColumn="1" w:lastColumn="0" w:oddVBand="0" w:evenVBand="0" w:oddHBand="0" w:evenHBand="0" w:firstRowFirstColumn="0" w:firstRowLastColumn="0" w:lastRowFirstColumn="0" w:lastRowLastColumn="0"/>
            <w:tcW w:w="3502" w:type="dxa"/>
            <w:tcBorders>
              <w:top w:val="single" w:sz="4" w:space="0" w:color="auto"/>
              <w:left w:val="single" w:sz="4" w:space="0" w:color="auto"/>
              <w:bottom w:val="single" w:sz="4" w:space="0" w:color="auto"/>
              <w:right w:val="single" w:sz="4" w:space="0" w:color="auto"/>
            </w:tcBorders>
            <w:vAlign w:val="center"/>
          </w:tcPr>
          <w:p w14:paraId="43A4A885" w14:textId="218B713C" w:rsidR="001B5C89" w:rsidRPr="00EE100D" w:rsidRDefault="00EC3F01" w:rsidP="000700E7">
            <w:pPr>
              <w:jc w:val="center"/>
              <w:rPr>
                <w:rFonts w:ascii="Arial" w:hAnsi="Arial" w:cs="Arial"/>
                <w:b w:val="0"/>
                <w:bCs w:val="0"/>
              </w:rPr>
            </w:pPr>
            <w:r w:rsidRPr="00EE100D">
              <w:rPr>
                <w:rFonts w:ascii="Arial" w:hAnsi="Arial" w:cs="Arial"/>
                <w:b w:val="0"/>
                <w:bCs w:val="0"/>
              </w:rPr>
              <w:t>Bas</w:t>
            </w:r>
            <w:r w:rsidR="004F3D6D" w:rsidRPr="00EE100D">
              <w:rPr>
                <w:rFonts w:ascii="Arial" w:hAnsi="Arial" w:cs="Arial"/>
                <w:b w:val="0"/>
                <w:bCs w:val="0"/>
              </w:rPr>
              <w:t>ic (</w:t>
            </w:r>
            <w:r w:rsidR="001B5C89" w:rsidRPr="00EE100D">
              <w:rPr>
                <w:rFonts w:ascii="Arial" w:hAnsi="Arial" w:cs="Arial"/>
                <w:b w:val="0"/>
                <w:bCs w:val="0"/>
              </w:rPr>
              <w:t>&lt; 100,000</w:t>
            </w:r>
            <w:r w:rsidR="004F3D6D" w:rsidRPr="00EE100D">
              <w:rPr>
                <w:rFonts w:ascii="Arial" w:hAnsi="Arial" w:cs="Arial"/>
                <w:b w:val="0"/>
                <w:bCs w:val="0"/>
              </w:rPr>
              <w:t>)</w:t>
            </w:r>
          </w:p>
        </w:tc>
        <w:tc>
          <w:tcPr>
            <w:tcW w:w="2924" w:type="dxa"/>
            <w:tcBorders>
              <w:top w:val="single" w:sz="4" w:space="0" w:color="auto"/>
              <w:left w:val="single" w:sz="4" w:space="0" w:color="auto"/>
              <w:bottom w:val="single" w:sz="4" w:space="0" w:color="auto"/>
              <w:right w:val="single" w:sz="4" w:space="0" w:color="auto"/>
            </w:tcBorders>
            <w:vAlign w:val="center"/>
          </w:tcPr>
          <w:p w14:paraId="1EE1DC5F" w14:textId="75832B1F" w:rsidR="001B5C89" w:rsidRPr="00EE100D" w:rsidRDefault="009E49FF" w:rsidP="000700E7">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FREE</w:t>
            </w:r>
          </w:p>
        </w:tc>
        <w:tc>
          <w:tcPr>
            <w:tcW w:w="2924" w:type="dxa"/>
            <w:tcBorders>
              <w:top w:val="single" w:sz="4" w:space="0" w:color="auto"/>
              <w:left w:val="single" w:sz="4" w:space="0" w:color="auto"/>
              <w:bottom w:val="single" w:sz="4" w:space="0" w:color="auto"/>
              <w:right w:val="single" w:sz="4" w:space="0" w:color="auto"/>
            </w:tcBorders>
          </w:tcPr>
          <w:p w14:paraId="69B96936" w14:textId="6FDB8781" w:rsidR="001B5C89" w:rsidRPr="00EE100D" w:rsidRDefault="005E5EE0" w:rsidP="00F04CD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SCID</w:t>
            </w:r>
            <w:r w:rsidR="00177338" w:rsidRPr="00EE100D">
              <w:rPr>
                <w:rFonts w:ascii="Arial" w:hAnsi="Arial" w:cs="Arial"/>
              </w:rPr>
              <w:t xml:space="preserve"> </w:t>
            </w:r>
            <w:r w:rsidR="00530382">
              <w:rPr>
                <w:rFonts w:ascii="Arial" w:hAnsi="Arial" w:cs="Arial"/>
              </w:rPr>
              <w:t xml:space="preserve">Certificate </w:t>
            </w:r>
            <w:r w:rsidR="00177338" w:rsidRPr="00EE100D">
              <w:rPr>
                <w:rFonts w:ascii="Arial" w:hAnsi="Arial" w:cs="Arial"/>
              </w:rPr>
              <w:t>Requests</w:t>
            </w:r>
            <w:r w:rsidR="00A93D55" w:rsidRPr="00EE100D">
              <w:rPr>
                <w:rFonts w:ascii="Arial" w:hAnsi="Arial" w:cs="Arial"/>
              </w:rPr>
              <w:t>/Issuances</w:t>
            </w:r>
            <w:r w:rsidR="00177338" w:rsidRPr="00EE100D">
              <w:rPr>
                <w:rFonts w:ascii="Arial" w:hAnsi="Arial" w:cs="Arial"/>
              </w:rPr>
              <w:t xml:space="preserve"> up to 99,999</w:t>
            </w:r>
          </w:p>
        </w:tc>
      </w:tr>
    </w:tbl>
    <w:p w14:paraId="72E19348" w14:textId="77777777" w:rsidR="009E49FF" w:rsidRPr="00EE100D" w:rsidRDefault="009E49FF">
      <w:pPr>
        <w:rPr>
          <w:rFonts w:ascii="Arial" w:hAnsi="Arial" w:cs="Arial"/>
        </w:rPr>
      </w:pPr>
    </w:p>
    <w:p w14:paraId="0331FC49" w14:textId="122E32B3" w:rsidR="00165AAA" w:rsidRDefault="00165AAA">
      <w:pPr>
        <w:rPr>
          <w:rFonts w:ascii="Arial" w:eastAsiaTheme="majorEastAsia" w:hAnsi="Arial" w:cs="Arial"/>
          <w:b/>
          <w:bCs/>
          <w:color w:val="000000" w:themeColor="text1"/>
          <w:sz w:val="40"/>
          <w:szCs w:val="40"/>
        </w:rPr>
      </w:pPr>
      <w:r>
        <w:rPr>
          <w:rFonts w:ascii="Arial" w:hAnsi="Arial" w:cs="Arial"/>
          <w:b/>
          <w:bCs/>
          <w:color w:val="000000" w:themeColor="text1"/>
        </w:rPr>
        <w:br w:type="page"/>
      </w:r>
    </w:p>
    <w:p w14:paraId="115BAF15" w14:textId="77777777" w:rsidR="00165AAA" w:rsidRDefault="00165AAA" w:rsidP="001C7188">
      <w:pPr>
        <w:pStyle w:val="Heading1"/>
        <w:spacing w:before="0" w:after="0"/>
        <w:rPr>
          <w:rFonts w:ascii="Arial" w:hAnsi="Arial" w:cs="Arial"/>
          <w:b/>
          <w:bCs/>
          <w:color w:val="000000" w:themeColor="text1"/>
        </w:rPr>
      </w:pPr>
    </w:p>
    <w:p w14:paraId="6E168DD7" w14:textId="0C1455F3" w:rsidR="0041445B" w:rsidRPr="00ED5309" w:rsidRDefault="0041445B" w:rsidP="001C7188">
      <w:pPr>
        <w:pStyle w:val="Heading1"/>
        <w:spacing w:before="0" w:after="0"/>
        <w:rPr>
          <w:rFonts w:ascii="Arial" w:hAnsi="Arial" w:cs="Arial"/>
          <w:b/>
          <w:bCs/>
          <w:color w:val="595D64"/>
        </w:rPr>
      </w:pPr>
      <w:bookmarkStart w:id="12" w:name="_Toc170739895"/>
      <w:r w:rsidRPr="00ED5309">
        <w:rPr>
          <w:rFonts w:ascii="Arial" w:hAnsi="Arial" w:cs="Arial"/>
          <w:b/>
          <w:bCs/>
          <w:color w:val="595D64"/>
        </w:rPr>
        <w:t>E</w:t>
      </w:r>
      <w:r w:rsidR="004B4AF4" w:rsidRPr="00ED5309">
        <w:rPr>
          <w:rFonts w:ascii="Arial" w:hAnsi="Arial" w:cs="Arial"/>
          <w:b/>
          <w:bCs/>
          <w:color w:val="595D64"/>
        </w:rPr>
        <w:t>nvironmental Attribute Certificate (EAC) Distribution</w:t>
      </w:r>
      <w:bookmarkEnd w:id="12"/>
    </w:p>
    <w:p w14:paraId="724C5F2C" w14:textId="77777777" w:rsidR="0041445B" w:rsidRPr="00EE100D" w:rsidRDefault="0041445B" w:rsidP="00766CB3">
      <w:pPr>
        <w:pStyle w:val="Heading2"/>
        <w:rPr>
          <w:rFonts w:ascii="Arial" w:hAnsi="Arial" w:cs="Arial"/>
          <w:color w:val="595D64"/>
          <w:sz w:val="28"/>
          <w:szCs w:val="28"/>
        </w:rPr>
      </w:pPr>
      <w:bookmarkStart w:id="13" w:name="_Toc170739896"/>
      <w:r w:rsidRPr="00EE100D">
        <w:rPr>
          <w:rFonts w:ascii="Arial" w:hAnsi="Arial" w:cs="Arial"/>
          <w:color w:val="595D64"/>
          <w:sz w:val="28"/>
          <w:szCs w:val="28"/>
        </w:rPr>
        <w:t>The Service</w:t>
      </w:r>
      <w:bookmarkEnd w:id="13"/>
    </w:p>
    <w:p w14:paraId="76EC14BD" w14:textId="4251F750" w:rsidR="0041445B" w:rsidRPr="00EE100D" w:rsidRDefault="0041445B" w:rsidP="0041445B">
      <w:pPr>
        <w:rPr>
          <w:rFonts w:ascii="Arial" w:hAnsi="Arial" w:cs="Arial"/>
        </w:rPr>
      </w:pPr>
      <w:r w:rsidRPr="00EE100D">
        <w:rPr>
          <w:rFonts w:ascii="Arial" w:hAnsi="Arial" w:cs="Arial"/>
        </w:rPr>
        <w:t xml:space="preserve">The </w:t>
      </w:r>
      <w:r w:rsidR="0070609F">
        <w:rPr>
          <w:rFonts w:ascii="Arial" w:hAnsi="Arial" w:cs="Arial"/>
        </w:rPr>
        <w:t>EAC Distribution</w:t>
      </w:r>
      <w:r w:rsidRPr="00EE100D">
        <w:rPr>
          <w:rFonts w:ascii="Arial" w:hAnsi="Arial" w:cs="Arial"/>
        </w:rPr>
        <w:t xml:space="preserve"> Service provides three currently supported distribution models for settling transactions - and or exchanging data - affiliated with the quantified environmental benefits connected to </w:t>
      </w:r>
      <w:r w:rsidR="005E5EE0" w:rsidRPr="00EE100D">
        <w:rPr>
          <w:rFonts w:ascii="Arial" w:hAnsi="Arial" w:cs="Arial"/>
        </w:rPr>
        <w:t>SCID</w:t>
      </w:r>
      <w:r w:rsidR="00B56306">
        <w:rPr>
          <w:rFonts w:ascii="Arial" w:hAnsi="Arial" w:cs="Arial"/>
        </w:rPr>
        <w:t xml:space="preserve"> certificates</w:t>
      </w:r>
      <w:r w:rsidRPr="00EE100D">
        <w:rPr>
          <w:rFonts w:ascii="Arial" w:hAnsi="Arial" w:cs="Arial"/>
        </w:rPr>
        <w:t xml:space="preserve">. To administer these services, custodians request </w:t>
      </w:r>
      <w:r w:rsidR="005E5EE0" w:rsidRPr="00EE100D">
        <w:rPr>
          <w:rFonts w:ascii="Arial" w:hAnsi="Arial" w:cs="Arial"/>
        </w:rPr>
        <w:t>SCIDs</w:t>
      </w:r>
      <w:r w:rsidRPr="00EE100D">
        <w:rPr>
          <w:rFonts w:ascii="Arial" w:hAnsi="Arial" w:cs="Arial"/>
        </w:rPr>
        <w:t xml:space="preserve"> via </w:t>
      </w:r>
      <w:r w:rsidR="0044078B" w:rsidRPr="00EE100D">
        <w:rPr>
          <w:rFonts w:ascii="Arial" w:hAnsi="Arial" w:cs="Arial"/>
        </w:rPr>
        <w:t>METI</w:t>
      </w:r>
      <w:r w:rsidRPr="00EE100D">
        <w:rPr>
          <w:rFonts w:ascii="Arial" w:hAnsi="Arial" w:cs="Arial"/>
        </w:rPr>
        <w:t xml:space="preserve"> </w:t>
      </w:r>
      <w:r w:rsidR="006B7935">
        <w:rPr>
          <w:rFonts w:ascii="Arial" w:hAnsi="Arial" w:cs="Arial"/>
        </w:rPr>
        <w:t>Originate’s online portal</w:t>
      </w:r>
      <w:r w:rsidRPr="00EE100D">
        <w:rPr>
          <w:rFonts w:ascii="Arial" w:hAnsi="Arial" w:cs="Arial"/>
        </w:rPr>
        <w:t xml:space="preserve"> and, once issued, generate</w:t>
      </w:r>
      <w:r w:rsidR="00BE28D1">
        <w:rPr>
          <w:rFonts w:ascii="Arial" w:hAnsi="Arial" w:cs="Arial"/>
        </w:rPr>
        <w:t xml:space="preserve"> and distribute</w:t>
      </w:r>
      <w:r w:rsidRPr="00EE100D">
        <w:rPr>
          <w:rFonts w:ascii="Arial" w:hAnsi="Arial" w:cs="Arial"/>
        </w:rPr>
        <w:t xml:space="preserve"> Environmental Attribute Certificates (EACs). An EAC represents the quantified (verified or unverified, registered or unregistered) environmental benefits generated by sustainable practices and interventions. Akin to intermodal shipping containers, EACs provide secure, traceable, and standardized means of transporting environmental assets across platforms and between parties. These EACs can be distributed using one of three models: </w:t>
      </w:r>
      <w:r w:rsidRPr="00EE100D">
        <w:rPr>
          <w:rFonts w:ascii="Arial" w:hAnsi="Arial" w:cs="Arial"/>
          <w:i/>
          <w:iCs/>
        </w:rPr>
        <w:t xml:space="preserve">Direct Distribution, Segment Autonomous Distribution, </w:t>
      </w:r>
      <w:r w:rsidRPr="00EE100D">
        <w:rPr>
          <w:rFonts w:ascii="Arial" w:hAnsi="Arial" w:cs="Arial"/>
        </w:rPr>
        <w:t>or</w:t>
      </w:r>
      <w:r w:rsidRPr="00EE100D">
        <w:rPr>
          <w:rFonts w:ascii="Arial" w:hAnsi="Arial" w:cs="Arial"/>
          <w:i/>
          <w:iCs/>
        </w:rPr>
        <w:t xml:space="preserve"> Syndicated Distribution</w:t>
      </w:r>
      <w:r w:rsidRPr="00EE100D">
        <w:rPr>
          <w:rFonts w:ascii="Arial" w:hAnsi="Arial" w:cs="Arial"/>
        </w:rPr>
        <w:t xml:space="preserve">. </w:t>
      </w:r>
    </w:p>
    <w:p w14:paraId="59E49D4E" w14:textId="6687AB98" w:rsidR="0041445B" w:rsidRPr="00EE100D" w:rsidRDefault="002345DB" w:rsidP="0041445B">
      <w:pPr>
        <w:rPr>
          <w:rFonts w:ascii="Arial" w:hAnsi="Arial" w:cs="Arial"/>
        </w:rPr>
      </w:pPr>
      <w:r w:rsidRPr="002345DB">
        <w:rPr>
          <w:rFonts w:ascii="Arial" w:hAnsi="Arial" w:cs="Arial"/>
          <w:noProof/>
        </w:rPr>
        <w:drawing>
          <wp:inline distT="0" distB="0" distL="0" distR="0" wp14:anchorId="7DCEC1C7" wp14:editId="76C383D4">
            <wp:extent cx="5943600" cy="4273550"/>
            <wp:effectExtent l="0" t="0" r="0" b="0"/>
            <wp:docPr id="1746645238" name="Picture 1" descr="A diagram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45238" name="Picture 1" descr="A diagram of a distribution&#10;&#10;Description automatically generated"/>
                    <pic:cNvPicPr/>
                  </pic:nvPicPr>
                  <pic:blipFill>
                    <a:blip r:embed="rId14"/>
                    <a:stretch>
                      <a:fillRect/>
                    </a:stretch>
                  </pic:blipFill>
                  <pic:spPr>
                    <a:xfrm>
                      <a:off x="0" y="0"/>
                      <a:ext cx="5943600" cy="4273550"/>
                    </a:xfrm>
                    <a:prstGeom prst="rect">
                      <a:avLst/>
                    </a:prstGeom>
                  </pic:spPr>
                </pic:pic>
              </a:graphicData>
            </a:graphic>
          </wp:inline>
        </w:drawing>
      </w:r>
    </w:p>
    <w:p w14:paraId="3273A2E9" w14:textId="77777777" w:rsidR="0041445B" w:rsidRPr="00EE100D" w:rsidRDefault="0041445B" w:rsidP="0041445B">
      <w:pPr>
        <w:rPr>
          <w:rFonts w:ascii="Arial" w:hAnsi="Arial" w:cs="Arial"/>
          <w:b/>
          <w:bCs/>
        </w:rPr>
      </w:pPr>
    </w:p>
    <w:p w14:paraId="193D9BDD" w14:textId="77777777" w:rsidR="0041445B" w:rsidRPr="00EE100D" w:rsidRDefault="0041445B" w:rsidP="0041445B">
      <w:pPr>
        <w:rPr>
          <w:rFonts w:ascii="Arial" w:hAnsi="Arial" w:cs="Arial"/>
          <w:b/>
          <w:bCs/>
        </w:rPr>
      </w:pPr>
    </w:p>
    <w:p w14:paraId="6B91313E" w14:textId="77777777" w:rsidR="0041445B" w:rsidRPr="00EE100D" w:rsidRDefault="0041445B" w:rsidP="0041445B">
      <w:pPr>
        <w:rPr>
          <w:rFonts w:ascii="Arial" w:hAnsi="Arial" w:cs="Arial"/>
          <w:b/>
          <w:bCs/>
        </w:rPr>
      </w:pPr>
    </w:p>
    <w:p w14:paraId="3C1B0E10" w14:textId="77777777" w:rsidR="0041445B" w:rsidRPr="00EE100D" w:rsidRDefault="0041445B" w:rsidP="0041445B">
      <w:pPr>
        <w:spacing w:after="0" w:line="240" w:lineRule="auto"/>
        <w:rPr>
          <w:rFonts w:ascii="Arial" w:hAnsi="Arial" w:cs="Arial"/>
          <w:b/>
          <w:bCs/>
        </w:rPr>
      </w:pPr>
    </w:p>
    <w:p w14:paraId="74F73D12" w14:textId="77777777" w:rsidR="0041445B" w:rsidRPr="00EE100D" w:rsidRDefault="0041445B" w:rsidP="0041445B">
      <w:pPr>
        <w:spacing w:after="0" w:line="240" w:lineRule="auto"/>
        <w:rPr>
          <w:rFonts w:ascii="Arial" w:hAnsi="Arial" w:cs="Arial"/>
          <w:b/>
          <w:bCs/>
        </w:rPr>
      </w:pPr>
      <w:r w:rsidRPr="00EE100D">
        <w:rPr>
          <w:rFonts w:ascii="Arial" w:hAnsi="Arial" w:cs="Arial"/>
          <w:b/>
          <w:bCs/>
        </w:rPr>
        <w:t>Direct Distribution</w:t>
      </w:r>
    </w:p>
    <w:p w14:paraId="4BEEE3C2" w14:textId="4742FF16" w:rsidR="0041445B" w:rsidRPr="00EE100D" w:rsidRDefault="0041445B" w:rsidP="0041445B">
      <w:pPr>
        <w:spacing w:after="0" w:line="240" w:lineRule="auto"/>
        <w:rPr>
          <w:rFonts w:ascii="Arial" w:hAnsi="Arial" w:cs="Arial"/>
        </w:rPr>
      </w:pPr>
      <w:r w:rsidRPr="00EE100D">
        <w:rPr>
          <w:rFonts w:ascii="Arial" w:hAnsi="Arial" w:cs="Arial"/>
        </w:rPr>
        <w:t xml:space="preserve">In the Direct Distribution, the Custodian directly transfers the EACs to a single beneficiary, generally in the equivalent quantities agreed to in an affiliated transaction. Akin to a title transfer, this approach ensures a swift and straightforward transaction, providing immediate access to the EACs, affiliated </w:t>
      </w:r>
      <w:r w:rsidR="005E5EE0" w:rsidRPr="00EE100D">
        <w:rPr>
          <w:rFonts w:ascii="Arial" w:hAnsi="Arial" w:cs="Arial"/>
        </w:rPr>
        <w:t>SCID</w:t>
      </w:r>
      <w:r w:rsidR="00C4699E">
        <w:rPr>
          <w:rFonts w:ascii="Arial" w:hAnsi="Arial" w:cs="Arial"/>
        </w:rPr>
        <w:t xml:space="preserve"> certificates</w:t>
      </w:r>
      <w:r w:rsidRPr="00EE100D">
        <w:rPr>
          <w:rFonts w:ascii="Arial" w:hAnsi="Arial" w:cs="Arial"/>
        </w:rPr>
        <w:t>, and minimizes complications associated with additional layers of distribution.</w:t>
      </w:r>
    </w:p>
    <w:p w14:paraId="26A46C02" w14:textId="064E9DE2" w:rsidR="0041445B" w:rsidRPr="00EE100D" w:rsidRDefault="00231E89" w:rsidP="0041445B">
      <w:pPr>
        <w:rPr>
          <w:rFonts w:ascii="Arial" w:hAnsi="Arial" w:cs="Arial"/>
        </w:rPr>
      </w:pPr>
      <w:r w:rsidRPr="00231E89">
        <w:rPr>
          <w:rFonts w:ascii="Arial" w:hAnsi="Arial" w:cs="Arial"/>
          <w:noProof/>
        </w:rPr>
        <w:drawing>
          <wp:inline distT="0" distB="0" distL="0" distR="0" wp14:anchorId="110B8F91" wp14:editId="1CDFE739">
            <wp:extent cx="5943600" cy="1196091"/>
            <wp:effectExtent l="0" t="0" r="0" b="4445"/>
            <wp:docPr id="1543574272" name="Picture 1" descr="A diagram of a custodi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4272" name="Picture 1" descr="A diagram of a custodian&#10;&#10;Description automatically generated"/>
                    <pic:cNvPicPr/>
                  </pic:nvPicPr>
                  <pic:blipFill rotWithShape="1">
                    <a:blip r:embed="rId15"/>
                    <a:srcRect t="9224"/>
                    <a:stretch/>
                  </pic:blipFill>
                  <pic:spPr bwMode="auto">
                    <a:xfrm>
                      <a:off x="0" y="0"/>
                      <a:ext cx="5943600" cy="1196091"/>
                    </a:xfrm>
                    <a:prstGeom prst="rect">
                      <a:avLst/>
                    </a:prstGeom>
                    <a:ln>
                      <a:noFill/>
                    </a:ln>
                    <a:extLst>
                      <a:ext uri="{53640926-AAD7-44D8-BBD7-CCE9431645EC}">
                        <a14:shadowObscured xmlns:a14="http://schemas.microsoft.com/office/drawing/2010/main"/>
                      </a:ext>
                    </a:extLst>
                  </pic:spPr>
                </pic:pic>
              </a:graphicData>
            </a:graphic>
          </wp:inline>
        </w:drawing>
      </w:r>
    </w:p>
    <w:p w14:paraId="0CD05D19" w14:textId="77777777" w:rsidR="0041445B" w:rsidRPr="00EE100D" w:rsidRDefault="0041445B" w:rsidP="0041445B">
      <w:pPr>
        <w:spacing w:after="0" w:line="240" w:lineRule="auto"/>
        <w:rPr>
          <w:rFonts w:ascii="Arial" w:hAnsi="Arial" w:cs="Arial"/>
          <w:b/>
          <w:bCs/>
        </w:rPr>
      </w:pPr>
      <w:r w:rsidRPr="00EE100D">
        <w:rPr>
          <w:rFonts w:ascii="Arial" w:hAnsi="Arial" w:cs="Arial"/>
          <w:b/>
          <w:bCs/>
        </w:rPr>
        <w:t>Segmented Autonomous Distribution (Self-Service)</w:t>
      </w:r>
    </w:p>
    <w:p w14:paraId="30904FCA" w14:textId="4E780417" w:rsidR="0041445B" w:rsidRPr="00EE100D" w:rsidRDefault="0041445B" w:rsidP="0041445B">
      <w:pPr>
        <w:spacing w:after="0" w:line="240" w:lineRule="auto"/>
        <w:rPr>
          <w:rFonts w:ascii="Arial" w:hAnsi="Arial" w:cs="Arial"/>
        </w:rPr>
      </w:pPr>
      <w:r w:rsidRPr="00EE100D">
        <w:rPr>
          <w:rFonts w:ascii="Arial" w:hAnsi="Arial" w:cs="Arial"/>
        </w:rPr>
        <w:t xml:space="preserve">In Segmented Autonomous Distribution, the Custodian distributes </w:t>
      </w:r>
      <w:r w:rsidR="005E5EE0" w:rsidRPr="00EE100D">
        <w:rPr>
          <w:rFonts w:ascii="Arial" w:hAnsi="Arial" w:cs="Arial"/>
        </w:rPr>
        <w:t>SCIDs</w:t>
      </w:r>
      <w:r w:rsidRPr="00EE100D">
        <w:rPr>
          <w:rFonts w:ascii="Arial" w:hAnsi="Arial" w:cs="Arial"/>
        </w:rPr>
        <w:t xml:space="preserve"> to Sub-Custodians (Beneficiaries) in a segmented manner. Each Sub-Custodian, acting with a sub-certificated authority from the primary Custodian, has the autonomy to transfer or trade the EACs at their discretion. This structure ensures secure and controlled chain of custody while granting each Sub-Custodian flexibility and discretion in managing their received benefits. </w:t>
      </w:r>
    </w:p>
    <w:p w14:paraId="2B51CBB4" w14:textId="505C4415" w:rsidR="0041445B" w:rsidRPr="00EE100D" w:rsidRDefault="00C41D89" w:rsidP="0041445B">
      <w:pPr>
        <w:rPr>
          <w:rFonts w:ascii="Arial" w:hAnsi="Arial" w:cs="Arial"/>
        </w:rPr>
      </w:pPr>
      <w:r w:rsidRPr="00C41D89">
        <w:rPr>
          <w:rFonts w:ascii="Arial" w:hAnsi="Arial" w:cs="Arial"/>
          <w:noProof/>
        </w:rPr>
        <w:drawing>
          <wp:inline distT="0" distB="0" distL="0" distR="0" wp14:anchorId="7EACC094" wp14:editId="6BCE47ED">
            <wp:extent cx="5943600" cy="1386840"/>
            <wp:effectExtent l="0" t="0" r="0" b="3810"/>
            <wp:docPr id="3460088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8856" name="Picture 1" descr="A diagram of a diagram&#10;&#10;Description automatically generated"/>
                    <pic:cNvPicPr/>
                  </pic:nvPicPr>
                  <pic:blipFill>
                    <a:blip r:embed="rId16"/>
                    <a:stretch>
                      <a:fillRect/>
                    </a:stretch>
                  </pic:blipFill>
                  <pic:spPr>
                    <a:xfrm>
                      <a:off x="0" y="0"/>
                      <a:ext cx="5943600" cy="1386840"/>
                    </a:xfrm>
                    <a:prstGeom prst="rect">
                      <a:avLst/>
                    </a:prstGeom>
                  </pic:spPr>
                </pic:pic>
              </a:graphicData>
            </a:graphic>
          </wp:inline>
        </w:drawing>
      </w:r>
    </w:p>
    <w:p w14:paraId="7C0091A0" w14:textId="77777777" w:rsidR="0041445B" w:rsidRPr="00EE100D" w:rsidRDefault="0041445B" w:rsidP="0041445B">
      <w:pPr>
        <w:spacing w:after="0" w:line="240" w:lineRule="auto"/>
        <w:rPr>
          <w:rFonts w:ascii="Arial" w:hAnsi="Arial" w:cs="Arial"/>
          <w:b/>
          <w:bCs/>
        </w:rPr>
      </w:pPr>
      <w:r w:rsidRPr="00EE100D">
        <w:rPr>
          <w:rFonts w:ascii="Arial" w:hAnsi="Arial" w:cs="Arial"/>
          <w:b/>
          <w:bCs/>
        </w:rPr>
        <w:t>Syndicated Distribution (Managed by Syndicate Lead)</w:t>
      </w:r>
    </w:p>
    <w:p w14:paraId="3CDFB424" w14:textId="77777777" w:rsidR="0041445B" w:rsidRPr="00EE100D" w:rsidRDefault="0041445B" w:rsidP="0041445B">
      <w:pPr>
        <w:spacing w:after="0" w:line="240" w:lineRule="auto"/>
        <w:rPr>
          <w:rFonts w:ascii="Arial" w:hAnsi="Arial" w:cs="Arial"/>
        </w:rPr>
      </w:pPr>
      <w:r w:rsidRPr="00EE100D">
        <w:rPr>
          <w:rFonts w:ascii="Arial" w:hAnsi="Arial" w:cs="Arial"/>
        </w:rPr>
        <w:t xml:space="preserve">In the Syndicated Distribution model, a lead custodian, known as the Syndicate Lead, manages and administers the distribution of EACs to beneficiaries in accordance with a predetermined facility or contract between the syndicate members. This model centralizes the distribution process under a single authority, streamlining administration and ensuring coordinated delivery of EACs. </w:t>
      </w:r>
    </w:p>
    <w:p w14:paraId="6D0E9D38" w14:textId="2C3244B4" w:rsidR="0041445B" w:rsidRPr="00EE100D" w:rsidRDefault="0003439A" w:rsidP="0041445B">
      <w:pPr>
        <w:rPr>
          <w:rFonts w:ascii="Arial" w:hAnsi="Arial" w:cs="Arial"/>
        </w:rPr>
      </w:pPr>
      <w:r w:rsidRPr="0003439A">
        <w:rPr>
          <w:rFonts w:ascii="Arial" w:hAnsi="Arial" w:cs="Arial"/>
          <w:noProof/>
        </w:rPr>
        <w:drawing>
          <wp:inline distT="0" distB="0" distL="0" distR="0" wp14:anchorId="1F82843C" wp14:editId="67E87042">
            <wp:extent cx="5943600" cy="1680210"/>
            <wp:effectExtent l="0" t="0" r="0" b="0"/>
            <wp:docPr id="776741931" name="Picture 1" descr="A diagram of a custodi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1931" name="Picture 1" descr="A diagram of a custodian&#10;&#10;Description automatically generated"/>
                    <pic:cNvPicPr/>
                  </pic:nvPicPr>
                  <pic:blipFill>
                    <a:blip r:embed="rId17"/>
                    <a:stretch>
                      <a:fillRect/>
                    </a:stretch>
                  </pic:blipFill>
                  <pic:spPr>
                    <a:xfrm>
                      <a:off x="0" y="0"/>
                      <a:ext cx="5943600" cy="1680210"/>
                    </a:xfrm>
                    <a:prstGeom prst="rect">
                      <a:avLst/>
                    </a:prstGeom>
                  </pic:spPr>
                </pic:pic>
              </a:graphicData>
            </a:graphic>
          </wp:inline>
        </w:drawing>
      </w:r>
    </w:p>
    <w:p w14:paraId="64B26CDF" w14:textId="77777777" w:rsidR="0041445B" w:rsidRPr="00EE100D" w:rsidRDefault="0041445B" w:rsidP="0041445B">
      <w:pPr>
        <w:rPr>
          <w:rFonts w:ascii="Arial" w:hAnsi="Arial" w:cs="Arial"/>
        </w:rPr>
      </w:pPr>
    </w:p>
    <w:p w14:paraId="2C0786D9" w14:textId="77777777" w:rsidR="0041445B" w:rsidRPr="00EE100D" w:rsidRDefault="0041445B" w:rsidP="0041445B">
      <w:pPr>
        <w:rPr>
          <w:rFonts w:ascii="Arial" w:hAnsi="Arial" w:cs="Arial"/>
        </w:rPr>
      </w:pPr>
    </w:p>
    <w:p w14:paraId="4C80C14A" w14:textId="4A5F2825" w:rsidR="0041445B" w:rsidRPr="00EE100D" w:rsidRDefault="0041445B" w:rsidP="00961043">
      <w:pPr>
        <w:pStyle w:val="Heading2"/>
        <w:rPr>
          <w:rFonts w:ascii="Arial" w:hAnsi="Arial" w:cs="Arial"/>
          <w:color w:val="595D64"/>
          <w:sz w:val="28"/>
          <w:szCs w:val="28"/>
        </w:rPr>
      </w:pPr>
      <w:bookmarkStart w:id="14" w:name="_Toc170739897"/>
      <w:r w:rsidRPr="00EE100D">
        <w:rPr>
          <w:rFonts w:ascii="Arial" w:hAnsi="Arial" w:cs="Arial"/>
          <w:color w:val="595D64"/>
          <w:sz w:val="28"/>
          <w:szCs w:val="28"/>
        </w:rPr>
        <w:t>Features</w:t>
      </w:r>
      <w:r w:rsidR="006D7EAF">
        <w:rPr>
          <w:rFonts w:ascii="Arial" w:hAnsi="Arial" w:cs="Arial"/>
          <w:color w:val="595D64"/>
          <w:sz w:val="28"/>
          <w:szCs w:val="28"/>
        </w:rPr>
        <w:t xml:space="preserve"> &amp; Benefits</w:t>
      </w:r>
      <w:bookmarkEnd w:id="14"/>
    </w:p>
    <w:p w14:paraId="02842015" w14:textId="4CC3487C" w:rsidR="0041445B" w:rsidRPr="00EE100D" w:rsidRDefault="005E5EE0" w:rsidP="0041445B">
      <w:pPr>
        <w:rPr>
          <w:rFonts w:ascii="Arial" w:hAnsi="Arial" w:cs="Arial"/>
        </w:rPr>
      </w:pPr>
      <w:r w:rsidRPr="00EE100D">
        <w:rPr>
          <w:rFonts w:ascii="Arial" w:hAnsi="Arial" w:cs="Arial"/>
        </w:rPr>
        <w:t>SCIDs</w:t>
      </w:r>
      <w:r w:rsidR="0041445B" w:rsidRPr="00EE100D">
        <w:rPr>
          <w:rFonts w:ascii="Arial" w:hAnsi="Arial" w:cs="Arial"/>
        </w:rPr>
        <w:t xml:space="preserve"> are assigned to EACs and their underlying facilities, and conversely all underlying facilities and EACs are mapped to </w:t>
      </w:r>
      <w:r w:rsidRPr="00EE100D">
        <w:rPr>
          <w:rFonts w:ascii="Arial" w:hAnsi="Arial" w:cs="Arial"/>
        </w:rPr>
        <w:t>SCIDs</w:t>
      </w:r>
      <w:r w:rsidR="0041445B" w:rsidRPr="00EE100D">
        <w:rPr>
          <w:rFonts w:ascii="Arial" w:hAnsi="Arial" w:cs="Arial"/>
        </w:rPr>
        <w:t xml:space="preserve"> – providing traceable and continuous chain of custody of environmental benefits across custodian platforms and systems. </w:t>
      </w:r>
    </w:p>
    <w:p w14:paraId="21CF8432" w14:textId="72F542AA" w:rsidR="0041445B" w:rsidRPr="00EE100D" w:rsidRDefault="0041445B" w:rsidP="0041445B">
      <w:pPr>
        <w:rPr>
          <w:rFonts w:ascii="Arial" w:hAnsi="Arial" w:cs="Arial"/>
        </w:rPr>
      </w:pPr>
      <w:r w:rsidRPr="00EE100D">
        <w:rPr>
          <w:rFonts w:ascii="Arial" w:hAnsi="Arial" w:cs="Arial"/>
        </w:rPr>
        <w:t xml:space="preserve">A common system of reference for transaction facilitation and settlement used by a growing group of </w:t>
      </w:r>
      <w:r w:rsidR="00104BE1">
        <w:rPr>
          <w:rFonts w:ascii="Arial" w:hAnsi="Arial" w:cs="Arial"/>
        </w:rPr>
        <w:t xml:space="preserve">leading </w:t>
      </w:r>
      <w:r w:rsidRPr="00EE100D">
        <w:rPr>
          <w:rFonts w:ascii="Arial" w:hAnsi="Arial" w:cs="Arial"/>
        </w:rPr>
        <w:t>market participants - supporting a more orderly exchange of information in an automated, standardized, and secure environment.</w:t>
      </w:r>
    </w:p>
    <w:p w14:paraId="30FDE0E5" w14:textId="77777777" w:rsidR="0041445B" w:rsidRPr="00EE100D" w:rsidRDefault="0041445B" w:rsidP="0041445B">
      <w:pPr>
        <w:rPr>
          <w:rFonts w:ascii="Arial" w:hAnsi="Arial" w:cs="Arial"/>
        </w:rPr>
      </w:pPr>
      <w:r w:rsidRPr="00EE100D">
        <w:rPr>
          <w:rFonts w:ascii="Arial" w:hAnsi="Arial" w:cs="Arial"/>
        </w:rPr>
        <w:t xml:space="preserve">Reduces frictional barriers, lowers systemic risk, and empowers stakeholders with greater control and clarity over their environmental benefit claims. </w:t>
      </w:r>
    </w:p>
    <w:p w14:paraId="16A98770" w14:textId="77777777" w:rsidR="0041445B" w:rsidRPr="00EE100D" w:rsidRDefault="0041445B" w:rsidP="0041445B">
      <w:pPr>
        <w:rPr>
          <w:rFonts w:ascii="Arial" w:hAnsi="Arial" w:cs="Arial"/>
        </w:rPr>
      </w:pPr>
      <w:r w:rsidRPr="00EE100D">
        <w:rPr>
          <w:rFonts w:ascii="Arial" w:hAnsi="Arial" w:cs="Arial"/>
          <w:b/>
          <w:bCs/>
        </w:rPr>
        <w:t>Direct Distribution</w:t>
      </w:r>
      <w:r w:rsidRPr="00EE100D">
        <w:rPr>
          <w:rFonts w:ascii="Arial" w:hAnsi="Arial" w:cs="Arial"/>
        </w:rPr>
        <w:t>: Immediate delivery of and access to BCs with minimal delays and complications.</w:t>
      </w:r>
    </w:p>
    <w:p w14:paraId="00BD89CA" w14:textId="77777777" w:rsidR="0041445B" w:rsidRPr="00EE100D" w:rsidRDefault="0041445B" w:rsidP="0041445B">
      <w:pPr>
        <w:rPr>
          <w:rFonts w:ascii="Arial" w:hAnsi="Arial" w:cs="Arial"/>
        </w:rPr>
      </w:pPr>
      <w:r w:rsidRPr="00EE100D">
        <w:rPr>
          <w:rFonts w:ascii="Arial" w:hAnsi="Arial" w:cs="Arial"/>
          <w:b/>
          <w:bCs/>
        </w:rPr>
        <w:t>Segment Autonomous Distribution</w:t>
      </w:r>
      <w:r w:rsidRPr="00EE100D">
        <w:rPr>
          <w:rFonts w:ascii="Arial" w:hAnsi="Arial" w:cs="Arial"/>
        </w:rPr>
        <w:t xml:space="preserve">: Secure multi-party distribution with flexibility for Sub-Custodians to manage EACs independently. </w:t>
      </w:r>
    </w:p>
    <w:p w14:paraId="025BC368" w14:textId="77777777" w:rsidR="0041445B" w:rsidRPr="00EE100D" w:rsidRDefault="0041445B" w:rsidP="0041445B">
      <w:pPr>
        <w:rPr>
          <w:rFonts w:ascii="Arial" w:hAnsi="Arial" w:cs="Arial"/>
        </w:rPr>
      </w:pPr>
      <w:r w:rsidRPr="00EE100D">
        <w:rPr>
          <w:rFonts w:ascii="Arial" w:hAnsi="Arial" w:cs="Arial"/>
          <w:b/>
          <w:bCs/>
        </w:rPr>
        <w:t>Syndicated Distribution</w:t>
      </w:r>
      <w:r w:rsidRPr="00EE100D">
        <w:rPr>
          <w:rFonts w:ascii="Arial" w:hAnsi="Arial" w:cs="Arial"/>
        </w:rPr>
        <w:t xml:space="preserve">: Streamlined administration and coordinated delivery of EACs. </w:t>
      </w:r>
    </w:p>
    <w:p w14:paraId="6137B770" w14:textId="77777777" w:rsidR="00901441" w:rsidRDefault="00901441" w:rsidP="00961043">
      <w:pPr>
        <w:pStyle w:val="Heading2"/>
        <w:rPr>
          <w:rFonts w:ascii="Arial" w:hAnsi="Arial" w:cs="Arial"/>
          <w:color w:val="595D64"/>
          <w:sz w:val="28"/>
          <w:szCs w:val="28"/>
        </w:rPr>
      </w:pPr>
    </w:p>
    <w:p w14:paraId="15642907" w14:textId="3E79C999" w:rsidR="0041445B" w:rsidRPr="00EE100D" w:rsidRDefault="0041445B" w:rsidP="00961043">
      <w:pPr>
        <w:pStyle w:val="Heading2"/>
        <w:rPr>
          <w:rFonts w:ascii="Arial" w:hAnsi="Arial" w:cs="Arial"/>
          <w:color w:val="595D64"/>
          <w:sz w:val="28"/>
          <w:szCs w:val="28"/>
        </w:rPr>
      </w:pPr>
      <w:bookmarkStart w:id="15" w:name="_Toc170739898"/>
      <w:r w:rsidRPr="00EE100D">
        <w:rPr>
          <w:rFonts w:ascii="Arial" w:hAnsi="Arial" w:cs="Arial"/>
          <w:color w:val="595D64"/>
          <w:sz w:val="28"/>
          <w:szCs w:val="28"/>
        </w:rPr>
        <w:t>Data</w:t>
      </w:r>
      <w:bookmarkEnd w:id="15"/>
    </w:p>
    <w:p w14:paraId="3E86B204" w14:textId="77777777" w:rsidR="0041445B" w:rsidRPr="00EE100D" w:rsidRDefault="0041445B" w:rsidP="0041445B">
      <w:pPr>
        <w:pStyle w:val="ListParagraph"/>
        <w:numPr>
          <w:ilvl w:val="0"/>
          <w:numId w:val="17"/>
        </w:numPr>
        <w:rPr>
          <w:rFonts w:ascii="Arial" w:hAnsi="Arial" w:cs="Arial"/>
        </w:rPr>
        <w:sectPr w:rsidR="0041445B" w:rsidRPr="00EE100D" w:rsidSect="0041445B">
          <w:headerReference w:type="default" r:id="rId18"/>
          <w:type w:val="continuous"/>
          <w:pgSz w:w="12240" w:h="15840"/>
          <w:pgMar w:top="1440" w:right="1440" w:bottom="1440" w:left="1440" w:header="720" w:footer="720" w:gutter="0"/>
          <w:cols w:space="720"/>
          <w:docGrid w:linePitch="360"/>
        </w:sectPr>
      </w:pPr>
    </w:p>
    <w:p w14:paraId="5068250C" w14:textId="58090862" w:rsidR="0041445B" w:rsidRPr="00EE100D" w:rsidRDefault="0041445B" w:rsidP="0041445B">
      <w:pPr>
        <w:pStyle w:val="ListParagraph"/>
        <w:numPr>
          <w:ilvl w:val="0"/>
          <w:numId w:val="17"/>
        </w:numPr>
        <w:rPr>
          <w:rFonts w:ascii="Arial" w:hAnsi="Arial" w:cs="Arial"/>
        </w:rPr>
      </w:pPr>
      <w:r w:rsidRPr="00EE100D">
        <w:rPr>
          <w:rFonts w:ascii="Arial" w:hAnsi="Arial" w:cs="Arial"/>
        </w:rPr>
        <w:t>EAC Identifier (EAC</w:t>
      </w:r>
      <w:r w:rsidR="0032225F">
        <w:rPr>
          <w:rFonts w:ascii="Arial" w:hAnsi="Arial" w:cs="Arial"/>
        </w:rPr>
        <w:t xml:space="preserve"> </w:t>
      </w:r>
      <w:r w:rsidRPr="00EE100D">
        <w:rPr>
          <w:rFonts w:ascii="Arial" w:hAnsi="Arial" w:cs="Arial"/>
        </w:rPr>
        <w:t>ID)</w:t>
      </w:r>
    </w:p>
    <w:p w14:paraId="46621A92" w14:textId="3CB9D116" w:rsidR="0041445B" w:rsidRPr="00EE100D" w:rsidRDefault="005E5EE0" w:rsidP="0041445B">
      <w:pPr>
        <w:pStyle w:val="ListParagraph"/>
        <w:numPr>
          <w:ilvl w:val="0"/>
          <w:numId w:val="17"/>
        </w:numPr>
        <w:rPr>
          <w:rFonts w:ascii="Arial" w:hAnsi="Arial" w:cs="Arial"/>
        </w:rPr>
      </w:pPr>
      <w:r w:rsidRPr="00EE100D">
        <w:rPr>
          <w:rFonts w:ascii="Arial" w:hAnsi="Arial" w:cs="Arial"/>
        </w:rPr>
        <w:t>SCID</w:t>
      </w:r>
      <w:r w:rsidR="0041445B" w:rsidRPr="00EE100D">
        <w:rPr>
          <w:rFonts w:ascii="Arial" w:hAnsi="Arial" w:cs="Arial"/>
        </w:rPr>
        <w:t>(s)</w:t>
      </w:r>
      <w:r w:rsidR="0032225F">
        <w:rPr>
          <w:rFonts w:ascii="Arial" w:hAnsi="Arial" w:cs="Arial"/>
        </w:rPr>
        <w:t xml:space="preserve"> Certificate </w:t>
      </w:r>
      <w:r w:rsidR="006E6228">
        <w:rPr>
          <w:rFonts w:ascii="Arial" w:hAnsi="Arial" w:cs="Arial"/>
        </w:rPr>
        <w:t>IDs</w:t>
      </w:r>
    </w:p>
    <w:p w14:paraId="3CA22B61"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Issuance Date</w:t>
      </w:r>
    </w:p>
    <w:p w14:paraId="346707FF"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Custodian Name</w:t>
      </w:r>
    </w:p>
    <w:p w14:paraId="6FAAA0B8"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Custodian Identifier</w:t>
      </w:r>
    </w:p>
    <w:p w14:paraId="7FE49FF0"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Environmental Attribute Type(s)</w:t>
      </w:r>
    </w:p>
    <w:p w14:paraId="00D8A603"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Quantity of Environmental Attributes</w:t>
      </w:r>
    </w:p>
    <w:p w14:paraId="12658341"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Unit(s) of Measurement</w:t>
      </w:r>
    </w:p>
    <w:p w14:paraId="5B691700"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Project or Program Name</w:t>
      </w:r>
    </w:p>
    <w:p w14:paraId="69A43DCA"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Project Type</w:t>
      </w:r>
    </w:p>
    <w:p w14:paraId="5CE36E5C"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Verification Status</w:t>
      </w:r>
    </w:p>
    <w:p w14:paraId="1C0DA28E"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Verification Body/Certifier Name</w:t>
      </w:r>
    </w:p>
    <w:p w14:paraId="5221E0F9"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 xml:space="preserve">Certification Standard </w:t>
      </w:r>
    </w:p>
    <w:p w14:paraId="78C0A3EB"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Affiliated Contract, Invoice, or Delivery Ticket ID</w:t>
      </w:r>
    </w:p>
    <w:p w14:paraId="115D6B0E"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Vintage</w:t>
      </w:r>
    </w:p>
    <w:p w14:paraId="47E0B527"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Beneficiary Name(s)</w:t>
      </w:r>
    </w:p>
    <w:p w14:paraId="1292746F" w14:textId="77777777" w:rsidR="0041445B" w:rsidRPr="00EE100D" w:rsidRDefault="0041445B" w:rsidP="0041445B">
      <w:pPr>
        <w:pStyle w:val="ListParagraph"/>
        <w:numPr>
          <w:ilvl w:val="0"/>
          <w:numId w:val="17"/>
        </w:numPr>
        <w:rPr>
          <w:rFonts w:ascii="Arial" w:hAnsi="Arial" w:cs="Arial"/>
        </w:rPr>
      </w:pPr>
      <w:r w:rsidRPr="00EE100D">
        <w:rPr>
          <w:rFonts w:ascii="Arial" w:hAnsi="Arial" w:cs="Arial"/>
        </w:rPr>
        <w:t>Beneficiary Identifier(s)</w:t>
      </w:r>
    </w:p>
    <w:p w14:paraId="178982F2" w14:textId="77777777" w:rsidR="0041445B" w:rsidRPr="00EE100D" w:rsidRDefault="0041445B" w:rsidP="0041445B">
      <w:pPr>
        <w:pStyle w:val="ListParagraph"/>
        <w:numPr>
          <w:ilvl w:val="0"/>
          <w:numId w:val="17"/>
        </w:numPr>
        <w:rPr>
          <w:rFonts w:ascii="Arial" w:hAnsi="Arial" w:cs="Arial"/>
        </w:rPr>
        <w:sectPr w:rsidR="0041445B" w:rsidRPr="00EE100D" w:rsidSect="0041445B">
          <w:type w:val="continuous"/>
          <w:pgSz w:w="12240" w:h="15840"/>
          <w:pgMar w:top="1440" w:right="1440" w:bottom="1440" w:left="1440" w:header="720" w:footer="720" w:gutter="0"/>
          <w:cols w:num="2" w:space="720"/>
          <w:docGrid w:linePitch="360"/>
        </w:sectPr>
      </w:pPr>
      <w:r w:rsidRPr="00EE100D">
        <w:rPr>
          <w:rFonts w:ascii="Arial" w:hAnsi="Arial" w:cs="Arial"/>
          <w:i/>
          <w:iCs/>
        </w:rPr>
        <w:t>Other Self-Defined &amp; Extensible</w:t>
      </w:r>
    </w:p>
    <w:p w14:paraId="71900E19" w14:textId="77777777" w:rsidR="00901441" w:rsidRDefault="00901441" w:rsidP="00961043">
      <w:pPr>
        <w:pStyle w:val="Heading2"/>
        <w:rPr>
          <w:rFonts w:ascii="Arial" w:hAnsi="Arial" w:cs="Arial"/>
          <w:color w:val="595D64"/>
          <w:sz w:val="28"/>
          <w:szCs w:val="28"/>
        </w:rPr>
      </w:pPr>
    </w:p>
    <w:p w14:paraId="11712F5F" w14:textId="42DE9F3F" w:rsidR="0041445B" w:rsidRPr="00EE100D" w:rsidRDefault="0041445B" w:rsidP="00961043">
      <w:pPr>
        <w:pStyle w:val="Heading2"/>
        <w:rPr>
          <w:rFonts w:ascii="Arial" w:hAnsi="Arial" w:cs="Arial"/>
          <w:color w:val="595D64"/>
          <w:sz w:val="28"/>
          <w:szCs w:val="28"/>
        </w:rPr>
      </w:pPr>
      <w:bookmarkStart w:id="16" w:name="_Toc170739899"/>
      <w:r w:rsidRPr="00EE100D">
        <w:rPr>
          <w:rFonts w:ascii="Arial" w:hAnsi="Arial" w:cs="Arial"/>
          <w:color w:val="595D64"/>
          <w:sz w:val="28"/>
          <w:szCs w:val="28"/>
        </w:rPr>
        <w:t>Delivery</w:t>
      </w:r>
      <w:bookmarkEnd w:id="16"/>
    </w:p>
    <w:p w14:paraId="77A86051" w14:textId="77777777" w:rsidR="00355569" w:rsidRPr="00EE100D" w:rsidRDefault="00355569" w:rsidP="00355569">
      <w:pPr>
        <w:pStyle w:val="ListParagraph"/>
        <w:numPr>
          <w:ilvl w:val="0"/>
          <w:numId w:val="11"/>
        </w:numPr>
        <w:rPr>
          <w:rFonts w:ascii="Arial" w:hAnsi="Arial" w:cs="Arial"/>
          <w:color w:val="0F4761" w:themeColor="accent1" w:themeShade="BF"/>
          <w:sz w:val="28"/>
          <w:szCs w:val="28"/>
        </w:rPr>
      </w:pPr>
      <w:r w:rsidRPr="00EE100D">
        <w:rPr>
          <w:rFonts w:ascii="Arial" w:hAnsi="Arial" w:cs="Arial"/>
        </w:rPr>
        <w:t xml:space="preserve">Available via </w:t>
      </w:r>
      <w:r>
        <w:rPr>
          <w:rFonts w:ascii="Arial" w:hAnsi="Arial" w:cs="Arial"/>
        </w:rPr>
        <w:t>METI</w:t>
      </w:r>
      <w:r w:rsidRPr="00EE100D">
        <w:rPr>
          <w:rFonts w:ascii="Arial" w:hAnsi="Arial" w:cs="Arial"/>
        </w:rPr>
        <w:t xml:space="preserve"> </w:t>
      </w:r>
      <w:r>
        <w:rPr>
          <w:rFonts w:ascii="Arial" w:hAnsi="Arial" w:cs="Arial"/>
        </w:rPr>
        <w:t xml:space="preserve">Originate </w:t>
      </w:r>
      <w:r w:rsidRPr="00EE100D">
        <w:rPr>
          <w:rFonts w:ascii="Arial" w:hAnsi="Arial" w:cs="Arial"/>
        </w:rPr>
        <w:t>Online Portal &amp; via API</w:t>
      </w:r>
    </w:p>
    <w:p w14:paraId="4559FD57" w14:textId="77777777" w:rsidR="0041445B" w:rsidRPr="00EE100D" w:rsidRDefault="0041445B" w:rsidP="0041445B">
      <w:pPr>
        <w:pStyle w:val="ListParagraph"/>
        <w:numPr>
          <w:ilvl w:val="0"/>
          <w:numId w:val="11"/>
        </w:numPr>
        <w:rPr>
          <w:rFonts w:ascii="Arial" w:hAnsi="Arial" w:cs="Arial"/>
          <w:color w:val="0F4761" w:themeColor="accent1" w:themeShade="BF"/>
          <w:sz w:val="28"/>
          <w:szCs w:val="28"/>
        </w:rPr>
      </w:pPr>
      <w:r w:rsidRPr="00EE100D">
        <w:rPr>
          <w:rFonts w:ascii="Arial" w:hAnsi="Arial" w:cs="Arial"/>
        </w:rPr>
        <w:t>Excel Add-in (</w:t>
      </w:r>
      <w:r w:rsidRPr="00EE100D">
        <w:rPr>
          <w:rFonts w:ascii="Arial" w:hAnsi="Arial" w:cs="Arial"/>
          <w:i/>
          <w:iCs/>
        </w:rPr>
        <w:t>coming soon</w:t>
      </w:r>
      <w:r w:rsidRPr="00EE100D">
        <w:rPr>
          <w:rFonts w:ascii="Arial" w:hAnsi="Arial" w:cs="Arial"/>
        </w:rPr>
        <w:t>)</w:t>
      </w:r>
    </w:p>
    <w:p w14:paraId="2858DD15" w14:textId="77777777" w:rsidR="0041445B" w:rsidRPr="00EE100D" w:rsidRDefault="0041445B" w:rsidP="0041445B">
      <w:pPr>
        <w:rPr>
          <w:rFonts w:ascii="Arial" w:hAnsi="Arial" w:cs="Arial"/>
          <w:color w:val="0F4761" w:themeColor="accent1" w:themeShade="BF"/>
          <w:sz w:val="28"/>
          <w:szCs w:val="28"/>
        </w:rPr>
      </w:pPr>
    </w:p>
    <w:p w14:paraId="7426265F" w14:textId="77777777" w:rsidR="0041445B" w:rsidRPr="00EE100D" w:rsidRDefault="0041445B" w:rsidP="0041445B">
      <w:pPr>
        <w:rPr>
          <w:rFonts w:ascii="Arial" w:hAnsi="Arial" w:cs="Arial"/>
          <w:color w:val="0F4761" w:themeColor="accent1" w:themeShade="BF"/>
          <w:sz w:val="28"/>
          <w:szCs w:val="28"/>
        </w:rPr>
      </w:pPr>
    </w:p>
    <w:p w14:paraId="769B101B" w14:textId="77777777" w:rsidR="0041445B" w:rsidRPr="00EE100D" w:rsidRDefault="0041445B" w:rsidP="0041445B">
      <w:pPr>
        <w:rPr>
          <w:rFonts w:ascii="Arial" w:hAnsi="Arial" w:cs="Arial"/>
          <w:color w:val="0F4761" w:themeColor="accent1" w:themeShade="BF"/>
          <w:sz w:val="28"/>
          <w:szCs w:val="28"/>
        </w:rPr>
      </w:pPr>
    </w:p>
    <w:p w14:paraId="35C5D6EB" w14:textId="77777777" w:rsidR="0041445B" w:rsidRPr="00EE100D" w:rsidRDefault="0041445B" w:rsidP="0041445B">
      <w:pPr>
        <w:rPr>
          <w:rFonts w:ascii="Arial" w:hAnsi="Arial" w:cs="Arial"/>
          <w:color w:val="0F4761" w:themeColor="accent1" w:themeShade="BF"/>
          <w:sz w:val="28"/>
          <w:szCs w:val="28"/>
        </w:rPr>
      </w:pPr>
    </w:p>
    <w:p w14:paraId="01D2B9A3" w14:textId="77777777" w:rsidR="0041445B" w:rsidRPr="00EE100D" w:rsidRDefault="0041445B" w:rsidP="0041445B">
      <w:pPr>
        <w:rPr>
          <w:rFonts w:ascii="Arial" w:hAnsi="Arial" w:cs="Arial"/>
          <w:color w:val="0F4761" w:themeColor="accent1" w:themeShade="BF"/>
          <w:sz w:val="28"/>
          <w:szCs w:val="28"/>
        </w:rPr>
      </w:pPr>
    </w:p>
    <w:p w14:paraId="0C28418A" w14:textId="39999D43" w:rsidR="0041445B" w:rsidRPr="00EE100D" w:rsidRDefault="00B57E28" w:rsidP="00961043">
      <w:pPr>
        <w:pStyle w:val="Heading2"/>
        <w:rPr>
          <w:rFonts w:ascii="Arial" w:hAnsi="Arial" w:cs="Arial"/>
          <w:color w:val="747474" w:themeColor="background2" w:themeShade="80"/>
          <w:sz w:val="28"/>
          <w:szCs w:val="28"/>
        </w:rPr>
      </w:pPr>
      <w:bookmarkStart w:id="17" w:name="_Toc170739900"/>
      <w:r>
        <w:rPr>
          <w:rFonts w:ascii="Arial" w:hAnsi="Arial" w:cs="Arial"/>
          <w:color w:val="595D64"/>
          <w:sz w:val="28"/>
          <w:szCs w:val="28"/>
        </w:rPr>
        <w:t xml:space="preserve">Annual </w:t>
      </w:r>
      <w:r w:rsidR="00FE0D77">
        <w:rPr>
          <w:rFonts w:ascii="Arial" w:hAnsi="Arial" w:cs="Arial"/>
          <w:color w:val="595D64"/>
          <w:sz w:val="28"/>
          <w:szCs w:val="28"/>
        </w:rPr>
        <w:t xml:space="preserve">&amp; Volumetric </w:t>
      </w:r>
      <w:r w:rsidR="00355569">
        <w:rPr>
          <w:rFonts w:ascii="Arial" w:hAnsi="Arial" w:cs="Arial"/>
          <w:color w:val="595D64"/>
          <w:sz w:val="28"/>
          <w:szCs w:val="28"/>
        </w:rPr>
        <w:t>EAC</w:t>
      </w:r>
      <w:r w:rsidR="0041445B" w:rsidRPr="00EE100D">
        <w:rPr>
          <w:rFonts w:ascii="Arial" w:hAnsi="Arial" w:cs="Arial"/>
          <w:color w:val="595D64"/>
          <w:sz w:val="28"/>
          <w:szCs w:val="28"/>
        </w:rPr>
        <w:t xml:space="preserve"> Distribution Fee Schedule</w:t>
      </w:r>
      <w:bookmarkEnd w:id="17"/>
      <w:r w:rsidR="0041445B" w:rsidRPr="00EE100D">
        <w:rPr>
          <w:rFonts w:ascii="Arial" w:hAnsi="Arial" w:cs="Arial"/>
          <w:color w:val="747474" w:themeColor="background2" w:themeShade="80"/>
          <w:sz w:val="28"/>
          <w:szCs w:val="28"/>
        </w:rPr>
        <w:t xml:space="preserve"> </w:t>
      </w:r>
    </w:p>
    <w:p w14:paraId="7F66FBC3" w14:textId="7A11A83E" w:rsidR="0041445B" w:rsidRPr="00EE100D" w:rsidRDefault="008F655D" w:rsidP="0041445B">
      <w:pPr>
        <w:rPr>
          <w:rFonts w:ascii="Arial" w:hAnsi="Arial" w:cs="Arial"/>
        </w:rPr>
      </w:pPr>
      <w:r>
        <w:rPr>
          <w:rFonts w:ascii="Arial" w:hAnsi="Arial" w:cs="Arial"/>
        </w:rPr>
        <w:t>EAC</w:t>
      </w:r>
      <w:r w:rsidR="0041445B" w:rsidRPr="00EE100D">
        <w:rPr>
          <w:rFonts w:ascii="Arial" w:hAnsi="Arial" w:cs="Arial"/>
        </w:rPr>
        <w:t xml:space="preserve"> Fees are calculated per Plan, based on the </w:t>
      </w:r>
      <w:r w:rsidR="0044078B" w:rsidRPr="00EE100D">
        <w:rPr>
          <w:rFonts w:ascii="Arial" w:hAnsi="Arial" w:cs="Arial"/>
        </w:rPr>
        <w:t>METI</w:t>
      </w:r>
      <w:r w:rsidR="0041445B" w:rsidRPr="00EE100D">
        <w:rPr>
          <w:rFonts w:ascii="Arial" w:hAnsi="Arial" w:cs="Arial"/>
        </w:rPr>
        <w:t xml:space="preserve"> Claim Clearing Certification (</w:t>
      </w:r>
      <w:r w:rsidR="0044078B" w:rsidRPr="00EE100D">
        <w:rPr>
          <w:rFonts w:ascii="Arial" w:hAnsi="Arial" w:cs="Arial"/>
        </w:rPr>
        <w:t>MCCP</w:t>
      </w:r>
      <w:r w:rsidR="0041445B" w:rsidRPr="00EE100D">
        <w:rPr>
          <w:rFonts w:ascii="Arial" w:hAnsi="Arial" w:cs="Arial"/>
        </w:rPr>
        <w:t xml:space="preserve">) member tier of the custodian/sub-custodian account holder. </w:t>
      </w:r>
    </w:p>
    <w:tbl>
      <w:tblPr>
        <w:tblStyle w:val="ListTable4"/>
        <w:tblW w:w="0" w:type="auto"/>
        <w:tblLook w:val="04A0" w:firstRow="1" w:lastRow="0" w:firstColumn="1" w:lastColumn="0" w:noHBand="0" w:noVBand="1"/>
      </w:tblPr>
      <w:tblGrid>
        <w:gridCol w:w="2079"/>
        <w:gridCol w:w="1725"/>
        <w:gridCol w:w="1451"/>
        <w:gridCol w:w="1582"/>
        <w:gridCol w:w="2513"/>
      </w:tblGrid>
      <w:tr w:rsidR="0041445B" w:rsidRPr="00EE100D" w14:paraId="2B721A22" w14:textId="77777777" w:rsidTr="00180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Borders>
              <w:bottom w:val="single" w:sz="4" w:space="0" w:color="auto"/>
            </w:tcBorders>
            <w:vAlign w:val="center"/>
          </w:tcPr>
          <w:p w14:paraId="2CD55441" w14:textId="77777777" w:rsidR="0041445B" w:rsidRPr="00EE100D" w:rsidRDefault="0041445B" w:rsidP="00180EAB">
            <w:pPr>
              <w:jc w:val="center"/>
              <w:rPr>
                <w:rFonts w:ascii="Arial" w:hAnsi="Arial" w:cs="Arial"/>
              </w:rPr>
            </w:pPr>
            <w:r w:rsidRPr="00EE100D">
              <w:rPr>
                <w:rFonts w:ascii="Arial" w:hAnsi="Arial" w:cs="Arial"/>
              </w:rPr>
              <w:t>Plan</w:t>
            </w:r>
          </w:p>
        </w:tc>
        <w:tc>
          <w:tcPr>
            <w:tcW w:w="1775" w:type="dxa"/>
            <w:tcBorders>
              <w:bottom w:val="single" w:sz="4" w:space="0" w:color="auto"/>
            </w:tcBorders>
            <w:vAlign w:val="center"/>
          </w:tcPr>
          <w:p w14:paraId="0F0E05E0" w14:textId="77777777" w:rsidR="0041445B" w:rsidRPr="00EE100D" w:rsidRDefault="0041445B" w:rsidP="00180E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Annual Fee</w:t>
            </w:r>
          </w:p>
        </w:tc>
        <w:tc>
          <w:tcPr>
            <w:tcW w:w="1281" w:type="dxa"/>
            <w:tcBorders>
              <w:bottom w:val="single" w:sz="4" w:space="0" w:color="auto"/>
            </w:tcBorders>
            <w:vAlign w:val="center"/>
          </w:tcPr>
          <w:p w14:paraId="2804280F" w14:textId="77777777" w:rsidR="0041445B" w:rsidRPr="00EE100D" w:rsidRDefault="0041445B" w:rsidP="00180E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Distribution Fee</w:t>
            </w:r>
          </w:p>
        </w:tc>
        <w:tc>
          <w:tcPr>
            <w:tcW w:w="1610" w:type="dxa"/>
            <w:tcBorders>
              <w:bottom w:val="single" w:sz="4" w:space="0" w:color="auto"/>
            </w:tcBorders>
            <w:vAlign w:val="center"/>
          </w:tcPr>
          <w:p w14:paraId="42819E71" w14:textId="77777777" w:rsidR="0041445B" w:rsidRPr="00EE100D" w:rsidRDefault="0041445B" w:rsidP="00180E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Volume Discount</w:t>
            </w:r>
          </w:p>
        </w:tc>
        <w:tc>
          <w:tcPr>
            <w:tcW w:w="2548" w:type="dxa"/>
            <w:tcBorders>
              <w:bottom w:val="single" w:sz="4" w:space="0" w:color="auto"/>
            </w:tcBorders>
            <w:vAlign w:val="center"/>
          </w:tcPr>
          <w:p w14:paraId="01A82A79" w14:textId="77777777" w:rsidR="0041445B" w:rsidRPr="00EE100D" w:rsidRDefault="0041445B" w:rsidP="00180E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Includes</w:t>
            </w:r>
          </w:p>
        </w:tc>
      </w:tr>
      <w:tr w:rsidR="0041445B" w:rsidRPr="00EE100D" w14:paraId="47AED2E3" w14:textId="77777777" w:rsidTr="0018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Borders>
              <w:top w:val="single" w:sz="4" w:space="0" w:color="auto"/>
              <w:left w:val="single" w:sz="4" w:space="0" w:color="auto"/>
              <w:bottom w:val="single" w:sz="4" w:space="0" w:color="auto"/>
              <w:right w:val="single" w:sz="4" w:space="0" w:color="auto"/>
            </w:tcBorders>
            <w:vAlign w:val="center"/>
          </w:tcPr>
          <w:p w14:paraId="53614A57" w14:textId="77777777" w:rsidR="0041445B" w:rsidRPr="00EE100D" w:rsidRDefault="0041445B" w:rsidP="00180EAB">
            <w:pPr>
              <w:jc w:val="center"/>
              <w:rPr>
                <w:rFonts w:ascii="Arial" w:hAnsi="Arial" w:cs="Arial"/>
                <w:b w:val="0"/>
                <w:bCs w:val="0"/>
              </w:rPr>
            </w:pPr>
            <w:r w:rsidRPr="00EE100D">
              <w:rPr>
                <w:rFonts w:ascii="Arial" w:hAnsi="Arial" w:cs="Arial"/>
                <w:b w:val="0"/>
                <w:bCs w:val="0"/>
              </w:rPr>
              <w:t>Enterprise</w:t>
            </w:r>
          </w:p>
        </w:tc>
        <w:tc>
          <w:tcPr>
            <w:tcW w:w="1775" w:type="dxa"/>
            <w:tcBorders>
              <w:top w:val="single" w:sz="4" w:space="0" w:color="auto"/>
              <w:left w:val="single" w:sz="4" w:space="0" w:color="auto"/>
              <w:bottom w:val="single" w:sz="4" w:space="0" w:color="auto"/>
              <w:right w:val="single" w:sz="4" w:space="0" w:color="auto"/>
            </w:tcBorders>
            <w:vAlign w:val="center"/>
          </w:tcPr>
          <w:p w14:paraId="566DD597"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$5,000</w:t>
            </w:r>
          </w:p>
        </w:tc>
        <w:tc>
          <w:tcPr>
            <w:tcW w:w="1281" w:type="dxa"/>
            <w:tcBorders>
              <w:top w:val="single" w:sz="4" w:space="0" w:color="auto"/>
              <w:left w:val="single" w:sz="4" w:space="0" w:color="auto"/>
              <w:bottom w:val="single" w:sz="4" w:space="0" w:color="auto"/>
              <w:right w:val="single" w:sz="4" w:space="0" w:color="auto"/>
            </w:tcBorders>
            <w:vAlign w:val="center"/>
          </w:tcPr>
          <w:p w14:paraId="4EA7EC41"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Negotiable based on volumes</w:t>
            </w:r>
          </w:p>
        </w:tc>
        <w:tc>
          <w:tcPr>
            <w:tcW w:w="1610" w:type="dxa"/>
            <w:tcBorders>
              <w:top w:val="single" w:sz="4" w:space="0" w:color="auto"/>
              <w:left w:val="single" w:sz="4" w:space="0" w:color="auto"/>
              <w:bottom w:val="single" w:sz="4" w:space="0" w:color="auto"/>
              <w:right w:val="single" w:sz="4" w:space="0" w:color="auto"/>
            </w:tcBorders>
            <w:vAlign w:val="center"/>
          </w:tcPr>
          <w:p w14:paraId="1B1F50C2"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Custom discount based on volume</w:t>
            </w:r>
          </w:p>
        </w:tc>
        <w:tc>
          <w:tcPr>
            <w:tcW w:w="2548" w:type="dxa"/>
            <w:tcBorders>
              <w:top w:val="single" w:sz="4" w:space="0" w:color="auto"/>
              <w:left w:val="single" w:sz="4" w:space="0" w:color="auto"/>
              <w:bottom w:val="single" w:sz="4" w:space="0" w:color="auto"/>
              <w:right w:val="single" w:sz="4" w:space="0" w:color="auto"/>
            </w:tcBorders>
            <w:vAlign w:val="center"/>
          </w:tcPr>
          <w:p w14:paraId="1B69DF79"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Monthly EAC Issuance/Transfer Report</w:t>
            </w:r>
          </w:p>
        </w:tc>
      </w:tr>
      <w:tr w:rsidR="0041445B" w:rsidRPr="00EE100D" w14:paraId="69FB834E" w14:textId="77777777" w:rsidTr="00180EAB">
        <w:tc>
          <w:tcPr>
            <w:cnfStyle w:val="001000000000" w:firstRow="0" w:lastRow="0" w:firstColumn="1" w:lastColumn="0" w:oddVBand="0" w:evenVBand="0" w:oddHBand="0" w:evenHBand="0" w:firstRowFirstColumn="0" w:firstRowLastColumn="0" w:lastRowFirstColumn="0" w:lastRowLastColumn="0"/>
            <w:tcW w:w="2136" w:type="dxa"/>
            <w:tcBorders>
              <w:top w:val="single" w:sz="4" w:space="0" w:color="auto"/>
              <w:left w:val="single" w:sz="4" w:space="0" w:color="auto"/>
              <w:bottom w:val="single" w:sz="4" w:space="0" w:color="auto"/>
              <w:right w:val="single" w:sz="4" w:space="0" w:color="auto"/>
            </w:tcBorders>
            <w:vAlign w:val="center"/>
          </w:tcPr>
          <w:p w14:paraId="18DD3592" w14:textId="77777777" w:rsidR="0041445B" w:rsidRPr="00EE100D" w:rsidRDefault="0041445B" w:rsidP="00180EAB">
            <w:pPr>
              <w:jc w:val="center"/>
              <w:rPr>
                <w:rFonts w:ascii="Arial" w:hAnsi="Arial" w:cs="Arial"/>
                <w:b w:val="0"/>
                <w:bCs w:val="0"/>
              </w:rPr>
            </w:pPr>
            <w:r w:rsidRPr="00EE100D">
              <w:rPr>
                <w:rFonts w:ascii="Arial" w:hAnsi="Arial" w:cs="Arial"/>
                <w:b w:val="0"/>
                <w:bCs w:val="0"/>
              </w:rPr>
              <w:t>Premium</w:t>
            </w:r>
          </w:p>
        </w:tc>
        <w:tc>
          <w:tcPr>
            <w:tcW w:w="1775" w:type="dxa"/>
            <w:tcBorders>
              <w:top w:val="single" w:sz="4" w:space="0" w:color="auto"/>
              <w:left w:val="single" w:sz="4" w:space="0" w:color="auto"/>
              <w:bottom w:val="single" w:sz="4" w:space="0" w:color="auto"/>
              <w:right w:val="single" w:sz="4" w:space="0" w:color="auto"/>
            </w:tcBorders>
            <w:vAlign w:val="center"/>
          </w:tcPr>
          <w:p w14:paraId="795CD31D"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$3,250</w:t>
            </w:r>
          </w:p>
        </w:tc>
        <w:tc>
          <w:tcPr>
            <w:tcW w:w="1281" w:type="dxa"/>
            <w:tcBorders>
              <w:top w:val="single" w:sz="4" w:space="0" w:color="auto"/>
              <w:left w:val="single" w:sz="4" w:space="0" w:color="auto"/>
              <w:bottom w:val="single" w:sz="4" w:space="0" w:color="auto"/>
              <w:right w:val="single" w:sz="4" w:space="0" w:color="auto"/>
            </w:tcBorders>
            <w:vAlign w:val="center"/>
          </w:tcPr>
          <w:p w14:paraId="791BFEC3"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$0.20 per EAC transfer</w:t>
            </w:r>
          </w:p>
        </w:tc>
        <w:tc>
          <w:tcPr>
            <w:tcW w:w="1610" w:type="dxa"/>
            <w:tcBorders>
              <w:top w:val="single" w:sz="4" w:space="0" w:color="auto"/>
              <w:left w:val="single" w:sz="4" w:space="0" w:color="auto"/>
              <w:bottom w:val="single" w:sz="4" w:space="0" w:color="auto"/>
              <w:right w:val="single" w:sz="4" w:space="0" w:color="auto"/>
            </w:tcBorders>
            <w:vAlign w:val="center"/>
          </w:tcPr>
          <w:p w14:paraId="4209692A"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Custom discount based on volume</w:t>
            </w:r>
          </w:p>
        </w:tc>
        <w:tc>
          <w:tcPr>
            <w:tcW w:w="2548" w:type="dxa"/>
            <w:tcBorders>
              <w:top w:val="single" w:sz="4" w:space="0" w:color="auto"/>
              <w:left w:val="single" w:sz="4" w:space="0" w:color="auto"/>
              <w:bottom w:val="single" w:sz="4" w:space="0" w:color="auto"/>
              <w:right w:val="single" w:sz="4" w:space="0" w:color="auto"/>
            </w:tcBorders>
          </w:tcPr>
          <w:p w14:paraId="7E144081"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Monthly EAC Issuance/Transfer Report</w:t>
            </w:r>
          </w:p>
        </w:tc>
      </w:tr>
      <w:tr w:rsidR="0041445B" w:rsidRPr="00EE100D" w14:paraId="118C6843" w14:textId="77777777" w:rsidTr="00180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Borders>
              <w:top w:val="single" w:sz="4" w:space="0" w:color="auto"/>
              <w:left w:val="single" w:sz="4" w:space="0" w:color="auto"/>
              <w:bottom w:val="single" w:sz="4" w:space="0" w:color="auto"/>
              <w:right w:val="single" w:sz="4" w:space="0" w:color="auto"/>
            </w:tcBorders>
            <w:vAlign w:val="center"/>
          </w:tcPr>
          <w:p w14:paraId="70E93DA5" w14:textId="77777777" w:rsidR="0041445B" w:rsidRPr="00EE100D" w:rsidRDefault="0041445B" w:rsidP="00180EAB">
            <w:pPr>
              <w:jc w:val="center"/>
              <w:rPr>
                <w:rFonts w:ascii="Arial" w:hAnsi="Arial" w:cs="Arial"/>
                <w:b w:val="0"/>
                <w:bCs w:val="0"/>
              </w:rPr>
            </w:pPr>
            <w:r w:rsidRPr="00EE100D">
              <w:rPr>
                <w:rFonts w:ascii="Arial" w:hAnsi="Arial" w:cs="Arial"/>
                <w:b w:val="0"/>
                <w:bCs w:val="0"/>
              </w:rPr>
              <w:t xml:space="preserve">Standard  </w:t>
            </w:r>
          </w:p>
        </w:tc>
        <w:tc>
          <w:tcPr>
            <w:tcW w:w="1775" w:type="dxa"/>
            <w:tcBorders>
              <w:top w:val="single" w:sz="4" w:space="0" w:color="auto"/>
              <w:left w:val="single" w:sz="4" w:space="0" w:color="auto"/>
              <w:bottom w:val="single" w:sz="4" w:space="0" w:color="auto"/>
              <w:right w:val="single" w:sz="4" w:space="0" w:color="auto"/>
            </w:tcBorders>
            <w:vAlign w:val="center"/>
          </w:tcPr>
          <w:p w14:paraId="3EEEDBE0"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$1,000</w:t>
            </w:r>
          </w:p>
        </w:tc>
        <w:tc>
          <w:tcPr>
            <w:tcW w:w="1281" w:type="dxa"/>
            <w:tcBorders>
              <w:top w:val="single" w:sz="4" w:space="0" w:color="auto"/>
              <w:left w:val="single" w:sz="4" w:space="0" w:color="auto"/>
              <w:bottom w:val="single" w:sz="4" w:space="0" w:color="auto"/>
              <w:right w:val="single" w:sz="4" w:space="0" w:color="auto"/>
            </w:tcBorders>
            <w:vAlign w:val="center"/>
          </w:tcPr>
          <w:p w14:paraId="6C7600CE"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$0.35 per EAC transfer</w:t>
            </w:r>
          </w:p>
        </w:tc>
        <w:tc>
          <w:tcPr>
            <w:tcW w:w="1610" w:type="dxa"/>
            <w:tcBorders>
              <w:top w:val="single" w:sz="4" w:space="0" w:color="auto"/>
              <w:left w:val="single" w:sz="4" w:space="0" w:color="auto"/>
              <w:bottom w:val="single" w:sz="4" w:space="0" w:color="auto"/>
              <w:right w:val="single" w:sz="4" w:space="0" w:color="auto"/>
            </w:tcBorders>
            <w:vAlign w:val="center"/>
          </w:tcPr>
          <w:p w14:paraId="0609D647"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Custom discount based on volume</w:t>
            </w:r>
          </w:p>
        </w:tc>
        <w:tc>
          <w:tcPr>
            <w:tcW w:w="2548" w:type="dxa"/>
            <w:tcBorders>
              <w:top w:val="single" w:sz="4" w:space="0" w:color="auto"/>
              <w:left w:val="single" w:sz="4" w:space="0" w:color="auto"/>
              <w:bottom w:val="single" w:sz="4" w:space="0" w:color="auto"/>
              <w:right w:val="single" w:sz="4" w:space="0" w:color="auto"/>
            </w:tcBorders>
          </w:tcPr>
          <w:p w14:paraId="426E0396" w14:textId="77777777" w:rsidR="0041445B" w:rsidRPr="00EE100D" w:rsidRDefault="0041445B" w:rsidP="00180E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E100D">
              <w:rPr>
                <w:rFonts w:ascii="Arial" w:hAnsi="Arial" w:cs="Arial"/>
              </w:rPr>
              <w:t>Monthly EAC Issuance/Transfer Report</w:t>
            </w:r>
          </w:p>
        </w:tc>
      </w:tr>
      <w:tr w:rsidR="0041445B" w:rsidRPr="00EE100D" w14:paraId="4294CD4A" w14:textId="77777777" w:rsidTr="00180EAB">
        <w:tc>
          <w:tcPr>
            <w:cnfStyle w:val="001000000000" w:firstRow="0" w:lastRow="0" w:firstColumn="1" w:lastColumn="0" w:oddVBand="0" w:evenVBand="0" w:oddHBand="0" w:evenHBand="0" w:firstRowFirstColumn="0" w:firstRowLastColumn="0" w:lastRowFirstColumn="0" w:lastRowLastColumn="0"/>
            <w:tcW w:w="2136" w:type="dxa"/>
            <w:tcBorders>
              <w:top w:val="single" w:sz="4" w:space="0" w:color="auto"/>
              <w:left w:val="single" w:sz="4" w:space="0" w:color="auto"/>
              <w:bottom w:val="single" w:sz="4" w:space="0" w:color="auto"/>
              <w:right w:val="single" w:sz="4" w:space="0" w:color="auto"/>
            </w:tcBorders>
            <w:vAlign w:val="center"/>
          </w:tcPr>
          <w:p w14:paraId="528892DA" w14:textId="77777777" w:rsidR="0041445B" w:rsidRPr="00EE100D" w:rsidRDefault="0041445B" w:rsidP="00180EAB">
            <w:pPr>
              <w:jc w:val="center"/>
              <w:rPr>
                <w:rFonts w:ascii="Arial" w:hAnsi="Arial" w:cs="Arial"/>
                <w:b w:val="0"/>
                <w:bCs w:val="0"/>
              </w:rPr>
            </w:pPr>
            <w:r w:rsidRPr="00EE100D">
              <w:rPr>
                <w:rFonts w:ascii="Arial" w:hAnsi="Arial" w:cs="Arial"/>
                <w:b w:val="0"/>
                <w:bCs w:val="0"/>
              </w:rPr>
              <w:t>Basic</w:t>
            </w:r>
          </w:p>
        </w:tc>
        <w:tc>
          <w:tcPr>
            <w:tcW w:w="1775" w:type="dxa"/>
            <w:tcBorders>
              <w:top w:val="single" w:sz="4" w:space="0" w:color="auto"/>
              <w:left w:val="single" w:sz="4" w:space="0" w:color="auto"/>
              <w:bottom w:val="single" w:sz="4" w:space="0" w:color="auto"/>
              <w:right w:val="single" w:sz="4" w:space="0" w:color="auto"/>
            </w:tcBorders>
            <w:vAlign w:val="center"/>
          </w:tcPr>
          <w:p w14:paraId="5C769E18"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FREE</w:t>
            </w:r>
          </w:p>
        </w:tc>
        <w:tc>
          <w:tcPr>
            <w:tcW w:w="1281" w:type="dxa"/>
            <w:tcBorders>
              <w:top w:val="single" w:sz="4" w:space="0" w:color="auto"/>
              <w:left w:val="single" w:sz="4" w:space="0" w:color="auto"/>
              <w:bottom w:val="single" w:sz="4" w:space="0" w:color="auto"/>
              <w:right w:val="single" w:sz="4" w:space="0" w:color="auto"/>
            </w:tcBorders>
            <w:vAlign w:val="center"/>
          </w:tcPr>
          <w:p w14:paraId="4D9BE3F2"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$0.50 per EAC transfer</w:t>
            </w:r>
          </w:p>
        </w:tc>
        <w:tc>
          <w:tcPr>
            <w:tcW w:w="1610" w:type="dxa"/>
            <w:tcBorders>
              <w:top w:val="single" w:sz="4" w:space="0" w:color="auto"/>
              <w:left w:val="single" w:sz="4" w:space="0" w:color="auto"/>
              <w:bottom w:val="single" w:sz="4" w:space="0" w:color="auto"/>
              <w:right w:val="single" w:sz="4" w:space="0" w:color="auto"/>
            </w:tcBorders>
            <w:vAlign w:val="center"/>
          </w:tcPr>
          <w:p w14:paraId="7084A3F6"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None</w:t>
            </w:r>
          </w:p>
        </w:tc>
        <w:tc>
          <w:tcPr>
            <w:tcW w:w="2548" w:type="dxa"/>
            <w:tcBorders>
              <w:top w:val="single" w:sz="4" w:space="0" w:color="auto"/>
              <w:left w:val="single" w:sz="4" w:space="0" w:color="auto"/>
              <w:bottom w:val="single" w:sz="4" w:space="0" w:color="auto"/>
              <w:right w:val="single" w:sz="4" w:space="0" w:color="auto"/>
            </w:tcBorders>
          </w:tcPr>
          <w:p w14:paraId="2B930789" w14:textId="77777777" w:rsidR="0041445B" w:rsidRPr="00EE100D" w:rsidRDefault="0041445B" w:rsidP="00180EA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E100D">
              <w:rPr>
                <w:rFonts w:ascii="Arial" w:hAnsi="Arial" w:cs="Arial"/>
              </w:rPr>
              <w:t>Monthly EAC Issuance/Transfer Report</w:t>
            </w:r>
          </w:p>
        </w:tc>
      </w:tr>
    </w:tbl>
    <w:p w14:paraId="61946466" w14:textId="77777777" w:rsidR="0041445B" w:rsidRPr="00EE100D" w:rsidRDefault="0041445B" w:rsidP="0041445B">
      <w:pPr>
        <w:rPr>
          <w:rFonts w:ascii="Arial" w:hAnsi="Arial" w:cs="Arial"/>
          <w:b/>
          <w:bCs/>
        </w:rPr>
      </w:pPr>
    </w:p>
    <w:p w14:paraId="14DC9910" w14:textId="77777777" w:rsidR="0041445B" w:rsidRPr="00EE100D" w:rsidRDefault="0041445B" w:rsidP="0041445B">
      <w:pPr>
        <w:rPr>
          <w:rFonts w:ascii="Arial" w:hAnsi="Arial" w:cs="Arial"/>
          <w:b/>
          <w:bCs/>
        </w:rPr>
      </w:pPr>
      <w:r w:rsidRPr="00EE100D">
        <w:rPr>
          <w:rFonts w:ascii="Arial" w:hAnsi="Arial" w:cs="Arial"/>
          <w:b/>
          <w:bCs/>
        </w:rPr>
        <w:t>Example of a Pricing Breakdown:</w:t>
      </w:r>
    </w:p>
    <w:p w14:paraId="6DE8C5E3" w14:textId="77777777" w:rsidR="0041445B" w:rsidRPr="00EE100D" w:rsidRDefault="0041445B" w:rsidP="0041445B">
      <w:pPr>
        <w:ind w:left="360"/>
        <w:rPr>
          <w:rFonts w:ascii="Arial" w:hAnsi="Arial" w:cs="Arial"/>
          <w:b/>
          <w:bCs/>
        </w:rPr>
      </w:pPr>
      <w:r w:rsidRPr="00EE100D">
        <w:rPr>
          <w:rFonts w:ascii="Arial" w:hAnsi="Arial" w:cs="Arial"/>
          <w:b/>
          <w:bCs/>
        </w:rPr>
        <w:t>Premium Plan User with 15% Discount:</w:t>
      </w:r>
    </w:p>
    <w:p w14:paraId="15FC95D2"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Monthly Subscription: </w:t>
      </w:r>
      <w:r w:rsidRPr="00EE100D">
        <w:rPr>
          <w:rFonts w:ascii="Arial" w:hAnsi="Arial" w:cs="Arial"/>
        </w:rPr>
        <w:t>$270.83 (pro-rated annual fee)</w:t>
      </w:r>
    </w:p>
    <w:p w14:paraId="160C529D"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Transactions: </w:t>
      </w:r>
      <w:r w:rsidRPr="00EE100D">
        <w:rPr>
          <w:rFonts w:ascii="Arial" w:hAnsi="Arial" w:cs="Arial"/>
        </w:rPr>
        <w:t>30,000 EAC Transfers (equivalent to 30,000 metric tons CO2e)</w:t>
      </w:r>
    </w:p>
    <w:p w14:paraId="71CA02C9"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Distribution Fees: </w:t>
      </w:r>
      <w:r w:rsidRPr="00EE100D">
        <w:rPr>
          <w:rFonts w:ascii="Arial" w:hAnsi="Arial" w:cs="Arial"/>
        </w:rPr>
        <w:t>30,000 x $0.20 = $6,000</w:t>
      </w:r>
    </w:p>
    <w:p w14:paraId="6DD9CA3C"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Volume Discount: </w:t>
      </w:r>
      <w:r w:rsidRPr="00EE100D">
        <w:rPr>
          <w:rFonts w:ascii="Arial" w:hAnsi="Arial" w:cs="Arial"/>
        </w:rPr>
        <w:t>15% of $6,000 = $900</w:t>
      </w:r>
    </w:p>
    <w:p w14:paraId="57304B51"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Net Transaction Fees: </w:t>
      </w:r>
      <w:r w:rsidRPr="00EE100D">
        <w:rPr>
          <w:rFonts w:ascii="Arial" w:hAnsi="Arial" w:cs="Arial"/>
        </w:rPr>
        <w:t>$6,000 - $900 = $5,100</w:t>
      </w:r>
    </w:p>
    <w:p w14:paraId="72C65570" w14:textId="77777777" w:rsidR="0041445B" w:rsidRPr="00EE100D" w:rsidRDefault="0041445B" w:rsidP="0041445B">
      <w:pPr>
        <w:numPr>
          <w:ilvl w:val="0"/>
          <w:numId w:val="18"/>
        </w:numPr>
        <w:tabs>
          <w:tab w:val="clear" w:pos="720"/>
          <w:tab w:val="num" w:pos="1080"/>
        </w:tabs>
        <w:ind w:left="1080"/>
        <w:rPr>
          <w:rFonts w:ascii="Arial" w:hAnsi="Arial" w:cs="Arial"/>
        </w:rPr>
      </w:pPr>
      <w:r w:rsidRPr="00EE100D">
        <w:rPr>
          <w:rFonts w:ascii="Arial" w:hAnsi="Arial" w:cs="Arial"/>
          <w:b/>
          <w:bCs/>
        </w:rPr>
        <w:t xml:space="preserve">EAC Issuance Fee: </w:t>
      </w:r>
      <w:r w:rsidRPr="00EE100D">
        <w:rPr>
          <w:rFonts w:ascii="Arial" w:hAnsi="Arial" w:cs="Arial"/>
        </w:rPr>
        <w:t>Included in the annual fee</w:t>
      </w:r>
    </w:p>
    <w:p w14:paraId="3DC8A2EC" w14:textId="77777777" w:rsidR="0041445B" w:rsidRPr="00EE100D" w:rsidRDefault="0041445B" w:rsidP="0041445B">
      <w:pPr>
        <w:numPr>
          <w:ilvl w:val="0"/>
          <w:numId w:val="18"/>
        </w:numPr>
        <w:tabs>
          <w:tab w:val="clear" w:pos="720"/>
          <w:tab w:val="num" w:pos="1080"/>
        </w:tabs>
        <w:ind w:left="1080"/>
        <w:rPr>
          <w:rFonts w:ascii="Arial" w:hAnsi="Arial" w:cs="Arial"/>
          <w:b/>
          <w:bCs/>
        </w:rPr>
      </w:pPr>
      <w:r w:rsidRPr="00EE100D">
        <w:rPr>
          <w:rFonts w:ascii="Arial" w:hAnsi="Arial" w:cs="Arial"/>
          <w:b/>
          <w:bCs/>
        </w:rPr>
        <w:t xml:space="preserve">Data Access Fees: </w:t>
      </w:r>
      <w:r w:rsidRPr="00EE100D">
        <w:rPr>
          <w:rFonts w:ascii="Arial" w:hAnsi="Arial" w:cs="Arial"/>
        </w:rPr>
        <w:t>Included in the annual fee</w:t>
      </w:r>
    </w:p>
    <w:p w14:paraId="551F0DAD" w14:textId="77777777" w:rsidR="0041445B" w:rsidRPr="00EE100D" w:rsidRDefault="0041445B" w:rsidP="0041445B">
      <w:pPr>
        <w:numPr>
          <w:ilvl w:val="0"/>
          <w:numId w:val="18"/>
        </w:numPr>
        <w:tabs>
          <w:tab w:val="clear" w:pos="720"/>
          <w:tab w:val="num" w:pos="1080"/>
        </w:tabs>
        <w:ind w:left="1080"/>
        <w:rPr>
          <w:rFonts w:ascii="Arial" w:hAnsi="Arial" w:cs="Arial"/>
        </w:rPr>
      </w:pPr>
      <w:r w:rsidRPr="00EE100D">
        <w:rPr>
          <w:rFonts w:ascii="Arial" w:hAnsi="Arial" w:cs="Arial"/>
          <w:b/>
          <w:bCs/>
        </w:rPr>
        <w:t xml:space="preserve">Total Monthly Cost: </w:t>
      </w:r>
      <w:r w:rsidRPr="00EE100D">
        <w:rPr>
          <w:rFonts w:ascii="Arial" w:hAnsi="Arial" w:cs="Arial"/>
        </w:rPr>
        <w:t>$270.83 (Subscription) + $5,100 (Transactions) = $5,370.83</w:t>
      </w:r>
    </w:p>
    <w:p w14:paraId="235C8CCD" w14:textId="77777777" w:rsidR="0041445B" w:rsidRPr="00EE100D" w:rsidRDefault="0041445B" w:rsidP="0041445B">
      <w:pPr>
        <w:ind w:left="360"/>
        <w:rPr>
          <w:rFonts w:ascii="Arial" w:hAnsi="Arial" w:cs="Arial"/>
          <w:b/>
          <w:bCs/>
        </w:rPr>
      </w:pPr>
      <w:r w:rsidRPr="00EE100D">
        <w:rPr>
          <w:rFonts w:ascii="Arial" w:hAnsi="Arial" w:cs="Arial"/>
          <w:b/>
          <w:bCs/>
        </w:rPr>
        <w:t>Summary:</w:t>
      </w:r>
    </w:p>
    <w:p w14:paraId="30925DFB" w14:textId="77777777" w:rsidR="0041445B" w:rsidRPr="00EE100D" w:rsidRDefault="0041445B" w:rsidP="0041445B">
      <w:pPr>
        <w:numPr>
          <w:ilvl w:val="0"/>
          <w:numId w:val="19"/>
        </w:numPr>
        <w:tabs>
          <w:tab w:val="clear" w:pos="720"/>
          <w:tab w:val="num" w:pos="1080"/>
        </w:tabs>
        <w:ind w:left="1080"/>
        <w:rPr>
          <w:rFonts w:ascii="Arial" w:hAnsi="Arial" w:cs="Arial"/>
          <w:b/>
          <w:bCs/>
        </w:rPr>
      </w:pPr>
      <w:r w:rsidRPr="00EE100D">
        <w:rPr>
          <w:rFonts w:ascii="Arial" w:hAnsi="Arial" w:cs="Arial"/>
          <w:b/>
          <w:bCs/>
        </w:rPr>
        <w:t xml:space="preserve">Monthly Subscription: </w:t>
      </w:r>
      <w:r w:rsidRPr="00EE100D">
        <w:rPr>
          <w:rFonts w:ascii="Arial" w:hAnsi="Arial" w:cs="Arial"/>
        </w:rPr>
        <w:t>$270.83</w:t>
      </w:r>
    </w:p>
    <w:p w14:paraId="7A2C20ED" w14:textId="77777777" w:rsidR="0041445B" w:rsidRPr="00EE100D" w:rsidRDefault="0041445B" w:rsidP="0041445B">
      <w:pPr>
        <w:numPr>
          <w:ilvl w:val="0"/>
          <w:numId w:val="19"/>
        </w:numPr>
        <w:tabs>
          <w:tab w:val="clear" w:pos="720"/>
          <w:tab w:val="num" w:pos="1080"/>
        </w:tabs>
        <w:ind w:left="1080"/>
        <w:rPr>
          <w:rFonts w:ascii="Arial" w:hAnsi="Arial" w:cs="Arial"/>
          <w:b/>
          <w:bCs/>
        </w:rPr>
      </w:pPr>
      <w:r w:rsidRPr="00EE100D">
        <w:rPr>
          <w:rFonts w:ascii="Arial" w:hAnsi="Arial" w:cs="Arial"/>
          <w:b/>
          <w:bCs/>
        </w:rPr>
        <w:t xml:space="preserve">Net Transaction Fees: </w:t>
      </w:r>
      <w:r w:rsidRPr="00EE100D">
        <w:rPr>
          <w:rFonts w:ascii="Arial" w:hAnsi="Arial" w:cs="Arial"/>
        </w:rPr>
        <w:t>$5,100</w:t>
      </w:r>
    </w:p>
    <w:p w14:paraId="09F80D87" w14:textId="77777777" w:rsidR="0041445B" w:rsidRPr="00EE100D" w:rsidRDefault="0041445B" w:rsidP="0041445B">
      <w:pPr>
        <w:numPr>
          <w:ilvl w:val="0"/>
          <w:numId w:val="19"/>
        </w:numPr>
        <w:tabs>
          <w:tab w:val="clear" w:pos="720"/>
          <w:tab w:val="num" w:pos="1080"/>
        </w:tabs>
        <w:ind w:left="1080"/>
        <w:rPr>
          <w:rFonts w:ascii="Arial" w:hAnsi="Arial" w:cs="Arial"/>
          <w:b/>
          <w:bCs/>
        </w:rPr>
      </w:pPr>
      <w:r w:rsidRPr="00EE100D">
        <w:rPr>
          <w:rFonts w:ascii="Arial" w:hAnsi="Arial" w:cs="Arial"/>
          <w:b/>
          <w:bCs/>
        </w:rPr>
        <w:t xml:space="preserve">Total Monthly Cost: </w:t>
      </w:r>
      <w:r w:rsidRPr="00EE100D">
        <w:rPr>
          <w:rFonts w:ascii="Arial" w:hAnsi="Arial" w:cs="Arial"/>
        </w:rPr>
        <w:t>$5,370.83</w:t>
      </w:r>
    </w:p>
    <w:p w14:paraId="11FAEC8C" w14:textId="77777777" w:rsidR="0041445B" w:rsidRPr="00EE100D" w:rsidRDefault="0041445B">
      <w:pPr>
        <w:rPr>
          <w:rFonts w:ascii="Arial" w:hAnsi="Arial" w:cs="Arial"/>
          <w:b/>
          <w:bCs/>
        </w:rPr>
      </w:pPr>
    </w:p>
    <w:p w14:paraId="5E6F6A28" w14:textId="77777777" w:rsidR="00B03B89" w:rsidRPr="00EE100D" w:rsidRDefault="00B03B89">
      <w:pPr>
        <w:rPr>
          <w:rFonts w:ascii="Arial" w:hAnsi="Arial" w:cs="Arial"/>
          <w:b/>
          <w:bCs/>
        </w:rPr>
      </w:pPr>
    </w:p>
    <w:p w14:paraId="479AB82B" w14:textId="49A20892" w:rsidR="006F4BCF" w:rsidRDefault="004E1392" w:rsidP="00021416">
      <w:pPr>
        <w:pStyle w:val="Heading1"/>
        <w:rPr>
          <w:rFonts w:ascii="Arial" w:hAnsi="Arial" w:cs="Arial"/>
          <w:b/>
          <w:bCs/>
          <w:color w:val="595D64"/>
        </w:rPr>
      </w:pPr>
      <w:bookmarkStart w:id="18" w:name="_Toc170739901"/>
      <w:r>
        <w:rPr>
          <w:rFonts w:ascii="Arial" w:hAnsi="Arial" w:cs="Arial"/>
          <w:b/>
          <w:bCs/>
          <w:color w:val="595D64"/>
        </w:rPr>
        <w:t>F</w:t>
      </w:r>
      <w:r w:rsidR="0009172C">
        <w:rPr>
          <w:rFonts w:ascii="Arial" w:hAnsi="Arial" w:cs="Arial"/>
          <w:b/>
          <w:bCs/>
          <w:color w:val="595D64"/>
        </w:rPr>
        <w:t>requently Asked Questions (F</w:t>
      </w:r>
      <w:r>
        <w:rPr>
          <w:rFonts w:ascii="Arial" w:hAnsi="Arial" w:cs="Arial"/>
          <w:b/>
          <w:bCs/>
          <w:color w:val="595D64"/>
        </w:rPr>
        <w:t>AQ</w:t>
      </w:r>
      <w:r w:rsidR="0009172C">
        <w:rPr>
          <w:rFonts w:ascii="Arial" w:hAnsi="Arial" w:cs="Arial"/>
          <w:b/>
          <w:bCs/>
          <w:color w:val="595D64"/>
        </w:rPr>
        <w:t>)</w:t>
      </w:r>
      <w:bookmarkEnd w:id="18"/>
    </w:p>
    <w:p w14:paraId="1DF98D08" w14:textId="77777777" w:rsidR="00691DC1" w:rsidRPr="006F4BCF" w:rsidRDefault="00691DC1" w:rsidP="00691DC1"/>
    <w:p w14:paraId="244DB5AC" w14:textId="77777777" w:rsidR="00691DC1" w:rsidRDefault="006F4BCF" w:rsidP="00021416">
      <w:pPr>
        <w:pStyle w:val="ListParagraph"/>
        <w:numPr>
          <w:ilvl w:val="0"/>
          <w:numId w:val="30"/>
        </w:numPr>
        <w:rPr>
          <w:rFonts w:ascii="Arial" w:hAnsi="Arial" w:cs="Arial"/>
          <w:b/>
          <w:bCs/>
        </w:rPr>
      </w:pPr>
      <w:r w:rsidRPr="00021416">
        <w:rPr>
          <w:rFonts w:ascii="Arial" w:hAnsi="Arial" w:cs="Arial"/>
          <w:b/>
          <w:bCs/>
        </w:rPr>
        <w:t>What is METI</w:t>
      </w:r>
      <w:r w:rsidR="00691DC1">
        <w:rPr>
          <w:rFonts w:ascii="Arial" w:hAnsi="Arial" w:cs="Arial"/>
          <w:b/>
          <w:bCs/>
          <w:vertAlign w:val="superscript"/>
        </w:rPr>
        <w:t>TM</w:t>
      </w:r>
      <w:r w:rsidRPr="00021416">
        <w:rPr>
          <w:rFonts w:ascii="Arial" w:hAnsi="Arial" w:cs="Arial"/>
          <w:b/>
          <w:bCs/>
        </w:rPr>
        <w:t xml:space="preserve"> Originate? </w:t>
      </w:r>
    </w:p>
    <w:p w14:paraId="652593D5" w14:textId="62FD6CED" w:rsidR="00021416" w:rsidRDefault="006F4BCF" w:rsidP="00691DC1">
      <w:pPr>
        <w:pStyle w:val="ListParagraph"/>
        <w:rPr>
          <w:rFonts w:ascii="Arial" w:hAnsi="Arial" w:cs="Arial"/>
        </w:rPr>
      </w:pPr>
      <w:r w:rsidRPr="00691DC1">
        <w:rPr>
          <w:rFonts w:ascii="Arial" w:hAnsi="Arial" w:cs="Arial"/>
        </w:rPr>
        <w:t>METI</w:t>
      </w:r>
      <w:r w:rsidR="00691DC1">
        <w:rPr>
          <w:rFonts w:ascii="Arial" w:hAnsi="Arial" w:cs="Arial"/>
          <w:vertAlign w:val="superscript"/>
        </w:rPr>
        <w:t>TM</w:t>
      </w:r>
      <w:r w:rsidRPr="00691DC1">
        <w:rPr>
          <w:rFonts w:ascii="Arial" w:hAnsi="Arial" w:cs="Arial"/>
        </w:rPr>
        <w:t xml:space="preserve"> Originate is a </w:t>
      </w:r>
      <w:r w:rsidR="00691DC1">
        <w:rPr>
          <w:rFonts w:ascii="Arial" w:hAnsi="Arial" w:cs="Arial"/>
        </w:rPr>
        <w:t>product</w:t>
      </w:r>
      <w:r w:rsidRPr="00691DC1">
        <w:rPr>
          <w:rFonts w:ascii="Arial" w:hAnsi="Arial" w:cs="Arial"/>
        </w:rPr>
        <w:t xml:space="preserve"> provided by MillPont that streamlines the creation, management, and distribution of environmental benefits. It uses unique Spatiotemporal Claim IDs (SCIDs)</w:t>
      </w:r>
      <w:r w:rsidR="000B5EF0">
        <w:rPr>
          <w:rFonts w:ascii="Arial" w:hAnsi="Arial" w:cs="Arial"/>
        </w:rPr>
        <w:t xml:space="preserve">, </w:t>
      </w:r>
      <w:r w:rsidRPr="00691DC1">
        <w:rPr>
          <w:rFonts w:ascii="Arial" w:hAnsi="Arial" w:cs="Arial"/>
        </w:rPr>
        <w:t xml:space="preserve">Environmental Attribute Certificates (EACs) </w:t>
      </w:r>
      <w:r w:rsidR="000B5EF0">
        <w:rPr>
          <w:rFonts w:ascii="Arial" w:hAnsi="Arial" w:cs="Arial"/>
        </w:rPr>
        <w:t xml:space="preserve">and </w:t>
      </w:r>
      <w:hyperlink r:id="rId19" w:history="1">
        <w:r w:rsidR="000B5EF0" w:rsidRPr="00917F32">
          <w:rPr>
            <w:rStyle w:val="Hyperlink"/>
            <w:rFonts w:ascii="Arial" w:hAnsi="Arial" w:cs="Arial"/>
          </w:rPr>
          <w:t>P</w:t>
        </w:r>
        <w:r w:rsidR="00917F32" w:rsidRPr="00917F32">
          <w:rPr>
            <w:rStyle w:val="Hyperlink"/>
            <w:rFonts w:ascii="Arial" w:hAnsi="Arial" w:cs="Arial"/>
          </w:rPr>
          <w:t>ublic Key Infrastructure</w:t>
        </w:r>
      </w:hyperlink>
      <w:r w:rsidR="006674BD">
        <w:rPr>
          <w:rFonts w:ascii="Arial" w:hAnsi="Arial" w:cs="Arial"/>
        </w:rPr>
        <w:t xml:space="preserve"> (PKI)</w:t>
      </w:r>
      <w:r w:rsidR="00917F32">
        <w:rPr>
          <w:rFonts w:ascii="Arial" w:hAnsi="Arial" w:cs="Arial"/>
        </w:rPr>
        <w:t xml:space="preserve"> </w:t>
      </w:r>
      <w:r w:rsidRPr="00691DC1">
        <w:rPr>
          <w:rFonts w:ascii="Arial" w:hAnsi="Arial" w:cs="Arial"/>
        </w:rPr>
        <w:t>to consolidate decentralized data and foster trust in environmental market mechanisms.</w:t>
      </w:r>
      <w:r w:rsidR="006674BD">
        <w:rPr>
          <w:rFonts w:ascii="Arial" w:hAnsi="Arial" w:cs="Arial"/>
        </w:rPr>
        <w:t xml:space="preserve"> </w:t>
      </w:r>
    </w:p>
    <w:p w14:paraId="37EE2B0C" w14:textId="77777777" w:rsidR="00D73900" w:rsidRPr="00691DC1" w:rsidRDefault="00D73900" w:rsidP="00691DC1">
      <w:pPr>
        <w:pStyle w:val="ListParagraph"/>
        <w:rPr>
          <w:rFonts w:ascii="Arial" w:hAnsi="Arial" w:cs="Arial"/>
        </w:rPr>
      </w:pPr>
    </w:p>
    <w:p w14:paraId="6D377DF6" w14:textId="77777777" w:rsidR="00D73900" w:rsidRDefault="006F4BCF" w:rsidP="00021416">
      <w:pPr>
        <w:pStyle w:val="ListParagraph"/>
        <w:numPr>
          <w:ilvl w:val="0"/>
          <w:numId w:val="30"/>
        </w:numPr>
        <w:rPr>
          <w:rFonts w:ascii="Arial" w:hAnsi="Arial" w:cs="Arial"/>
          <w:b/>
          <w:bCs/>
        </w:rPr>
      </w:pPr>
      <w:r w:rsidRPr="00021416">
        <w:rPr>
          <w:rFonts w:ascii="Arial" w:hAnsi="Arial" w:cs="Arial"/>
          <w:b/>
          <w:bCs/>
        </w:rPr>
        <w:t xml:space="preserve">What are Spatiotemporal Claim IDs (SCIDs)? </w:t>
      </w:r>
    </w:p>
    <w:p w14:paraId="24931288" w14:textId="5B5AE3B9" w:rsidR="00021416" w:rsidRDefault="006F4BCF" w:rsidP="00D73900">
      <w:pPr>
        <w:pStyle w:val="ListParagraph"/>
        <w:rPr>
          <w:rFonts w:ascii="Arial" w:hAnsi="Arial" w:cs="Arial"/>
        </w:rPr>
      </w:pPr>
      <w:r w:rsidRPr="00D73900">
        <w:rPr>
          <w:rFonts w:ascii="Arial" w:hAnsi="Arial" w:cs="Arial"/>
        </w:rPr>
        <w:t xml:space="preserve">SCIDs are unique 24-character identifiers embedded in digital certificates for sustainable projects. </w:t>
      </w:r>
      <w:r w:rsidR="003363FA" w:rsidRPr="00EE100D">
        <w:rPr>
          <w:rFonts w:ascii="Arial" w:hAnsi="Arial" w:cs="Arial"/>
        </w:rPr>
        <w:t>SCIDs and their affiliated meta-data are securely stored via cryptographical hash functions, which creates unique but comparable cryptographic fingerprints of claims for easy machine reading and comparison</w:t>
      </w:r>
      <w:r w:rsidR="003363FA">
        <w:rPr>
          <w:rFonts w:ascii="Arial" w:hAnsi="Arial" w:cs="Arial"/>
        </w:rPr>
        <w:t xml:space="preserve">. </w:t>
      </w:r>
      <w:r w:rsidR="00191D56">
        <w:rPr>
          <w:rFonts w:ascii="Arial" w:hAnsi="Arial" w:cs="Arial"/>
        </w:rPr>
        <w:t xml:space="preserve">This </w:t>
      </w:r>
      <w:r w:rsidR="00D76391" w:rsidRPr="00D73900">
        <w:rPr>
          <w:rFonts w:ascii="Arial" w:hAnsi="Arial" w:cs="Arial"/>
        </w:rPr>
        <w:t>supports</w:t>
      </w:r>
      <w:r w:rsidRPr="00D73900">
        <w:rPr>
          <w:rFonts w:ascii="Arial" w:hAnsi="Arial" w:cs="Arial"/>
        </w:rPr>
        <w:t xml:space="preserve"> efficient and reliable underwriting, verification, trading, settlement, and clearing by combining geospatial, temporal, and environmental attribute data.</w:t>
      </w:r>
    </w:p>
    <w:p w14:paraId="5959154A" w14:textId="77777777" w:rsidR="00D73900" w:rsidRPr="00D73900" w:rsidRDefault="00D73900" w:rsidP="00D73900">
      <w:pPr>
        <w:pStyle w:val="ListParagraph"/>
        <w:rPr>
          <w:rFonts w:ascii="Arial" w:hAnsi="Arial" w:cs="Arial"/>
        </w:rPr>
      </w:pPr>
    </w:p>
    <w:p w14:paraId="1B6DE406" w14:textId="77777777" w:rsidR="00D73900" w:rsidRDefault="006F4BCF" w:rsidP="00021416">
      <w:pPr>
        <w:pStyle w:val="ListParagraph"/>
        <w:numPr>
          <w:ilvl w:val="0"/>
          <w:numId w:val="30"/>
        </w:numPr>
        <w:rPr>
          <w:rFonts w:ascii="Arial" w:hAnsi="Arial" w:cs="Arial"/>
          <w:b/>
          <w:bCs/>
        </w:rPr>
      </w:pPr>
      <w:r w:rsidRPr="00021416">
        <w:rPr>
          <w:rFonts w:ascii="Arial" w:hAnsi="Arial" w:cs="Arial"/>
          <w:b/>
          <w:bCs/>
        </w:rPr>
        <w:t xml:space="preserve">What are Environmental Attribute Certificates (EACs)? </w:t>
      </w:r>
    </w:p>
    <w:p w14:paraId="282CCAD0" w14:textId="3E60EB41" w:rsidR="00021416" w:rsidRDefault="006F4BCF" w:rsidP="00D73900">
      <w:pPr>
        <w:pStyle w:val="ListParagraph"/>
        <w:rPr>
          <w:rFonts w:ascii="Arial" w:hAnsi="Arial" w:cs="Arial"/>
        </w:rPr>
      </w:pPr>
      <w:r w:rsidRPr="00D73900">
        <w:rPr>
          <w:rFonts w:ascii="Arial" w:hAnsi="Arial" w:cs="Arial"/>
        </w:rPr>
        <w:t xml:space="preserve">EACs are certificates representing the quantified environmental benefits generated by sustainable practices and interventions. </w:t>
      </w:r>
      <w:r w:rsidR="00237D12">
        <w:rPr>
          <w:rFonts w:ascii="Arial" w:hAnsi="Arial" w:cs="Arial"/>
        </w:rPr>
        <w:t xml:space="preserve"> They are the </w:t>
      </w:r>
      <w:r w:rsidR="00C33766" w:rsidRPr="00C33766">
        <w:rPr>
          <w:rFonts w:ascii="Arial" w:hAnsi="Arial" w:cs="Arial"/>
        </w:rPr>
        <w:t xml:space="preserve">“child” of Custodian, and can only be issued based on </w:t>
      </w:r>
      <w:r w:rsidR="00237D12">
        <w:rPr>
          <w:rFonts w:ascii="Arial" w:hAnsi="Arial" w:cs="Arial"/>
        </w:rPr>
        <w:t xml:space="preserve">one or more </w:t>
      </w:r>
      <w:r w:rsidR="00580FA5">
        <w:rPr>
          <w:rFonts w:ascii="Arial" w:hAnsi="Arial" w:cs="Arial"/>
        </w:rPr>
        <w:t xml:space="preserve">SCID certificates. </w:t>
      </w:r>
      <w:r w:rsidRPr="00D73900">
        <w:rPr>
          <w:rFonts w:ascii="Arial" w:hAnsi="Arial" w:cs="Arial"/>
        </w:rPr>
        <w:t>They provide a secure, traceable, and standardized means of transporting environmental assets across platforms and between parties.</w:t>
      </w:r>
    </w:p>
    <w:p w14:paraId="6725A1B3" w14:textId="77777777" w:rsidR="00D350FF" w:rsidRPr="00D73900" w:rsidRDefault="00D350FF" w:rsidP="00D73900">
      <w:pPr>
        <w:pStyle w:val="ListParagraph"/>
        <w:rPr>
          <w:rFonts w:ascii="Arial" w:hAnsi="Arial" w:cs="Arial"/>
        </w:rPr>
      </w:pPr>
    </w:p>
    <w:p w14:paraId="2BCFFD7C" w14:textId="77777777" w:rsidR="008B127F" w:rsidRDefault="006F4BCF" w:rsidP="00021416">
      <w:pPr>
        <w:pStyle w:val="ListParagraph"/>
        <w:numPr>
          <w:ilvl w:val="0"/>
          <w:numId w:val="30"/>
        </w:numPr>
        <w:rPr>
          <w:rFonts w:ascii="Arial" w:hAnsi="Arial" w:cs="Arial"/>
          <w:b/>
          <w:bCs/>
        </w:rPr>
      </w:pPr>
      <w:r w:rsidRPr="00021416">
        <w:rPr>
          <w:rFonts w:ascii="Arial" w:hAnsi="Arial" w:cs="Arial"/>
          <w:b/>
          <w:bCs/>
        </w:rPr>
        <w:t xml:space="preserve">How does METI Originate ensure data security? </w:t>
      </w:r>
    </w:p>
    <w:p w14:paraId="76A94A1C" w14:textId="68D1EFE1" w:rsidR="00021416" w:rsidRDefault="006F4BCF" w:rsidP="008B127F">
      <w:pPr>
        <w:pStyle w:val="ListParagraph"/>
        <w:rPr>
          <w:rFonts w:ascii="Arial" w:hAnsi="Arial" w:cs="Arial"/>
        </w:rPr>
      </w:pPr>
      <w:r w:rsidRPr="008B127F">
        <w:rPr>
          <w:rFonts w:ascii="Arial" w:hAnsi="Arial" w:cs="Arial"/>
        </w:rPr>
        <w:t xml:space="preserve">METI Originate </w:t>
      </w:r>
      <w:r w:rsidR="00612E2F">
        <w:rPr>
          <w:rFonts w:ascii="Arial" w:hAnsi="Arial" w:cs="Arial"/>
        </w:rPr>
        <w:t>ensures</w:t>
      </w:r>
      <w:r w:rsidR="009366AA">
        <w:rPr>
          <w:rFonts w:ascii="Arial" w:hAnsi="Arial" w:cs="Arial"/>
        </w:rPr>
        <w:t xml:space="preserve"> data</w:t>
      </w:r>
      <w:r w:rsidR="00612E2F">
        <w:rPr>
          <w:rFonts w:ascii="Arial" w:hAnsi="Arial" w:cs="Arial"/>
        </w:rPr>
        <w:t xml:space="preserve"> security by design </w:t>
      </w:r>
      <w:r w:rsidR="009D23AF">
        <w:rPr>
          <w:rFonts w:ascii="Arial" w:hAnsi="Arial" w:cs="Arial"/>
        </w:rPr>
        <w:t>through the deployment of</w:t>
      </w:r>
      <w:r w:rsidR="00612E2F">
        <w:rPr>
          <w:rFonts w:ascii="Arial" w:hAnsi="Arial" w:cs="Arial"/>
        </w:rPr>
        <w:t xml:space="preserve"> </w:t>
      </w:r>
      <w:r w:rsidR="0052704A">
        <w:rPr>
          <w:rFonts w:ascii="Arial" w:hAnsi="Arial" w:cs="Arial"/>
        </w:rPr>
        <w:t xml:space="preserve">PKI </w:t>
      </w:r>
      <w:r w:rsidR="00675FE5">
        <w:rPr>
          <w:rFonts w:ascii="Arial" w:hAnsi="Arial" w:cs="Arial"/>
        </w:rPr>
        <w:t>–</w:t>
      </w:r>
      <w:r w:rsidR="0052704A">
        <w:rPr>
          <w:rFonts w:ascii="Arial" w:hAnsi="Arial" w:cs="Arial"/>
        </w:rPr>
        <w:t xml:space="preserve"> </w:t>
      </w:r>
      <w:r w:rsidR="00675FE5">
        <w:rPr>
          <w:rFonts w:ascii="Arial" w:hAnsi="Arial" w:cs="Arial"/>
        </w:rPr>
        <w:t xml:space="preserve">a </w:t>
      </w:r>
      <w:r w:rsidR="00675FE5" w:rsidRPr="00675FE5">
        <w:rPr>
          <w:rFonts w:ascii="Arial" w:hAnsi="Arial" w:cs="Arial"/>
        </w:rPr>
        <w:t xml:space="preserve">technology </w:t>
      </w:r>
      <w:r w:rsidR="00675FE5">
        <w:rPr>
          <w:rFonts w:ascii="Arial" w:hAnsi="Arial" w:cs="Arial"/>
        </w:rPr>
        <w:t xml:space="preserve">that </w:t>
      </w:r>
      <w:r w:rsidR="00675FE5" w:rsidRPr="00675FE5">
        <w:rPr>
          <w:rFonts w:ascii="Arial" w:hAnsi="Arial" w:cs="Arial"/>
        </w:rPr>
        <w:t>represents the backbone of trust and security for the entire modern digital world</w:t>
      </w:r>
      <w:r w:rsidR="00675FE5">
        <w:rPr>
          <w:rFonts w:ascii="Arial" w:hAnsi="Arial" w:cs="Arial"/>
        </w:rPr>
        <w:t xml:space="preserve">. </w:t>
      </w:r>
      <w:r w:rsidR="00D3191C">
        <w:rPr>
          <w:rFonts w:ascii="Arial" w:hAnsi="Arial" w:cs="Arial"/>
        </w:rPr>
        <w:t>Our</w:t>
      </w:r>
      <w:r w:rsidR="00B23A99">
        <w:rPr>
          <w:rFonts w:ascii="Arial" w:hAnsi="Arial" w:cs="Arial"/>
        </w:rPr>
        <w:t xml:space="preserve"> </w:t>
      </w:r>
      <w:r w:rsidRPr="008B127F">
        <w:rPr>
          <w:rFonts w:ascii="Arial" w:hAnsi="Arial" w:cs="Arial"/>
        </w:rPr>
        <w:t>robust data security measures includ</w:t>
      </w:r>
      <w:r w:rsidR="00D83F07">
        <w:rPr>
          <w:rFonts w:ascii="Arial" w:hAnsi="Arial" w:cs="Arial"/>
        </w:rPr>
        <w:t>e</w:t>
      </w:r>
      <w:r w:rsidRPr="008B127F">
        <w:rPr>
          <w:rFonts w:ascii="Arial" w:hAnsi="Arial" w:cs="Arial"/>
        </w:rPr>
        <w:t xml:space="preserve"> authentication (verifying user identities), encryption (protecting data in transit and at rest), integrity (ensuring data has not been tampered with), and non-repudiation (providing proof of origin and chain of custody)</w:t>
      </w:r>
      <w:r w:rsidR="00D3191C">
        <w:rPr>
          <w:rFonts w:ascii="Arial" w:hAnsi="Arial" w:cs="Arial"/>
        </w:rPr>
        <w:t xml:space="preserve"> for all data coming in and out of the system</w:t>
      </w:r>
      <w:r w:rsidRPr="008B127F">
        <w:rPr>
          <w:rFonts w:ascii="Arial" w:hAnsi="Arial" w:cs="Arial"/>
        </w:rPr>
        <w:t>.</w:t>
      </w:r>
    </w:p>
    <w:p w14:paraId="5CB331A6" w14:textId="77777777" w:rsidR="00E32E75" w:rsidRPr="008B127F" w:rsidRDefault="00E32E75" w:rsidP="008B127F">
      <w:pPr>
        <w:pStyle w:val="ListParagraph"/>
        <w:rPr>
          <w:rFonts w:ascii="Arial" w:hAnsi="Arial" w:cs="Arial"/>
        </w:rPr>
      </w:pPr>
    </w:p>
    <w:p w14:paraId="62ECE50C" w14:textId="77777777" w:rsidR="00287322" w:rsidRDefault="006F4BCF" w:rsidP="00287322">
      <w:pPr>
        <w:pStyle w:val="ListParagraph"/>
        <w:numPr>
          <w:ilvl w:val="0"/>
          <w:numId w:val="30"/>
        </w:numPr>
        <w:rPr>
          <w:rFonts w:ascii="Arial" w:hAnsi="Arial" w:cs="Arial"/>
          <w:b/>
          <w:bCs/>
        </w:rPr>
      </w:pPr>
      <w:r w:rsidRPr="00021416">
        <w:rPr>
          <w:rFonts w:ascii="Arial" w:hAnsi="Arial" w:cs="Arial"/>
          <w:b/>
          <w:bCs/>
        </w:rPr>
        <w:t xml:space="preserve">What are the benefits of using SCIDs and EACs? </w:t>
      </w:r>
    </w:p>
    <w:p w14:paraId="7B16A7C8" w14:textId="2ED600E4" w:rsidR="00E32E75" w:rsidRDefault="00287322" w:rsidP="00287322">
      <w:pPr>
        <w:pStyle w:val="ListParagraph"/>
        <w:rPr>
          <w:rFonts w:ascii="Arial" w:hAnsi="Arial" w:cs="Arial"/>
        </w:rPr>
      </w:pPr>
      <w:r w:rsidRPr="00287322">
        <w:rPr>
          <w:rFonts w:ascii="Arial" w:hAnsi="Arial" w:cs="Arial"/>
        </w:rPr>
        <w:t>SCIDs and EACs enhance data accessibility and ensure efficient, reliable operations related to environmental asset management. They support global standardization and adapt to various and evolving ecosystem services market programs, projects, and standards. Together, SCIDs and EACs serve as the certificate of record for the specific type of project work being measured, detailing the quantity of the impact, project specifics, evidence sources, and co-benefits. They also support singular or multiple VBB verification and automation workflows, which can be incorporated through verification process agreements.</w:t>
      </w:r>
    </w:p>
    <w:p w14:paraId="08E1E848" w14:textId="77777777" w:rsidR="00287322" w:rsidRDefault="00287322" w:rsidP="00287322">
      <w:pPr>
        <w:pStyle w:val="ListParagraph"/>
        <w:rPr>
          <w:rFonts w:ascii="Arial" w:hAnsi="Arial" w:cs="Arial"/>
        </w:rPr>
      </w:pPr>
    </w:p>
    <w:p w14:paraId="2191798F" w14:textId="77777777" w:rsidR="007B25B5" w:rsidRDefault="007B25B5" w:rsidP="00287322">
      <w:pPr>
        <w:pStyle w:val="ListParagraph"/>
        <w:rPr>
          <w:rFonts w:ascii="Arial" w:hAnsi="Arial" w:cs="Arial"/>
        </w:rPr>
      </w:pPr>
    </w:p>
    <w:p w14:paraId="539E30C8" w14:textId="77777777" w:rsidR="007B25B5" w:rsidRPr="00287322" w:rsidRDefault="007B25B5" w:rsidP="00287322">
      <w:pPr>
        <w:pStyle w:val="ListParagraph"/>
        <w:rPr>
          <w:rFonts w:ascii="Arial" w:hAnsi="Arial" w:cs="Arial"/>
          <w:b/>
          <w:bCs/>
        </w:rPr>
      </w:pPr>
    </w:p>
    <w:p w14:paraId="4FEAB50C" w14:textId="77777777" w:rsidR="00E32E75" w:rsidRDefault="006F4BCF" w:rsidP="00021416">
      <w:pPr>
        <w:pStyle w:val="ListParagraph"/>
        <w:numPr>
          <w:ilvl w:val="0"/>
          <w:numId w:val="30"/>
        </w:numPr>
        <w:rPr>
          <w:rFonts w:ascii="Arial" w:hAnsi="Arial" w:cs="Arial"/>
          <w:b/>
          <w:bCs/>
        </w:rPr>
      </w:pPr>
      <w:r w:rsidRPr="00021416">
        <w:rPr>
          <w:rFonts w:ascii="Arial" w:hAnsi="Arial" w:cs="Arial"/>
          <w:b/>
          <w:bCs/>
        </w:rPr>
        <w:t xml:space="preserve">What is the SCID Certification process? </w:t>
      </w:r>
    </w:p>
    <w:p w14:paraId="5C412AAD" w14:textId="0E3AC66D" w:rsidR="00021416" w:rsidRDefault="006F4BCF" w:rsidP="00E32E75">
      <w:pPr>
        <w:pStyle w:val="ListParagraph"/>
        <w:rPr>
          <w:rFonts w:ascii="Arial" w:hAnsi="Arial" w:cs="Arial"/>
        </w:rPr>
      </w:pPr>
      <w:r w:rsidRPr="00E32E75">
        <w:rPr>
          <w:rFonts w:ascii="Arial" w:hAnsi="Arial" w:cs="Arial"/>
        </w:rPr>
        <w:t xml:space="preserve">The SCID Certification process involves submitting a request via METI </w:t>
      </w:r>
      <w:proofErr w:type="spellStart"/>
      <w:r w:rsidRPr="00E32E75">
        <w:rPr>
          <w:rFonts w:ascii="Arial" w:hAnsi="Arial" w:cs="Arial"/>
        </w:rPr>
        <w:t>Originate’s</w:t>
      </w:r>
      <w:proofErr w:type="spellEnd"/>
      <w:r w:rsidRPr="00E32E75">
        <w:rPr>
          <w:rFonts w:ascii="Arial" w:hAnsi="Arial" w:cs="Arial"/>
        </w:rPr>
        <w:t xml:space="preserve"> online portal. The request is reviewed and, if approved, a SCID is </w:t>
      </w:r>
      <w:r w:rsidR="007B25B5" w:rsidRPr="00E32E75">
        <w:rPr>
          <w:rFonts w:ascii="Arial" w:hAnsi="Arial" w:cs="Arial"/>
        </w:rPr>
        <w:t>assigned,</w:t>
      </w:r>
      <w:r w:rsidR="00B1428B">
        <w:rPr>
          <w:rFonts w:ascii="Arial" w:hAnsi="Arial" w:cs="Arial"/>
        </w:rPr>
        <w:t xml:space="preserve"> and certificate issued</w:t>
      </w:r>
      <w:r w:rsidRPr="00E32E75">
        <w:rPr>
          <w:rFonts w:ascii="Arial" w:hAnsi="Arial" w:cs="Arial"/>
        </w:rPr>
        <w:t>. An annual certification/review process ensures data accuracy and updates SCIDs as needed.</w:t>
      </w:r>
    </w:p>
    <w:p w14:paraId="0368965A" w14:textId="77777777" w:rsidR="00B1428B" w:rsidRPr="00E32E75" w:rsidRDefault="00B1428B" w:rsidP="00E32E75">
      <w:pPr>
        <w:pStyle w:val="ListParagraph"/>
        <w:rPr>
          <w:rFonts w:ascii="Arial" w:hAnsi="Arial" w:cs="Arial"/>
        </w:rPr>
      </w:pPr>
    </w:p>
    <w:p w14:paraId="229B964A" w14:textId="77777777" w:rsidR="00B1428B" w:rsidRDefault="006F4BCF" w:rsidP="00021416">
      <w:pPr>
        <w:pStyle w:val="ListParagraph"/>
        <w:numPr>
          <w:ilvl w:val="0"/>
          <w:numId w:val="30"/>
        </w:numPr>
        <w:rPr>
          <w:rFonts w:ascii="Arial" w:hAnsi="Arial" w:cs="Arial"/>
          <w:b/>
          <w:bCs/>
        </w:rPr>
      </w:pPr>
      <w:r w:rsidRPr="00021416">
        <w:rPr>
          <w:rFonts w:ascii="Arial" w:hAnsi="Arial" w:cs="Arial"/>
          <w:b/>
          <w:bCs/>
        </w:rPr>
        <w:t xml:space="preserve">What are the different models for EAC distribution? </w:t>
      </w:r>
    </w:p>
    <w:p w14:paraId="54ED757E" w14:textId="5E5CA10F" w:rsidR="00021416" w:rsidRPr="00B1428B" w:rsidRDefault="006F4BCF" w:rsidP="00B1428B">
      <w:pPr>
        <w:pStyle w:val="ListParagraph"/>
        <w:rPr>
          <w:rFonts w:ascii="Arial" w:hAnsi="Arial" w:cs="Arial"/>
        </w:rPr>
      </w:pPr>
      <w:r w:rsidRPr="00B1428B">
        <w:rPr>
          <w:rFonts w:ascii="Arial" w:hAnsi="Arial" w:cs="Arial"/>
        </w:rPr>
        <w:t>EAC distribution can occur through three models:</w:t>
      </w:r>
    </w:p>
    <w:p w14:paraId="77B735BB" w14:textId="77777777" w:rsidR="00021416" w:rsidRPr="00B1428B" w:rsidRDefault="006F4BCF" w:rsidP="00021416">
      <w:pPr>
        <w:pStyle w:val="ListParagraph"/>
        <w:numPr>
          <w:ilvl w:val="1"/>
          <w:numId w:val="30"/>
        </w:numPr>
        <w:rPr>
          <w:rFonts w:ascii="Arial" w:hAnsi="Arial" w:cs="Arial"/>
        </w:rPr>
      </w:pPr>
      <w:r w:rsidRPr="00B1428B">
        <w:rPr>
          <w:rFonts w:ascii="Arial" w:hAnsi="Arial" w:cs="Arial"/>
        </w:rPr>
        <w:t>Direct Distribution: Immediate transfer of EACs to a single beneficiary.</w:t>
      </w:r>
    </w:p>
    <w:p w14:paraId="6BCAEC21" w14:textId="77777777" w:rsidR="00021416" w:rsidRPr="00B1428B" w:rsidRDefault="006F4BCF" w:rsidP="00021416">
      <w:pPr>
        <w:pStyle w:val="ListParagraph"/>
        <w:numPr>
          <w:ilvl w:val="1"/>
          <w:numId w:val="30"/>
        </w:numPr>
        <w:rPr>
          <w:rFonts w:ascii="Arial" w:hAnsi="Arial" w:cs="Arial"/>
        </w:rPr>
      </w:pPr>
      <w:r w:rsidRPr="00B1428B">
        <w:rPr>
          <w:rFonts w:ascii="Arial" w:hAnsi="Arial" w:cs="Arial"/>
        </w:rPr>
        <w:t>Segmented Autonomous Distribution: Custodian distributes SCIDs to sub-custodians who manage their received benefits independently.</w:t>
      </w:r>
    </w:p>
    <w:p w14:paraId="391F3C8E" w14:textId="77777777" w:rsidR="00021416" w:rsidRDefault="006F4BCF" w:rsidP="00021416">
      <w:pPr>
        <w:pStyle w:val="ListParagraph"/>
        <w:numPr>
          <w:ilvl w:val="1"/>
          <w:numId w:val="30"/>
        </w:numPr>
        <w:rPr>
          <w:rFonts w:ascii="Arial" w:hAnsi="Arial" w:cs="Arial"/>
        </w:rPr>
      </w:pPr>
      <w:r w:rsidRPr="00B1428B">
        <w:rPr>
          <w:rFonts w:ascii="Arial" w:hAnsi="Arial" w:cs="Arial"/>
        </w:rPr>
        <w:t>Syndicated Distribution: A lead custodian manages the distribution of EACs to beneficiaries according to a predetermined facility or contract.</w:t>
      </w:r>
    </w:p>
    <w:p w14:paraId="68D569F2" w14:textId="77777777" w:rsidR="00B1428B" w:rsidRPr="00B1428B" w:rsidRDefault="00B1428B" w:rsidP="00B1428B">
      <w:pPr>
        <w:pStyle w:val="ListParagraph"/>
        <w:ind w:left="1440"/>
        <w:rPr>
          <w:rFonts w:ascii="Arial" w:hAnsi="Arial" w:cs="Arial"/>
        </w:rPr>
      </w:pPr>
    </w:p>
    <w:p w14:paraId="4BA11233" w14:textId="77777777" w:rsidR="00B1428B" w:rsidRPr="00B1428B" w:rsidRDefault="006F4BCF" w:rsidP="00021416">
      <w:pPr>
        <w:pStyle w:val="ListParagraph"/>
        <w:numPr>
          <w:ilvl w:val="0"/>
          <w:numId w:val="30"/>
        </w:numPr>
        <w:rPr>
          <w:rFonts w:ascii="Arial" w:hAnsi="Arial" w:cs="Arial"/>
        </w:rPr>
      </w:pPr>
      <w:r w:rsidRPr="00021416">
        <w:rPr>
          <w:rFonts w:ascii="Arial" w:hAnsi="Arial" w:cs="Arial"/>
          <w:b/>
          <w:bCs/>
        </w:rPr>
        <w:t xml:space="preserve">What data is required for SCID and EAC certification? </w:t>
      </w:r>
    </w:p>
    <w:p w14:paraId="0C7CF616" w14:textId="7AA94AA2" w:rsidR="00021416" w:rsidRDefault="006F4BCF" w:rsidP="00B1428B">
      <w:pPr>
        <w:pStyle w:val="ListParagraph"/>
        <w:rPr>
          <w:rFonts w:ascii="Arial" w:hAnsi="Arial" w:cs="Arial"/>
        </w:rPr>
      </w:pPr>
      <w:r w:rsidRPr="00B1428B">
        <w:rPr>
          <w:rFonts w:ascii="Arial" w:hAnsi="Arial" w:cs="Arial"/>
        </w:rPr>
        <w:t>General required data includes the 24-character SCID Identifier, geospatial coordinates, attribute type(s), quantity and unit of attribute(s), contract start and end dates, issuer/custodian ID and name, among others specific to the type of certification.</w:t>
      </w:r>
    </w:p>
    <w:p w14:paraId="75689A3D" w14:textId="77777777" w:rsidR="007708F4" w:rsidRPr="00B1428B" w:rsidRDefault="007708F4" w:rsidP="00B1428B">
      <w:pPr>
        <w:pStyle w:val="ListParagraph"/>
        <w:rPr>
          <w:rFonts w:ascii="Arial" w:hAnsi="Arial" w:cs="Arial"/>
        </w:rPr>
      </w:pPr>
    </w:p>
    <w:p w14:paraId="7A475830" w14:textId="522BE027" w:rsidR="007708F4" w:rsidRPr="007708F4" w:rsidRDefault="006F4BCF" w:rsidP="00021416">
      <w:pPr>
        <w:pStyle w:val="ListParagraph"/>
        <w:numPr>
          <w:ilvl w:val="0"/>
          <w:numId w:val="30"/>
        </w:numPr>
        <w:rPr>
          <w:rFonts w:ascii="Arial" w:hAnsi="Arial" w:cs="Arial"/>
        </w:rPr>
      </w:pPr>
      <w:r w:rsidRPr="00021416">
        <w:rPr>
          <w:rFonts w:ascii="Arial" w:hAnsi="Arial" w:cs="Arial"/>
          <w:b/>
          <w:bCs/>
        </w:rPr>
        <w:t>Wh</w:t>
      </w:r>
      <w:r w:rsidR="007708F4">
        <w:rPr>
          <w:rFonts w:ascii="Arial" w:hAnsi="Arial" w:cs="Arial"/>
          <w:b/>
          <w:bCs/>
        </w:rPr>
        <w:t>o</w:t>
      </w:r>
      <w:r w:rsidRPr="00021416">
        <w:rPr>
          <w:rFonts w:ascii="Arial" w:hAnsi="Arial" w:cs="Arial"/>
          <w:b/>
          <w:bCs/>
        </w:rPr>
        <w:t xml:space="preserve"> is a </w:t>
      </w:r>
      <w:r w:rsidR="00D431E3">
        <w:rPr>
          <w:rFonts w:ascii="Arial" w:hAnsi="Arial" w:cs="Arial"/>
          <w:b/>
          <w:bCs/>
        </w:rPr>
        <w:t>C</w:t>
      </w:r>
      <w:r w:rsidRPr="00021416">
        <w:rPr>
          <w:rFonts w:ascii="Arial" w:hAnsi="Arial" w:cs="Arial"/>
          <w:b/>
          <w:bCs/>
        </w:rPr>
        <w:t xml:space="preserve">ustodian? </w:t>
      </w:r>
    </w:p>
    <w:p w14:paraId="254697FA" w14:textId="5A386996" w:rsidR="00021416" w:rsidRPr="007708F4" w:rsidRDefault="006F4BCF" w:rsidP="007708F4">
      <w:pPr>
        <w:pStyle w:val="ListParagraph"/>
        <w:rPr>
          <w:rFonts w:ascii="Arial" w:hAnsi="Arial" w:cs="Arial"/>
        </w:rPr>
      </w:pPr>
      <w:r w:rsidRPr="007708F4">
        <w:rPr>
          <w:rFonts w:ascii="Arial" w:hAnsi="Arial" w:cs="Arial"/>
        </w:rPr>
        <w:t>A custodian is an organization responsible for the ownership and/or administrative authority of one or more Spatiotemporal Claim IDs (SCIDs) and Environmental Attribute Certificates (EACs). The custodian ensures the proper management, issuance, and distribution of these identifiers and certificates.</w:t>
      </w:r>
      <w:r w:rsidR="007708F4">
        <w:rPr>
          <w:rFonts w:ascii="Arial" w:hAnsi="Arial" w:cs="Arial"/>
        </w:rPr>
        <w:t xml:space="preserve"> </w:t>
      </w:r>
      <w:r w:rsidR="004A6854">
        <w:rPr>
          <w:rFonts w:ascii="Arial" w:hAnsi="Arial" w:cs="Arial"/>
        </w:rPr>
        <w:t>In environmental markets, a custodian is typically a project developer, program administrator, and or carbon ma</w:t>
      </w:r>
      <w:r w:rsidR="00D431E3">
        <w:rPr>
          <w:rFonts w:ascii="Arial" w:hAnsi="Arial" w:cs="Arial"/>
        </w:rPr>
        <w:t>nagement platform</w:t>
      </w:r>
      <w:r w:rsidR="003A7476">
        <w:rPr>
          <w:rFonts w:ascii="Arial" w:hAnsi="Arial" w:cs="Arial"/>
        </w:rPr>
        <w:t xml:space="preserve"> that has the legal rights to administer this data.</w:t>
      </w:r>
      <w:r w:rsidR="00D431E3">
        <w:rPr>
          <w:rFonts w:ascii="Arial" w:hAnsi="Arial" w:cs="Arial"/>
        </w:rPr>
        <w:t xml:space="preserve"> </w:t>
      </w:r>
    </w:p>
    <w:p w14:paraId="495C8F70" w14:textId="77777777" w:rsidR="007708F4" w:rsidRDefault="007708F4" w:rsidP="007708F4">
      <w:pPr>
        <w:pStyle w:val="ListParagraph"/>
        <w:rPr>
          <w:rFonts w:ascii="Arial" w:hAnsi="Arial" w:cs="Arial"/>
          <w:b/>
          <w:bCs/>
        </w:rPr>
      </w:pPr>
    </w:p>
    <w:p w14:paraId="69D1E60B" w14:textId="77777777" w:rsidR="00D431E3" w:rsidRDefault="006F4BCF" w:rsidP="00021416">
      <w:pPr>
        <w:pStyle w:val="ListParagraph"/>
        <w:numPr>
          <w:ilvl w:val="0"/>
          <w:numId w:val="30"/>
        </w:numPr>
        <w:rPr>
          <w:rFonts w:ascii="Arial" w:hAnsi="Arial" w:cs="Arial"/>
          <w:b/>
          <w:bCs/>
        </w:rPr>
      </w:pPr>
      <w:r w:rsidRPr="00021416">
        <w:rPr>
          <w:rFonts w:ascii="Arial" w:hAnsi="Arial" w:cs="Arial"/>
          <w:b/>
          <w:bCs/>
        </w:rPr>
        <w:t xml:space="preserve">Who is a </w:t>
      </w:r>
      <w:r w:rsidR="00D431E3">
        <w:rPr>
          <w:rFonts w:ascii="Arial" w:hAnsi="Arial" w:cs="Arial"/>
          <w:b/>
          <w:bCs/>
        </w:rPr>
        <w:t>B</w:t>
      </w:r>
      <w:r w:rsidRPr="00021416">
        <w:rPr>
          <w:rFonts w:ascii="Arial" w:hAnsi="Arial" w:cs="Arial"/>
          <w:b/>
          <w:bCs/>
        </w:rPr>
        <w:t xml:space="preserve">eneficiary? </w:t>
      </w:r>
    </w:p>
    <w:p w14:paraId="2E100515" w14:textId="7C5E1CAB" w:rsidR="00FC3C5D" w:rsidRDefault="006F4BCF" w:rsidP="00FC3C5D">
      <w:pPr>
        <w:pStyle w:val="ListParagraph"/>
        <w:rPr>
          <w:rFonts w:ascii="Arial" w:hAnsi="Arial" w:cs="Arial"/>
        </w:rPr>
      </w:pPr>
      <w:r w:rsidRPr="00D431E3">
        <w:rPr>
          <w:rFonts w:ascii="Arial" w:hAnsi="Arial" w:cs="Arial"/>
        </w:rPr>
        <w:t>A beneficiary is the recipient of environmental benefits represented by Environmental Attribute Certificates (EACs). Beneficiaries can include individuals, organizations, or entities that receive the quantified environmental benefits generated by sustainable practices and interventions, as documented and verified through the METI Originate system.</w:t>
      </w:r>
    </w:p>
    <w:p w14:paraId="69BE1456" w14:textId="77777777" w:rsidR="002F6A90" w:rsidRDefault="002F6A90" w:rsidP="00FC3C5D">
      <w:pPr>
        <w:pStyle w:val="ListParagraph"/>
        <w:rPr>
          <w:rFonts w:ascii="Arial" w:hAnsi="Arial" w:cs="Arial"/>
        </w:rPr>
      </w:pPr>
    </w:p>
    <w:p w14:paraId="127B2F1D" w14:textId="77777777" w:rsidR="002F6A90" w:rsidRDefault="002F6A90" w:rsidP="00FC3C5D">
      <w:pPr>
        <w:pStyle w:val="ListParagraph"/>
        <w:rPr>
          <w:rFonts w:ascii="Arial" w:hAnsi="Arial" w:cs="Arial"/>
        </w:rPr>
      </w:pPr>
    </w:p>
    <w:p w14:paraId="006B457F" w14:textId="77777777" w:rsidR="002F6A90" w:rsidRDefault="002F6A90" w:rsidP="00FC3C5D">
      <w:pPr>
        <w:pStyle w:val="ListParagraph"/>
        <w:rPr>
          <w:rFonts w:ascii="Arial" w:hAnsi="Arial" w:cs="Arial"/>
        </w:rPr>
      </w:pPr>
    </w:p>
    <w:p w14:paraId="29D73465" w14:textId="77777777" w:rsidR="002F6A90" w:rsidRDefault="002F6A90" w:rsidP="00FC3C5D">
      <w:pPr>
        <w:pStyle w:val="ListParagraph"/>
        <w:rPr>
          <w:rFonts w:ascii="Arial" w:hAnsi="Arial" w:cs="Arial"/>
        </w:rPr>
      </w:pPr>
    </w:p>
    <w:p w14:paraId="20CC5D24" w14:textId="77777777" w:rsidR="002F6A90" w:rsidRDefault="002F6A90" w:rsidP="00FC3C5D">
      <w:pPr>
        <w:pStyle w:val="ListParagraph"/>
        <w:rPr>
          <w:rFonts w:ascii="Arial" w:hAnsi="Arial" w:cs="Arial"/>
        </w:rPr>
      </w:pPr>
    </w:p>
    <w:p w14:paraId="25292D56" w14:textId="77777777" w:rsidR="002F6A90" w:rsidRDefault="002F6A90" w:rsidP="00FC3C5D">
      <w:pPr>
        <w:pStyle w:val="ListParagraph"/>
        <w:rPr>
          <w:rFonts w:ascii="Arial" w:hAnsi="Arial" w:cs="Arial"/>
        </w:rPr>
      </w:pPr>
    </w:p>
    <w:p w14:paraId="6995315D" w14:textId="77777777" w:rsidR="002F6A90" w:rsidRDefault="002F6A90" w:rsidP="00FC3C5D">
      <w:pPr>
        <w:pStyle w:val="ListParagraph"/>
        <w:rPr>
          <w:rFonts w:ascii="Arial" w:hAnsi="Arial" w:cs="Arial"/>
        </w:rPr>
      </w:pPr>
    </w:p>
    <w:p w14:paraId="09BE1603" w14:textId="77777777" w:rsidR="002F6A90" w:rsidRDefault="002F6A90" w:rsidP="00FC3C5D">
      <w:pPr>
        <w:pStyle w:val="ListParagraph"/>
        <w:rPr>
          <w:rFonts w:ascii="Arial" w:hAnsi="Arial" w:cs="Arial"/>
        </w:rPr>
      </w:pPr>
    </w:p>
    <w:p w14:paraId="4C381BBF" w14:textId="77777777" w:rsidR="002F6A90" w:rsidRDefault="002F6A90" w:rsidP="00FC3C5D">
      <w:pPr>
        <w:pStyle w:val="ListParagraph"/>
        <w:rPr>
          <w:rFonts w:ascii="Arial" w:hAnsi="Arial" w:cs="Arial"/>
        </w:rPr>
      </w:pPr>
    </w:p>
    <w:p w14:paraId="0D79E3D2" w14:textId="77777777" w:rsidR="002F6A90" w:rsidRDefault="002F6A90" w:rsidP="00FC3C5D">
      <w:pPr>
        <w:pStyle w:val="ListParagraph"/>
        <w:rPr>
          <w:rFonts w:ascii="Arial" w:hAnsi="Arial" w:cs="Arial"/>
        </w:rPr>
      </w:pPr>
    </w:p>
    <w:p w14:paraId="74E541C3" w14:textId="77777777" w:rsidR="002F6A90" w:rsidRDefault="002F6A90" w:rsidP="00FC3C5D">
      <w:pPr>
        <w:pStyle w:val="ListParagraph"/>
        <w:rPr>
          <w:rFonts w:ascii="Arial" w:hAnsi="Arial" w:cs="Arial"/>
        </w:rPr>
      </w:pPr>
    </w:p>
    <w:p w14:paraId="45DB158A" w14:textId="77777777" w:rsidR="002F6A90" w:rsidRDefault="002F6A90" w:rsidP="00FC3C5D">
      <w:pPr>
        <w:pStyle w:val="ListParagraph"/>
        <w:rPr>
          <w:rFonts w:ascii="Arial" w:hAnsi="Arial" w:cs="Arial"/>
        </w:rPr>
      </w:pPr>
    </w:p>
    <w:p w14:paraId="323F5205" w14:textId="77777777" w:rsidR="002F6A90" w:rsidRDefault="002F6A90" w:rsidP="00FC3C5D">
      <w:pPr>
        <w:pStyle w:val="ListParagraph"/>
        <w:rPr>
          <w:rFonts w:ascii="Arial" w:hAnsi="Arial" w:cs="Arial"/>
        </w:rPr>
      </w:pPr>
    </w:p>
    <w:p w14:paraId="3820E185" w14:textId="77777777" w:rsidR="00FC3C5D" w:rsidRPr="00FC3C5D" w:rsidRDefault="00FC3C5D" w:rsidP="00FC3C5D">
      <w:pPr>
        <w:pStyle w:val="ListParagraph"/>
        <w:rPr>
          <w:rFonts w:ascii="Arial" w:hAnsi="Arial" w:cs="Arial"/>
        </w:rPr>
      </w:pPr>
    </w:p>
    <w:p w14:paraId="5A2382A3" w14:textId="4AE69EA0" w:rsidR="007F7DCF" w:rsidRPr="007F7DCF" w:rsidRDefault="00B32943" w:rsidP="00825356">
      <w:pPr>
        <w:pStyle w:val="ListParagraph"/>
        <w:numPr>
          <w:ilvl w:val="0"/>
          <w:numId w:val="30"/>
        </w:numPr>
        <w:rPr>
          <w:rFonts w:ascii="Arial" w:hAnsi="Arial" w:cs="Arial"/>
        </w:rPr>
      </w:pPr>
      <w:r w:rsidRPr="007F7DCF">
        <w:rPr>
          <w:rFonts w:ascii="Arial" w:hAnsi="Arial" w:cs="Arial"/>
          <w:b/>
          <w:bCs/>
        </w:rPr>
        <w:t xml:space="preserve">What are the benefits of </w:t>
      </w:r>
      <w:r w:rsidR="007F7DCF" w:rsidRPr="007F7DCF">
        <w:rPr>
          <w:rFonts w:ascii="Arial" w:hAnsi="Arial" w:cs="Arial"/>
          <w:b/>
          <w:bCs/>
        </w:rPr>
        <w:t xml:space="preserve">being an </w:t>
      </w:r>
      <w:r w:rsidR="00FE7EBC" w:rsidRPr="007F7DCF">
        <w:rPr>
          <w:rFonts w:ascii="Arial" w:hAnsi="Arial" w:cs="Arial"/>
          <w:b/>
          <w:bCs/>
        </w:rPr>
        <w:t>early adopter</w:t>
      </w:r>
      <w:r w:rsidR="007F7DCF" w:rsidRPr="007F7DCF">
        <w:rPr>
          <w:rFonts w:ascii="Arial" w:hAnsi="Arial" w:cs="Arial"/>
          <w:b/>
          <w:bCs/>
        </w:rPr>
        <w:t xml:space="preserve"> of </w:t>
      </w:r>
      <w:r w:rsidRPr="007F7DCF">
        <w:rPr>
          <w:rFonts w:ascii="Arial" w:hAnsi="Arial" w:cs="Arial"/>
          <w:b/>
          <w:bCs/>
        </w:rPr>
        <w:t>METI Originate</w:t>
      </w:r>
      <w:r w:rsidR="007F7DCF">
        <w:rPr>
          <w:rFonts w:ascii="Arial" w:hAnsi="Arial" w:cs="Arial"/>
          <w:b/>
          <w:bCs/>
        </w:rPr>
        <w:t>?</w:t>
      </w:r>
    </w:p>
    <w:p w14:paraId="2C306F76" w14:textId="2778A375" w:rsidR="00AA4D6F" w:rsidRPr="007F7DCF" w:rsidRDefault="00AA4D6F" w:rsidP="007F7DCF">
      <w:pPr>
        <w:pStyle w:val="ListParagraph"/>
        <w:rPr>
          <w:rFonts w:ascii="Arial" w:hAnsi="Arial" w:cs="Arial"/>
        </w:rPr>
      </w:pPr>
      <w:r w:rsidRPr="007F7DCF">
        <w:rPr>
          <w:rFonts w:ascii="Arial" w:hAnsi="Arial" w:cs="Arial"/>
        </w:rPr>
        <w:t>Joining METI Originate offers a range of competitive advantages that position your organization at the forefront of environmental stewardship and innovation. These benefits include:</w:t>
      </w:r>
    </w:p>
    <w:p w14:paraId="2E967D58" w14:textId="77777777" w:rsidR="00AA4D6F" w:rsidRPr="00AA4D6F" w:rsidRDefault="00AA4D6F" w:rsidP="00FC3C5D">
      <w:pPr>
        <w:pStyle w:val="ListParagraph"/>
        <w:rPr>
          <w:rFonts w:ascii="Arial" w:hAnsi="Arial" w:cs="Arial"/>
        </w:rPr>
      </w:pPr>
    </w:p>
    <w:p w14:paraId="77009A4F" w14:textId="1A8290B6" w:rsidR="00021416" w:rsidRDefault="00F41A83" w:rsidP="001C1803">
      <w:pPr>
        <w:pStyle w:val="ListParagraph"/>
        <w:numPr>
          <w:ilvl w:val="1"/>
          <w:numId w:val="30"/>
        </w:numPr>
        <w:rPr>
          <w:rFonts w:ascii="Arial" w:hAnsi="Arial" w:cs="Arial"/>
          <w:b/>
          <w:bCs/>
        </w:rPr>
      </w:pPr>
      <w:r>
        <w:rPr>
          <w:rFonts w:ascii="Arial" w:hAnsi="Arial" w:cs="Arial"/>
          <w:b/>
          <w:bCs/>
        </w:rPr>
        <w:t xml:space="preserve">Competitive Advantage: </w:t>
      </w:r>
      <w:r w:rsidRPr="00EB4185">
        <w:rPr>
          <w:rFonts w:ascii="Arial" w:hAnsi="Arial" w:cs="Arial"/>
        </w:rPr>
        <w:t xml:space="preserve">Join a </w:t>
      </w:r>
      <w:r w:rsidR="00D05CDE" w:rsidRPr="00EB4185">
        <w:rPr>
          <w:rFonts w:ascii="Arial" w:hAnsi="Arial" w:cs="Arial"/>
        </w:rPr>
        <w:t xml:space="preserve">growing </w:t>
      </w:r>
      <w:r w:rsidRPr="00EB4185">
        <w:rPr>
          <w:rFonts w:ascii="Arial" w:hAnsi="Arial" w:cs="Arial"/>
        </w:rPr>
        <w:t xml:space="preserve">group of </w:t>
      </w:r>
      <w:r w:rsidR="00D05CDE" w:rsidRPr="00EB4185">
        <w:rPr>
          <w:rFonts w:ascii="Arial" w:hAnsi="Arial" w:cs="Arial"/>
        </w:rPr>
        <w:t xml:space="preserve">leading </w:t>
      </w:r>
      <w:r w:rsidRPr="00EB4185">
        <w:rPr>
          <w:rFonts w:ascii="Arial" w:hAnsi="Arial" w:cs="Arial"/>
        </w:rPr>
        <w:t xml:space="preserve">environmental market participants </w:t>
      </w:r>
      <w:r w:rsidR="00D05CDE" w:rsidRPr="00EB4185">
        <w:rPr>
          <w:rFonts w:ascii="Arial" w:hAnsi="Arial" w:cs="Arial"/>
        </w:rPr>
        <w:t xml:space="preserve">who are committed to </w:t>
      </w:r>
      <w:r w:rsidR="00293C01" w:rsidRPr="00EB4185">
        <w:rPr>
          <w:rFonts w:ascii="Arial" w:hAnsi="Arial" w:cs="Arial"/>
        </w:rPr>
        <w:t>setting a</w:t>
      </w:r>
      <w:r w:rsidR="00736973" w:rsidRPr="00EB4185">
        <w:rPr>
          <w:rFonts w:ascii="Arial" w:hAnsi="Arial" w:cs="Arial"/>
        </w:rPr>
        <w:t>nd demonstrating a</w:t>
      </w:r>
      <w:r w:rsidR="00293C01" w:rsidRPr="00EB4185">
        <w:rPr>
          <w:rFonts w:ascii="Arial" w:hAnsi="Arial" w:cs="Arial"/>
        </w:rPr>
        <w:t xml:space="preserve"> </w:t>
      </w:r>
      <w:r w:rsidR="00EB4185" w:rsidRPr="00EB4185">
        <w:rPr>
          <w:rFonts w:ascii="Arial" w:hAnsi="Arial" w:cs="Arial"/>
        </w:rPr>
        <w:t>higher standard</w:t>
      </w:r>
      <w:r w:rsidR="00293C01" w:rsidRPr="00EB4185">
        <w:rPr>
          <w:rFonts w:ascii="Arial" w:hAnsi="Arial" w:cs="Arial"/>
        </w:rPr>
        <w:t xml:space="preserve"> of integrity for environmental claims</w:t>
      </w:r>
      <w:r w:rsidR="001C1803" w:rsidRPr="00EB4185">
        <w:rPr>
          <w:rFonts w:ascii="Arial" w:hAnsi="Arial" w:cs="Arial"/>
        </w:rPr>
        <w:t xml:space="preserve"> that are accurate, verifiable, and tamper-proof.</w:t>
      </w:r>
      <w:r w:rsidR="001C1803">
        <w:rPr>
          <w:rFonts w:ascii="Arial" w:hAnsi="Arial" w:cs="Arial"/>
          <w:b/>
          <w:bCs/>
        </w:rPr>
        <w:t xml:space="preserve"> </w:t>
      </w:r>
    </w:p>
    <w:p w14:paraId="3B8C4B0A" w14:textId="77777777" w:rsidR="00F042D2" w:rsidRDefault="00782CE0" w:rsidP="00F042D2">
      <w:pPr>
        <w:pStyle w:val="ListParagraph"/>
        <w:numPr>
          <w:ilvl w:val="1"/>
          <w:numId w:val="30"/>
        </w:numPr>
        <w:rPr>
          <w:rFonts w:ascii="Arial" w:hAnsi="Arial" w:cs="Arial"/>
        </w:rPr>
      </w:pPr>
      <w:r>
        <w:rPr>
          <w:rFonts w:ascii="Arial" w:hAnsi="Arial" w:cs="Arial"/>
          <w:b/>
          <w:bCs/>
        </w:rPr>
        <w:t>Reduce Risk:</w:t>
      </w:r>
      <w:r w:rsidR="006F4BCF" w:rsidRPr="00021416">
        <w:rPr>
          <w:rFonts w:ascii="Arial" w:hAnsi="Arial" w:cs="Arial"/>
          <w:b/>
          <w:bCs/>
        </w:rPr>
        <w:t xml:space="preserve"> </w:t>
      </w:r>
      <w:r w:rsidRPr="00EB4185">
        <w:rPr>
          <w:rFonts w:ascii="Arial" w:hAnsi="Arial" w:cs="Arial"/>
        </w:rPr>
        <w:t>Remove custodial ambiguity of claims</w:t>
      </w:r>
      <w:r w:rsidR="00AD76D2">
        <w:rPr>
          <w:rFonts w:ascii="Arial" w:hAnsi="Arial" w:cs="Arial"/>
        </w:rPr>
        <w:t>,</w:t>
      </w:r>
      <w:r w:rsidRPr="00EB4185">
        <w:rPr>
          <w:rFonts w:ascii="Arial" w:hAnsi="Arial" w:cs="Arial"/>
        </w:rPr>
        <w:t xml:space="preserve"> mitigate double-counting</w:t>
      </w:r>
      <w:r w:rsidR="00AD76D2">
        <w:rPr>
          <w:rFonts w:ascii="Arial" w:hAnsi="Arial" w:cs="Arial"/>
        </w:rPr>
        <w:t xml:space="preserve">, and eliminate cross-market </w:t>
      </w:r>
      <w:r w:rsidR="004D3AC4" w:rsidRPr="00EB4185">
        <w:rPr>
          <w:rFonts w:ascii="Arial" w:hAnsi="Arial" w:cs="Arial"/>
        </w:rPr>
        <w:t>data gaps</w:t>
      </w:r>
      <w:r w:rsidR="00AD76D2">
        <w:rPr>
          <w:rFonts w:ascii="Arial" w:hAnsi="Arial" w:cs="Arial"/>
        </w:rPr>
        <w:t>.</w:t>
      </w:r>
    </w:p>
    <w:p w14:paraId="4413789F" w14:textId="0BF764A0" w:rsidR="008477F6" w:rsidRDefault="00AD76D2" w:rsidP="008477F6">
      <w:pPr>
        <w:pStyle w:val="ListParagraph"/>
        <w:numPr>
          <w:ilvl w:val="1"/>
          <w:numId w:val="30"/>
        </w:numPr>
        <w:rPr>
          <w:rFonts w:ascii="Arial" w:hAnsi="Arial" w:cs="Arial"/>
        </w:rPr>
      </w:pPr>
      <w:r w:rsidRPr="00F042D2">
        <w:rPr>
          <w:rFonts w:ascii="Arial" w:hAnsi="Arial" w:cs="Arial"/>
          <w:b/>
          <w:bCs/>
        </w:rPr>
        <w:t>Increase Efficiency</w:t>
      </w:r>
      <w:r w:rsidR="006F4BCF" w:rsidRPr="00F042D2">
        <w:rPr>
          <w:rFonts w:ascii="Arial" w:hAnsi="Arial" w:cs="Arial"/>
          <w:b/>
          <w:bCs/>
        </w:rPr>
        <w:t xml:space="preserve">: </w:t>
      </w:r>
      <w:r w:rsidR="00B03125" w:rsidRPr="00F042D2">
        <w:rPr>
          <w:rFonts w:ascii="Arial" w:hAnsi="Arial" w:cs="Arial"/>
        </w:rPr>
        <w:t xml:space="preserve">Boost transaction speed, streamline critical processes, </w:t>
      </w:r>
      <w:r w:rsidR="00C072DE" w:rsidRPr="00F042D2">
        <w:rPr>
          <w:rFonts w:ascii="Arial" w:hAnsi="Arial" w:cs="Arial"/>
        </w:rPr>
        <w:t>and future</w:t>
      </w:r>
      <w:r w:rsidR="006F4BCF" w:rsidRPr="00F042D2">
        <w:rPr>
          <w:rFonts w:ascii="Arial" w:hAnsi="Arial" w:cs="Arial"/>
        </w:rPr>
        <w:t xml:space="preserve">-proof your operations as </w:t>
      </w:r>
      <w:r w:rsidR="00C072DE" w:rsidRPr="00F042D2">
        <w:rPr>
          <w:rFonts w:ascii="Arial" w:hAnsi="Arial" w:cs="Arial"/>
        </w:rPr>
        <w:t xml:space="preserve">the platform evolves </w:t>
      </w:r>
      <w:r w:rsidR="007E5F40" w:rsidRPr="00F042D2">
        <w:rPr>
          <w:rFonts w:ascii="Arial" w:hAnsi="Arial" w:cs="Arial"/>
        </w:rPr>
        <w:t xml:space="preserve">to </w:t>
      </w:r>
      <w:r w:rsidR="00F042D2" w:rsidRPr="00F042D2">
        <w:rPr>
          <w:rFonts w:ascii="Arial" w:hAnsi="Arial" w:cs="Arial"/>
        </w:rPr>
        <w:t xml:space="preserve">ensure </w:t>
      </w:r>
      <w:r w:rsidR="004D0013" w:rsidRPr="00F042D2">
        <w:rPr>
          <w:rFonts w:ascii="Arial" w:hAnsi="Arial" w:cs="Arial"/>
        </w:rPr>
        <w:t>compatibi</w:t>
      </w:r>
      <w:r w:rsidR="004D0013">
        <w:rPr>
          <w:rFonts w:ascii="Arial" w:hAnsi="Arial" w:cs="Arial"/>
        </w:rPr>
        <w:t>lity</w:t>
      </w:r>
      <w:r w:rsidR="00F042D2" w:rsidRPr="00F042D2">
        <w:rPr>
          <w:rFonts w:ascii="Arial" w:hAnsi="Arial" w:cs="Arial"/>
        </w:rPr>
        <w:t xml:space="preserve"> with </w:t>
      </w:r>
      <w:r w:rsidR="00F042D2" w:rsidRPr="00F042D2">
        <w:rPr>
          <w:rFonts w:ascii="Arial" w:hAnsi="Arial" w:cs="Arial"/>
        </w:rPr>
        <w:t>leading market</w:t>
      </w:r>
      <w:r w:rsidR="00283800">
        <w:rPr>
          <w:rFonts w:ascii="Arial" w:hAnsi="Arial" w:cs="Arial"/>
        </w:rPr>
        <w:t xml:space="preserve"> and regulatory</w:t>
      </w:r>
      <w:r w:rsidR="00F042D2" w:rsidRPr="00F042D2">
        <w:rPr>
          <w:rFonts w:ascii="Arial" w:hAnsi="Arial" w:cs="Arial"/>
        </w:rPr>
        <w:t xml:space="preserve"> frameworks such as the U.S.’s Integrated GHG MRV and Information System Framework, </w:t>
      </w:r>
      <w:r w:rsidR="00744C64">
        <w:rPr>
          <w:rFonts w:ascii="Arial" w:hAnsi="Arial" w:cs="Arial"/>
        </w:rPr>
        <w:t>GHGP</w:t>
      </w:r>
      <w:r w:rsidR="00F042D2" w:rsidRPr="00F042D2">
        <w:rPr>
          <w:rFonts w:ascii="Arial" w:hAnsi="Arial" w:cs="Arial"/>
        </w:rPr>
        <w:t xml:space="preserve"> – </w:t>
      </w:r>
      <w:r w:rsidR="00744C64">
        <w:rPr>
          <w:rFonts w:ascii="Arial" w:hAnsi="Arial" w:cs="Arial"/>
        </w:rPr>
        <w:t>LSRG</w:t>
      </w:r>
      <w:r w:rsidR="00F042D2" w:rsidRPr="00F042D2">
        <w:rPr>
          <w:rFonts w:ascii="Arial" w:hAnsi="Arial" w:cs="Arial"/>
        </w:rPr>
        <w:t xml:space="preserve">, SBTi – FLAG, VCI, and ISO. </w:t>
      </w:r>
    </w:p>
    <w:p w14:paraId="16340061" w14:textId="77777777" w:rsidR="003363FA" w:rsidRDefault="003363FA" w:rsidP="003363FA">
      <w:pPr>
        <w:pStyle w:val="ListParagraph"/>
        <w:ind w:left="1440"/>
        <w:rPr>
          <w:rFonts w:ascii="Arial" w:hAnsi="Arial" w:cs="Arial"/>
        </w:rPr>
      </w:pPr>
    </w:p>
    <w:p w14:paraId="6E2DCA74" w14:textId="77777777" w:rsidR="0036340E" w:rsidRDefault="0036340E" w:rsidP="0036340E">
      <w:pPr>
        <w:pStyle w:val="ListParagraph"/>
        <w:numPr>
          <w:ilvl w:val="0"/>
          <w:numId w:val="30"/>
        </w:numPr>
        <w:rPr>
          <w:rFonts w:ascii="Arial" w:hAnsi="Arial" w:cs="Arial"/>
          <w:b/>
          <w:bCs/>
        </w:rPr>
      </w:pPr>
      <w:r w:rsidRPr="0036340E">
        <w:rPr>
          <w:rFonts w:ascii="Arial" w:hAnsi="Arial" w:cs="Arial"/>
          <w:b/>
          <w:bCs/>
        </w:rPr>
        <w:t>If I am already using blockchain, do I need to use METI Originate?</w:t>
      </w:r>
    </w:p>
    <w:p w14:paraId="28060536" w14:textId="3CC1E694" w:rsidR="00474259" w:rsidRDefault="00E105A8" w:rsidP="00474259">
      <w:pPr>
        <w:pStyle w:val="ListParagraph"/>
        <w:rPr>
          <w:rFonts w:ascii="Arial" w:hAnsi="Arial" w:cs="Arial"/>
        </w:rPr>
      </w:pPr>
      <w:r w:rsidRPr="00E105A8">
        <w:rPr>
          <w:rFonts w:ascii="Arial" w:hAnsi="Arial" w:cs="Arial"/>
        </w:rPr>
        <w:t xml:space="preserve">While blockchain tokenization is a powerful tool, it alone does not prevent </w:t>
      </w:r>
      <w:proofErr w:type="gramStart"/>
      <w:r w:rsidRPr="00E105A8">
        <w:rPr>
          <w:rFonts w:ascii="Arial" w:hAnsi="Arial" w:cs="Arial"/>
        </w:rPr>
        <w:t>double-counting</w:t>
      </w:r>
      <w:proofErr w:type="gramEnd"/>
      <w:r w:rsidRPr="00E105A8">
        <w:rPr>
          <w:rFonts w:ascii="Arial" w:hAnsi="Arial" w:cs="Arial"/>
        </w:rPr>
        <w:t xml:space="preserve">. Only tokens with corresponding, </w:t>
      </w:r>
      <w:proofErr w:type="gramStart"/>
      <w:r w:rsidRPr="00E105A8">
        <w:rPr>
          <w:rFonts w:ascii="Arial" w:hAnsi="Arial" w:cs="Arial"/>
        </w:rPr>
        <w:t>cryptographically-linked</w:t>
      </w:r>
      <w:proofErr w:type="gramEnd"/>
      <w:r w:rsidRPr="00E105A8">
        <w:rPr>
          <w:rFonts w:ascii="Arial" w:hAnsi="Arial" w:cs="Arial"/>
        </w:rPr>
        <w:t xml:space="preserve"> MRV (Monitoring, Reporting, and Verification) audit trails can ensure the integrity of your environmental claims. METI Originate offers a cryptographic bridge between </w:t>
      </w:r>
      <w:r w:rsidR="00E01381">
        <w:rPr>
          <w:rFonts w:ascii="Arial" w:hAnsi="Arial" w:cs="Arial"/>
        </w:rPr>
        <w:t xml:space="preserve">the wide variety of </w:t>
      </w:r>
      <w:r w:rsidRPr="00E105A8">
        <w:rPr>
          <w:rFonts w:ascii="Arial" w:hAnsi="Arial" w:cs="Arial"/>
        </w:rPr>
        <w:t>on- and off-chain solutions</w:t>
      </w:r>
      <w:r w:rsidR="00E01381">
        <w:rPr>
          <w:rFonts w:ascii="Arial" w:hAnsi="Arial" w:cs="Arial"/>
        </w:rPr>
        <w:t>,</w:t>
      </w:r>
      <w:r w:rsidRPr="00E105A8">
        <w:rPr>
          <w:rFonts w:ascii="Arial" w:hAnsi="Arial" w:cs="Arial"/>
        </w:rPr>
        <w:t xml:space="preserve"> enhanc</w:t>
      </w:r>
      <w:r w:rsidR="00E01381">
        <w:rPr>
          <w:rFonts w:ascii="Arial" w:hAnsi="Arial" w:cs="Arial"/>
        </w:rPr>
        <w:t>ing</w:t>
      </w:r>
      <w:r w:rsidRPr="00E105A8">
        <w:rPr>
          <w:rFonts w:ascii="Arial" w:hAnsi="Arial" w:cs="Arial"/>
        </w:rPr>
        <w:t xml:space="preserve"> your blockchain implementation by providing a unified point of referenc</w:t>
      </w:r>
      <w:r w:rsidR="00B645BE">
        <w:rPr>
          <w:rFonts w:ascii="Arial" w:hAnsi="Arial" w:cs="Arial"/>
        </w:rPr>
        <w:t>e/data check point</w:t>
      </w:r>
      <w:r w:rsidR="001D15EA">
        <w:rPr>
          <w:rFonts w:ascii="Arial" w:hAnsi="Arial" w:cs="Arial"/>
        </w:rPr>
        <w:t xml:space="preserve"> across </w:t>
      </w:r>
      <w:r w:rsidR="00B645BE">
        <w:rPr>
          <w:rFonts w:ascii="Arial" w:hAnsi="Arial" w:cs="Arial"/>
        </w:rPr>
        <w:t xml:space="preserve">other </w:t>
      </w:r>
      <w:r w:rsidR="006246FD">
        <w:rPr>
          <w:rFonts w:ascii="Arial" w:hAnsi="Arial" w:cs="Arial"/>
        </w:rPr>
        <w:t>protocols, platforms, and systems</w:t>
      </w:r>
      <w:r w:rsidRPr="00E105A8">
        <w:rPr>
          <w:rFonts w:ascii="Arial" w:hAnsi="Arial" w:cs="Arial"/>
        </w:rPr>
        <w:t xml:space="preserve">. </w:t>
      </w:r>
    </w:p>
    <w:p w14:paraId="29ED2F57" w14:textId="77777777" w:rsidR="0073082B" w:rsidRPr="00474259" w:rsidRDefault="0073082B" w:rsidP="00474259">
      <w:pPr>
        <w:pStyle w:val="ListParagraph"/>
        <w:rPr>
          <w:rFonts w:ascii="Arial" w:hAnsi="Arial" w:cs="Arial"/>
        </w:rPr>
      </w:pPr>
    </w:p>
    <w:p w14:paraId="4AA189B6" w14:textId="114F3843" w:rsidR="00D13888" w:rsidRPr="00474259" w:rsidRDefault="006F4BCF" w:rsidP="00474259">
      <w:pPr>
        <w:pStyle w:val="ListParagraph"/>
        <w:numPr>
          <w:ilvl w:val="0"/>
          <w:numId w:val="30"/>
        </w:numPr>
        <w:rPr>
          <w:rFonts w:ascii="Arial" w:hAnsi="Arial" w:cs="Arial"/>
          <w:b/>
          <w:bCs/>
        </w:rPr>
      </w:pPr>
      <w:r w:rsidRPr="00474259">
        <w:rPr>
          <w:rFonts w:ascii="Arial" w:hAnsi="Arial" w:cs="Arial"/>
          <w:b/>
          <w:bCs/>
        </w:rPr>
        <w:t xml:space="preserve">How can I contact MillPont for more information? </w:t>
      </w:r>
    </w:p>
    <w:p w14:paraId="6112EF4F" w14:textId="14A3A018" w:rsidR="00F07D8C" w:rsidRPr="00D13888" w:rsidRDefault="006F4BCF" w:rsidP="00D13888">
      <w:pPr>
        <w:pStyle w:val="ListParagraph"/>
        <w:rPr>
          <w:rFonts w:ascii="Arial" w:hAnsi="Arial" w:cs="Arial"/>
        </w:rPr>
      </w:pPr>
      <w:r w:rsidRPr="00D13888">
        <w:rPr>
          <w:rFonts w:ascii="Arial" w:hAnsi="Arial" w:cs="Arial"/>
        </w:rPr>
        <w:t xml:space="preserve">You can contact MillPont at </w:t>
      </w:r>
      <w:hyperlink r:id="rId20" w:history="1">
        <w:r w:rsidR="00D13888" w:rsidRPr="00213C19">
          <w:rPr>
            <w:rStyle w:val="Hyperlink"/>
            <w:rFonts w:ascii="Arial" w:hAnsi="Arial" w:cs="Arial"/>
          </w:rPr>
          <w:t>info@millpont.com</w:t>
        </w:r>
      </w:hyperlink>
      <w:r w:rsidR="00D13888">
        <w:rPr>
          <w:rFonts w:ascii="Arial" w:hAnsi="Arial" w:cs="Arial"/>
        </w:rPr>
        <w:t xml:space="preserve"> </w:t>
      </w:r>
      <w:r w:rsidRPr="00D13888">
        <w:rPr>
          <w:rFonts w:ascii="Arial" w:hAnsi="Arial" w:cs="Arial"/>
        </w:rPr>
        <w:t xml:space="preserve">or visit their website at </w:t>
      </w:r>
      <w:hyperlink r:id="rId21" w:history="1">
        <w:r w:rsidRPr="00D13888">
          <w:rPr>
            <w:rStyle w:val="Hyperlink"/>
            <w:rFonts w:ascii="Arial" w:hAnsi="Arial" w:cs="Arial"/>
          </w:rPr>
          <w:t>millpont.com</w:t>
        </w:r>
      </w:hyperlink>
      <w:r w:rsidRPr="00D13888">
        <w:rPr>
          <w:rFonts w:ascii="Arial" w:hAnsi="Arial" w:cs="Arial"/>
        </w:rPr>
        <w:t xml:space="preserve"> for more information.</w:t>
      </w:r>
    </w:p>
    <w:p w14:paraId="24382FA3" w14:textId="77777777" w:rsidR="00E23915" w:rsidRPr="00EE100D" w:rsidRDefault="00E23915">
      <w:pPr>
        <w:rPr>
          <w:rFonts w:ascii="Arial" w:hAnsi="Arial" w:cs="Arial"/>
        </w:rPr>
      </w:pPr>
    </w:p>
    <w:sectPr w:rsidR="00E23915" w:rsidRPr="00EE100D" w:rsidSect="007B327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07B99" w14:textId="77777777" w:rsidR="004039A6" w:rsidRDefault="004039A6" w:rsidP="009562A9">
      <w:pPr>
        <w:spacing w:after="0" w:line="240" w:lineRule="auto"/>
      </w:pPr>
      <w:r>
        <w:separator/>
      </w:r>
    </w:p>
  </w:endnote>
  <w:endnote w:type="continuationSeparator" w:id="0">
    <w:p w14:paraId="2382721B" w14:textId="77777777" w:rsidR="004039A6" w:rsidRDefault="004039A6" w:rsidP="0095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29248"/>
      <w:docPartObj>
        <w:docPartGallery w:val="Page Numbers (Bottom of Page)"/>
        <w:docPartUnique/>
      </w:docPartObj>
    </w:sdtPr>
    <w:sdtEndPr>
      <w:rPr>
        <w:noProof/>
        <w:color w:val="FFFFFF"/>
      </w:rPr>
    </w:sdtEndPr>
    <w:sdtContent>
      <w:p w14:paraId="4777AFFE" w14:textId="7F4DBE1E" w:rsidR="00A858DB" w:rsidRDefault="00A858DB">
        <w:pPr>
          <w:pStyle w:val="Footer"/>
          <w:jc w:val="right"/>
        </w:pPr>
        <w:r>
          <w:rPr>
            <w:noProof/>
          </w:rPr>
          <mc:AlternateContent>
            <mc:Choice Requires="wps">
              <w:drawing>
                <wp:anchor distT="0" distB="0" distL="114300" distR="114300" simplePos="0" relativeHeight="251668480" behindDoc="1" locked="0" layoutInCell="1" allowOverlap="1" wp14:anchorId="2E9CA7FB" wp14:editId="4DB9F0AC">
                  <wp:simplePos x="0" y="0"/>
                  <wp:positionH relativeFrom="page">
                    <wp:align>right</wp:align>
                  </wp:positionH>
                  <wp:positionV relativeFrom="bottomMargin">
                    <wp:align>top</wp:align>
                  </wp:positionV>
                  <wp:extent cx="7772400" cy="943337"/>
                  <wp:effectExtent l="0" t="0" r="0" b="9525"/>
                  <wp:wrapNone/>
                  <wp:docPr id="1275660870" name="Rectangle 5"/>
                  <wp:cNvGraphicFramePr/>
                  <a:graphic xmlns:a="http://schemas.openxmlformats.org/drawingml/2006/main">
                    <a:graphicData uri="http://schemas.microsoft.com/office/word/2010/wordprocessingShape">
                      <wps:wsp>
                        <wps:cNvSpPr/>
                        <wps:spPr>
                          <a:xfrm>
                            <a:off x="0" y="0"/>
                            <a:ext cx="7772400" cy="943337"/>
                          </a:xfrm>
                          <a:prstGeom prst="rect">
                            <a:avLst/>
                          </a:prstGeom>
                          <a:solidFill>
                            <a:srgbClr val="1E1E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FA7E" id="Rectangle 5" o:spid="_x0000_s1026" style="position:absolute;margin-left:560.8pt;margin-top:0;width:612pt;height:74.3pt;z-index:-251648000;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jOewIAAF8FAAAOAAAAZHJzL2Uyb0RvYy54bWysVMFu2zAMvQ/YPwi6r3bSdGmDOkXQrsOA&#10;og3WDj0rshQbkEWNUuJkXz9KdpyuLXYYBgOyJJKP5BPJy6tdY9hWoa/BFnx0knOmrISytuuC/3i6&#10;/XTOmQ/ClsKAVQXfK8+v5h8/XLZupsZQgSkVMgKxfta6glchuFmWeVmpRvgTcMqSUAM2ItAR11mJ&#10;oiX0xmTjPP+ctYClQ5DKe7q96YR8nvC1VjI8aO1VYKbgFFtIK6Z1FddsfilmaxSuqmUfhviHKBpR&#10;W3I6QN2IINgG6zdQTS0RPOhwIqHJQOtaqpQDZTPKX2XzWAmnUi5EjncDTf7/wcr77aNbItHQOj/z&#10;tI1Z7DQ28U/xsV0iaz+QpXaBSbqcTqfjSU6cSpJdTE5PT6eRzexo7dCHrwoaFjcFR3qMxJHY3vnQ&#10;qR5UojMPpi5va2PSAdera4NsK+jhRl/i16P/oWZsVLYQzTrEeJMdc0m7sDcq6hn7XWlWlxT9OEWS&#10;ykwNfoSUyoZRJ6pEqXr3Zznl2cEPFinTBBiRNfkfsHuAWMJvsTuYXj+aqlSlg3H+t8A648EieQYb&#10;BuOmtoDvARjKqvfc6R9I6qiJLK2g3C+RIXQ94p28rend7oQPS4HUFPTU1OjhgRZtoC049DvOKsBf&#10;791HfapVknLWUpMV3P/cCFScmW+WqvhiNJnErkyHydl0TAd8KVm9lNhNcw2xHGikOJm2UT+Yw1Yj&#10;NM80DxbRK4mEleS74DLg4XAduuaniSLVYpHUqBOdCHf20ckIHlmNdfm0exbo+uINVPb3cGhIMXtV&#10;w51utLSw2ATQdSrwI68939TFqXD6iRPHxMtz0jrOxflvAAAA//8DAFBLAwQUAAYACAAAACEA8lRR&#10;IdwAAAAGAQAADwAAAGRycy9kb3ducmV2LnhtbEyPQUvDQBCF74L/YRnBi9hNQwgxzaaIIPSgh7aC&#10;1212mgSzs3F320R/vVMvehnm8YY336vWsx3EGX3oHSlYLhIQSI0zPbUK3vbP9wWIEDUZPThCBV8Y&#10;YF1fX1W6NG6iLZ53sRUcQqHUCroYx1LK0HRodVi4EYm9o/NWR5a+lcbricPtINMkyaXVPfGHTo/4&#10;1GHzsTtZBfn8ki2/7fbhkyZX3L36zfs4bZS6vZkfVyAizvHvGC74jA41Mx3ciUwQgwIuEn/nxUvT&#10;jPWBt6zIQdaV/I9f/wAAAP//AwBQSwECLQAUAAYACAAAACEAtoM4kv4AAADhAQAAEwAAAAAAAAAA&#10;AAAAAAAAAAAAW0NvbnRlbnRfVHlwZXNdLnhtbFBLAQItABQABgAIAAAAIQA4/SH/1gAAAJQBAAAL&#10;AAAAAAAAAAAAAAAAAC8BAABfcmVscy8ucmVsc1BLAQItABQABgAIAAAAIQBisjjOewIAAF8FAAAO&#10;AAAAAAAAAAAAAAAAAC4CAABkcnMvZTJvRG9jLnhtbFBLAQItABQABgAIAAAAIQDyVFEh3AAAAAYB&#10;AAAPAAAAAAAAAAAAAAAAANUEAABkcnMvZG93bnJldi54bWxQSwUGAAAAAAQABADzAAAA3gUAAAAA&#10;" fillcolor="#1e1e1e" stroked="f" strokeweight="1pt">
                  <w10:wrap anchorx="page" anchory="margin"/>
                </v:rect>
              </w:pict>
            </mc:Fallback>
          </mc:AlternateContent>
        </w:r>
      </w:p>
      <w:p w14:paraId="3CE95F57" w14:textId="442CA1F3" w:rsidR="0067732D" w:rsidRDefault="0067732D">
        <w:pPr>
          <w:pStyle w:val="Footer"/>
          <w:jc w:val="right"/>
        </w:pPr>
        <w:r w:rsidRPr="0067732D">
          <w:rPr>
            <w:rFonts w:ascii="Arial" w:hAnsi="Arial" w:cs="Arial"/>
            <w:color w:val="FFFFFF" w:themeColor="background1"/>
          </w:rPr>
          <w:fldChar w:fldCharType="begin"/>
        </w:r>
        <w:r w:rsidRPr="0067732D">
          <w:rPr>
            <w:rFonts w:ascii="Arial" w:hAnsi="Arial" w:cs="Arial"/>
            <w:color w:val="FFFFFF" w:themeColor="background1"/>
          </w:rPr>
          <w:instrText xml:space="preserve"> PAGE   \* MERGEFORMAT </w:instrText>
        </w:r>
        <w:r w:rsidRPr="0067732D">
          <w:rPr>
            <w:rFonts w:ascii="Arial" w:hAnsi="Arial" w:cs="Arial"/>
            <w:color w:val="FFFFFF" w:themeColor="background1"/>
          </w:rPr>
          <w:fldChar w:fldCharType="separate"/>
        </w:r>
        <w:r w:rsidRPr="0067732D">
          <w:rPr>
            <w:rFonts w:ascii="Arial" w:hAnsi="Arial" w:cs="Arial"/>
            <w:noProof/>
            <w:color w:val="FFFFFF" w:themeColor="background1"/>
          </w:rPr>
          <w:t>2</w:t>
        </w:r>
        <w:r w:rsidRPr="0067732D">
          <w:rPr>
            <w:rFonts w:ascii="Arial" w:hAnsi="Arial" w:cs="Arial"/>
            <w:noProof/>
            <w:color w:val="FFFFFF" w:themeColor="background1"/>
          </w:rPr>
          <w:fldChar w:fldCharType="end"/>
        </w:r>
      </w:p>
    </w:sdtContent>
  </w:sdt>
  <w:p w14:paraId="045EBF36" w14:textId="6FEC73E7" w:rsidR="00F67863" w:rsidRDefault="00F67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B350F" w14:textId="77777777" w:rsidR="004039A6" w:rsidRDefault="004039A6" w:rsidP="009562A9">
      <w:pPr>
        <w:spacing w:after="0" w:line="240" w:lineRule="auto"/>
      </w:pPr>
      <w:r>
        <w:separator/>
      </w:r>
    </w:p>
  </w:footnote>
  <w:footnote w:type="continuationSeparator" w:id="0">
    <w:p w14:paraId="25F6BCC1" w14:textId="77777777" w:rsidR="004039A6" w:rsidRDefault="004039A6" w:rsidP="00956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2C778" w14:textId="00348560" w:rsidR="009562A9" w:rsidRDefault="00E5102E">
    <w:pPr>
      <w:pStyle w:val="Header"/>
    </w:pPr>
    <w:r>
      <w:rPr>
        <w:noProof/>
      </w:rPr>
      <w:drawing>
        <wp:anchor distT="0" distB="0" distL="114300" distR="114300" simplePos="0" relativeHeight="251660288" behindDoc="0" locked="0" layoutInCell="1" allowOverlap="1" wp14:anchorId="24D7F91B" wp14:editId="181C436D">
          <wp:simplePos x="0" y="0"/>
          <wp:positionH relativeFrom="column">
            <wp:posOffset>-445135</wp:posOffset>
          </wp:positionH>
          <wp:positionV relativeFrom="paragraph">
            <wp:posOffset>-297815</wp:posOffset>
          </wp:positionV>
          <wp:extent cx="2012950" cy="517525"/>
          <wp:effectExtent l="0" t="0" r="6350" b="0"/>
          <wp:wrapThrough wrapText="bothSides">
            <wp:wrapPolygon edited="0">
              <wp:start x="0" y="0"/>
              <wp:lineTo x="0" y="20672"/>
              <wp:lineTo x="21464" y="20672"/>
              <wp:lineTo x="21464" y="0"/>
              <wp:lineTo x="0" y="0"/>
            </wp:wrapPolygon>
          </wp:wrapThrough>
          <wp:docPr id="740132211" name="Picture 4"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32211" name="Picture 4" descr="A whit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0A8BFDCC" wp14:editId="669BBF8B">
              <wp:simplePos x="0" y="0"/>
              <wp:positionH relativeFrom="page">
                <wp:align>left</wp:align>
              </wp:positionH>
              <wp:positionV relativeFrom="page">
                <wp:align>top</wp:align>
              </wp:positionV>
              <wp:extent cx="7772400" cy="906011"/>
              <wp:effectExtent l="0" t="0" r="0" b="8890"/>
              <wp:wrapNone/>
              <wp:docPr id="869174445" name="Rectangle 5"/>
              <wp:cNvGraphicFramePr/>
              <a:graphic xmlns:a="http://schemas.openxmlformats.org/drawingml/2006/main">
                <a:graphicData uri="http://schemas.microsoft.com/office/word/2010/wordprocessingShape">
                  <wps:wsp>
                    <wps:cNvSpPr/>
                    <wps:spPr>
                      <a:xfrm>
                        <a:off x="0" y="0"/>
                        <a:ext cx="7772400" cy="906011"/>
                      </a:xfrm>
                      <a:prstGeom prst="rect">
                        <a:avLst/>
                      </a:prstGeom>
                      <a:solidFill>
                        <a:srgbClr val="1E1E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E073" id="Rectangle 5" o:spid="_x0000_s1026" style="position:absolute;margin-left:0;margin-top:0;width:612pt;height:71.3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nYegIAAF8FAAAOAAAAZHJzL2Uyb0RvYy54bWysVMFu2zAMvQ/YPwi6r7aDtFmDOkXQrsOA&#10;oi3WDj0rshQbkEWNUuJkXz9KdpyuLXYYBgOyJJKP5BPJi8tda9hWoW/Alrw4yTlTVkLV2HXJfzzd&#10;fPrMmQ/CVsKAVSXfK88vFx8/XHRuriZQg6kUMgKxft65ktchuHmWeVmrVvgTcMqSUAO2ItAR11mF&#10;oiP01mSTPD/LOsDKIUjlPd1e90K+SPhaKxnutfYqMFNyii2kFdO6imu2uBDzNQpXN3IIQ/xDFK1o&#10;LDkdoa5FEGyDzRuotpEIHnQ4kdBmoHUjVcqBsinyV9k81sKplAuR491Ik/9/sPJu++gekGjonJ97&#10;2sYsdhrb+Kf42C6RtR/JUrvAJF3OZrPJNCdOJcnO87O8KCKb2dHaoQ9fFbQsbkqO9BiJI7G99aFX&#10;PahEZx5MU900xqQDrldXBtlW0MMVX+I3oP+hZmxUthDNesR4kx1zSbuwNyrqGftdadZUFP0kRZLK&#10;TI1+hJTKhqIX1aJSg/vTnPLs4UeLlGkCjMia/I/YA0As4bfYPcygH01VqtLROP9bYL3xaJE8gw2j&#10;cdtYwPcADGU1eO71DyT11ESWVlDtH5Ah9D3inbxp6N1uhQ8PAqkp6Kmp0cM9LdpAV3IYdpzVgL/e&#10;u4/6VKsk5ayjJiu5/7kRqDgz3yxV8XkxncauTIfp6WxCB3wpWb2U2E17BbEcaKQ4mbZRP5jDViO0&#10;zzQPltEriYSV5LvkMuDhcBX65qeJItVymdSoE50It/bRyQgeWY11+bR7FuiG4g1U9ndwaEgxf1XD&#10;vW60tLDcBNBNKvAjrwPf1MWpcIaJE8fEy3PSOs7FxW8AAAD//wMAUEsDBBQABgAIAAAAIQCUdKah&#10;3QAAAAYBAAAPAAAAZHJzL2Rvd25yZXYueG1sTI9BS8NAEIXvQv/DMgUvYjcNodaYTSmC0IMeWgWv&#10;2+yYBLOz6e62if76TnvRyzCPN7z5XrEabSdO6EPrSMF8loBAqpxpqVbw8f5yvwQRoiajO0eo4AcD&#10;rMrJTaFz4wba4mkXa8EhFHKtoImxz6UMVYNWh5nrkdj7ct7qyNLX0ng9cLjtZJokC2l1S/yh0T0+&#10;N1h9745WwWJ8zea/dvt4oMEt79785rMfNkrdTsf1E4iIY/w7hgs+o0PJTHt3JBNEp4CLxOu8eGma&#10;sd7zlqUPIMtC/scvzwAAAP//AwBQSwECLQAUAAYACAAAACEAtoM4kv4AAADhAQAAEwAAAAAAAAAA&#10;AAAAAAAAAAAAW0NvbnRlbnRfVHlwZXNdLnhtbFBLAQItABQABgAIAAAAIQA4/SH/1gAAAJQBAAAL&#10;AAAAAAAAAAAAAAAAAC8BAABfcmVscy8ucmVsc1BLAQItABQABgAIAAAAIQAtSinYegIAAF8FAAAO&#10;AAAAAAAAAAAAAAAAAC4CAABkcnMvZTJvRG9jLnhtbFBLAQItABQABgAIAAAAIQCUdKah3QAAAAYB&#10;AAAPAAAAAAAAAAAAAAAAANQEAABkcnMvZG93bnJldi54bWxQSwUGAAAAAAQABADzAAAA3gUAAAAA&#10;" fillcolor="#1e1e1e"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99A76" w14:textId="6D37D331" w:rsidR="0041445B" w:rsidRDefault="00BC71CE" w:rsidP="0041445B">
    <w:pPr>
      <w:pStyle w:val="Header"/>
      <w:tabs>
        <w:tab w:val="clear" w:pos="4680"/>
        <w:tab w:val="clear" w:pos="9360"/>
        <w:tab w:val="left" w:pos="1398"/>
      </w:tabs>
      <w:jc w:val="both"/>
    </w:pPr>
    <w:r>
      <w:rPr>
        <w:noProof/>
      </w:rPr>
      <w:drawing>
        <wp:anchor distT="0" distB="0" distL="114300" distR="114300" simplePos="0" relativeHeight="251666432" behindDoc="0" locked="0" layoutInCell="1" allowOverlap="1" wp14:anchorId="11ADFD82" wp14:editId="360A7D48">
          <wp:simplePos x="0" y="0"/>
          <wp:positionH relativeFrom="column">
            <wp:posOffset>-569624</wp:posOffset>
          </wp:positionH>
          <wp:positionV relativeFrom="paragraph">
            <wp:posOffset>-299254</wp:posOffset>
          </wp:positionV>
          <wp:extent cx="2012950" cy="517525"/>
          <wp:effectExtent l="0" t="0" r="6350" b="0"/>
          <wp:wrapThrough wrapText="bothSides">
            <wp:wrapPolygon edited="0">
              <wp:start x="0" y="0"/>
              <wp:lineTo x="0" y="20672"/>
              <wp:lineTo x="21464" y="20672"/>
              <wp:lineTo x="21464" y="0"/>
              <wp:lineTo x="0" y="0"/>
            </wp:wrapPolygon>
          </wp:wrapThrough>
          <wp:docPr id="1925268106" name="Picture 4"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32211" name="Picture 4" descr="A whit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639AFB6B" wp14:editId="51CCCD13">
              <wp:simplePos x="0" y="0"/>
              <wp:positionH relativeFrom="page">
                <wp:align>left</wp:align>
              </wp:positionH>
              <wp:positionV relativeFrom="page">
                <wp:align>top</wp:align>
              </wp:positionV>
              <wp:extent cx="7772400" cy="906011"/>
              <wp:effectExtent l="0" t="0" r="0" b="8890"/>
              <wp:wrapNone/>
              <wp:docPr id="1288536878" name="Rectangle 5"/>
              <wp:cNvGraphicFramePr/>
              <a:graphic xmlns:a="http://schemas.openxmlformats.org/drawingml/2006/main">
                <a:graphicData uri="http://schemas.microsoft.com/office/word/2010/wordprocessingShape">
                  <wps:wsp>
                    <wps:cNvSpPr/>
                    <wps:spPr>
                      <a:xfrm>
                        <a:off x="0" y="0"/>
                        <a:ext cx="7772400" cy="906011"/>
                      </a:xfrm>
                      <a:prstGeom prst="rect">
                        <a:avLst/>
                      </a:prstGeom>
                      <a:solidFill>
                        <a:srgbClr val="1E1E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34D36" id="Rectangle 5" o:spid="_x0000_s1026" style="position:absolute;margin-left:0;margin-top:0;width:612pt;height:71.35pt;z-index:-2516520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nYegIAAF8FAAAOAAAAZHJzL2Uyb0RvYy54bWysVMFu2zAMvQ/YPwi6r7aDtFmDOkXQrsOA&#10;oi3WDj0rshQbkEWNUuJkXz9KdpyuLXYYBgOyJJKP5BPJi8tda9hWoW/Alrw4yTlTVkLV2HXJfzzd&#10;fPrMmQ/CVsKAVSXfK88vFx8/XHRuriZQg6kUMgKxft65ktchuHmWeVmrVvgTcMqSUAO2ItAR11mF&#10;oiP01mSTPD/LOsDKIUjlPd1e90K+SPhaKxnutfYqMFNyii2kFdO6imu2uBDzNQpXN3IIQ/xDFK1o&#10;LDkdoa5FEGyDzRuotpEIHnQ4kdBmoHUjVcqBsinyV9k81sKplAuR491Ik/9/sPJu++gekGjonJ97&#10;2sYsdhrb+Kf42C6RtR/JUrvAJF3OZrPJNCdOJcnO87O8KCKb2dHaoQ9fFbQsbkqO9BiJI7G99aFX&#10;PahEZx5MU900xqQDrldXBtlW0MMVX+I3oP+hZmxUthDNesR4kx1zSbuwNyrqGftdadZUFP0kRZLK&#10;TI1+hJTKhqIX1aJSg/vTnPLs4UeLlGkCjMia/I/YA0As4bfYPcygH01VqtLROP9bYL3xaJE8gw2j&#10;cdtYwPcADGU1eO71DyT11ESWVlDtH5Ah9D3inbxp6N1uhQ8PAqkp6Kmp0cM9LdpAV3IYdpzVgL/e&#10;u4/6VKsk5ayjJiu5/7kRqDgz3yxV8XkxncauTIfp6WxCB3wpWb2U2E17BbEcaKQ4mbZRP5jDViO0&#10;zzQPltEriYSV5LvkMuDhcBX65qeJItVymdSoE50It/bRyQgeWY11+bR7FuiG4g1U9ndwaEgxf1XD&#10;vW60tLDcBNBNKvAjrwPf1MWpcIaJE8fEy3PSOs7FxW8AAAD//wMAUEsDBBQABgAIAAAAIQCUdKah&#10;3QAAAAYBAAAPAAAAZHJzL2Rvd25yZXYueG1sTI9BS8NAEIXvQv/DMgUvYjcNodaYTSmC0IMeWgWv&#10;2+yYBLOz6e62if76TnvRyzCPN7z5XrEabSdO6EPrSMF8loBAqpxpqVbw8f5yvwQRoiajO0eo4AcD&#10;rMrJTaFz4wba4mkXa8EhFHKtoImxz6UMVYNWh5nrkdj7ct7qyNLX0ng9cLjtZJokC2l1S/yh0T0+&#10;N1h9745WwWJ8zea/dvt4oMEt79785rMfNkrdTsf1E4iIY/w7hgs+o0PJTHt3JBNEp4CLxOu8eGma&#10;sd7zlqUPIMtC/scvzwAAAP//AwBQSwECLQAUAAYACAAAACEAtoM4kv4AAADhAQAAEwAAAAAAAAAA&#10;AAAAAAAAAAAAW0NvbnRlbnRfVHlwZXNdLnhtbFBLAQItABQABgAIAAAAIQA4/SH/1gAAAJQBAAAL&#10;AAAAAAAAAAAAAAAAAC8BAABfcmVscy8ucmVsc1BLAQItABQABgAIAAAAIQAtSinYegIAAF8FAAAO&#10;AAAAAAAAAAAAAAAAAC4CAABkcnMvZTJvRG9jLnhtbFBLAQItABQABgAIAAAAIQCUdKah3QAAAAYB&#10;AAAPAAAAAAAAAAAAAAAAANQEAABkcnMvZG93bnJldi54bWxQSwUGAAAAAAQABADzAAAA3gUAAAAA&#10;" fillcolor="#1e1e1e"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61C"/>
    <w:multiLevelType w:val="hybridMultilevel"/>
    <w:tmpl w:val="C53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7896"/>
    <w:multiLevelType w:val="hybridMultilevel"/>
    <w:tmpl w:val="D544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10991"/>
    <w:multiLevelType w:val="multilevel"/>
    <w:tmpl w:val="69E63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94498"/>
    <w:multiLevelType w:val="hybridMultilevel"/>
    <w:tmpl w:val="9C7CE8E4"/>
    <w:lvl w:ilvl="0" w:tplc="D40C46AE">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D6432"/>
    <w:multiLevelType w:val="hybridMultilevel"/>
    <w:tmpl w:val="5CFA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525A1"/>
    <w:multiLevelType w:val="multilevel"/>
    <w:tmpl w:val="96F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B457E"/>
    <w:multiLevelType w:val="hybridMultilevel"/>
    <w:tmpl w:val="81ECA124"/>
    <w:lvl w:ilvl="0" w:tplc="4FC0D7CA">
      <w:start w:val="9"/>
      <w:numFmt w:val="bullet"/>
      <w:lvlText w:val="•"/>
      <w:lvlJc w:val="left"/>
      <w:pPr>
        <w:ind w:left="720" w:hanging="360"/>
      </w:pPr>
      <w:rPr>
        <w:rFonts w:asciiTheme="minorHAnsi" w:eastAsiaTheme="minorHAnsi" w:hAnsiTheme="minorHAnsi" w:cstheme="minorBidi"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921"/>
    <w:multiLevelType w:val="hybridMultilevel"/>
    <w:tmpl w:val="22FC8346"/>
    <w:lvl w:ilvl="0" w:tplc="83BE956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F01E7"/>
    <w:multiLevelType w:val="hybridMultilevel"/>
    <w:tmpl w:val="DABC109A"/>
    <w:lvl w:ilvl="0" w:tplc="C7C4435E">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3583B"/>
    <w:multiLevelType w:val="hybridMultilevel"/>
    <w:tmpl w:val="E3B2ACBC"/>
    <w:lvl w:ilvl="0" w:tplc="D40C46AE">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E792F"/>
    <w:multiLevelType w:val="hybridMultilevel"/>
    <w:tmpl w:val="98B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B6420"/>
    <w:multiLevelType w:val="hybridMultilevel"/>
    <w:tmpl w:val="0FAC9B34"/>
    <w:lvl w:ilvl="0" w:tplc="D40C46AE">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542B0"/>
    <w:multiLevelType w:val="hybridMultilevel"/>
    <w:tmpl w:val="273A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A4310"/>
    <w:multiLevelType w:val="hybridMultilevel"/>
    <w:tmpl w:val="12CA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73BEB"/>
    <w:multiLevelType w:val="hybridMultilevel"/>
    <w:tmpl w:val="C41E2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03571C"/>
    <w:multiLevelType w:val="hybridMultilevel"/>
    <w:tmpl w:val="0D16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02893"/>
    <w:multiLevelType w:val="hybridMultilevel"/>
    <w:tmpl w:val="850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C26A7"/>
    <w:multiLevelType w:val="multilevel"/>
    <w:tmpl w:val="0FC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D5D12"/>
    <w:multiLevelType w:val="hybridMultilevel"/>
    <w:tmpl w:val="81C041A6"/>
    <w:lvl w:ilvl="0" w:tplc="E7EA96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13A5E"/>
    <w:multiLevelType w:val="hybridMultilevel"/>
    <w:tmpl w:val="BEB239A4"/>
    <w:lvl w:ilvl="0" w:tplc="D40C46AE">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D166D"/>
    <w:multiLevelType w:val="hybridMultilevel"/>
    <w:tmpl w:val="80409CDC"/>
    <w:lvl w:ilvl="0" w:tplc="D40C46AE">
      <w:start w:val="9"/>
      <w:numFmt w:val="bullet"/>
      <w:lvlText w:val="•"/>
      <w:lvlJc w:val="left"/>
      <w:pPr>
        <w:ind w:left="720" w:hanging="360"/>
      </w:pPr>
      <w:rPr>
        <w:rFonts w:ascii="Aptos" w:eastAsiaTheme="minorHAnsi" w:hAnsi="Aptos"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571CD"/>
    <w:multiLevelType w:val="hybridMultilevel"/>
    <w:tmpl w:val="300A5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96AA0"/>
    <w:multiLevelType w:val="multilevel"/>
    <w:tmpl w:val="9F0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525FB"/>
    <w:multiLevelType w:val="hybridMultilevel"/>
    <w:tmpl w:val="8648F8F2"/>
    <w:lvl w:ilvl="0" w:tplc="D40C46AE">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A6BF4"/>
    <w:multiLevelType w:val="multilevel"/>
    <w:tmpl w:val="8056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158E5"/>
    <w:multiLevelType w:val="hybridMultilevel"/>
    <w:tmpl w:val="045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21B8F"/>
    <w:multiLevelType w:val="multilevel"/>
    <w:tmpl w:val="CDC0C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9E3F7A"/>
    <w:multiLevelType w:val="multilevel"/>
    <w:tmpl w:val="E5C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03FDF"/>
    <w:multiLevelType w:val="hybridMultilevel"/>
    <w:tmpl w:val="42C6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C567C"/>
    <w:multiLevelType w:val="hybridMultilevel"/>
    <w:tmpl w:val="20BE6F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08562814">
    <w:abstractNumId w:val="16"/>
  </w:num>
  <w:num w:numId="2" w16cid:durableId="1643003158">
    <w:abstractNumId w:val="14"/>
  </w:num>
  <w:num w:numId="3" w16cid:durableId="2115250568">
    <w:abstractNumId w:val="29"/>
  </w:num>
  <w:num w:numId="4" w16cid:durableId="315843255">
    <w:abstractNumId w:val="21"/>
  </w:num>
  <w:num w:numId="5" w16cid:durableId="1903520393">
    <w:abstractNumId w:val="0"/>
  </w:num>
  <w:num w:numId="6" w16cid:durableId="1022319435">
    <w:abstractNumId w:val="10"/>
  </w:num>
  <w:num w:numId="7" w16cid:durableId="47775931">
    <w:abstractNumId w:val="18"/>
  </w:num>
  <w:num w:numId="8" w16cid:durableId="489249768">
    <w:abstractNumId w:val="4"/>
  </w:num>
  <w:num w:numId="9" w16cid:durableId="1037776571">
    <w:abstractNumId w:val="11"/>
  </w:num>
  <w:num w:numId="10" w16cid:durableId="1264803427">
    <w:abstractNumId w:val="23"/>
  </w:num>
  <w:num w:numId="11" w16cid:durableId="1220818974">
    <w:abstractNumId w:val="6"/>
  </w:num>
  <w:num w:numId="12" w16cid:durableId="1152676998">
    <w:abstractNumId w:val="3"/>
  </w:num>
  <w:num w:numId="13" w16cid:durableId="329408166">
    <w:abstractNumId w:val="19"/>
  </w:num>
  <w:num w:numId="14" w16cid:durableId="1124155013">
    <w:abstractNumId w:val="9"/>
  </w:num>
  <w:num w:numId="15" w16cid:durableId="476386270">
    <w:abstractNumId w:val="8"/>
  </w:num>
  <w:num w:numId="16" w16cid:durableId="110169104">
    <w:abstractNumId w:val="1"/>
  </w:num>
  <w:num w:numId="17" w16cid:durableId="1186137289">
    <w:abstractNumId w:val="20"/>
  </w:num>
  <w:num w:numId="18" w16cid:durableId="1638030271">
    <w:abstractNumId w:val="26"/>
  </w:num>
  <w:num w:numId="19" w16cid:durableId="35591389">
    <w:abstractNumId w:val="2"/>
  </w:num>
  <w:num w:numId="20" w16cid:durableId="982083780">
    <w:abstractNumId w:val="5"/>
  </w:num>
  <w:num w:numId="21" w16cid:durableId="200017446">
    <w:abstractNumId w:val="24"/>
  </w:num>
  <w:num w:numId="22" w16cid:durableId="1199198514">
    <w:abstractNumId w:val="12"/>
  </w:num>
  <w:num w:numId="23" w16cid:durableId="16082663">
    <w:abstractNumId w:val="28"/>
  </w:num>
  <w:num w:numId="24" w16cid:durableId="75170391">
    <w:abstractNumId w:val="25"/>
  </w:num>
  <w:num w:numId="25" w16cid:durableId="522479653">
    <w:abstractNumId w:val="13"/>
  </w:num>
  <w:num w:numId="26" w16cid:durableId="1457286926">
    <w:abstractNumId w:val="22"/>
  </w:num>
  <w:num w:numId="27" w16cid:durableId="272247349">
    <w:abstractNumId w:val="17"/>
  </w:num>
  <w:num w:numId="28" w16cid:durableId="344284502">
    <w:abstractNumId w:val="27"/>
  </w:num>
  <w:num w:numId="29" w16cid:durableId="1738892225">
    <w:abstractNumId w:val="15"/>
  </w:num>
  <w:num w:numId="30" w16cid:durableId="941649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E6"/>
    <w:rsid w:val="00000503"/>
    <w:rsid w:val="00000FBE"/>
    <w:rsid w:val="000039B6"/>
    <w:rsid w:val="00004214"/>
    <w:rsid w:val="00005AB7"/>
    <w:rsid w:val="00006AFC"/>
    <w:rsid w:val="00007E36"/>
    <w:rsid w:val="0001276F"/>
    <w:rsid w:val="00013484"/>
    <w:rsid w:val="00014B8E"/>
    <w:rsid w:val="00020E1A"/>
    <w:rsid w:val="00021416"/>
    <w:rsid w:val="00021E14"/>
    <w:rsid w:val="00022F1B"/>
    <w:rsid w:val="000244F0"/>
    <w:rsid w:val="000338E1"/>
    <w:rsid w:val="0003439A"/>
    <w:rsid w:val="00037304"/>
    <w:rsid w:val="00037A15"/>
    <w:rsid w:val="000408AD"/>
    <w:rsid w:val="00041581"/>
    <w:rsid w:val="000415BF"/>
    <w:rsid w:val="00042B7D"/>
    <w:rsid w:val="00043649"/>
    <w:rsid w:val="00044576"/>
    <w:rsid w:val="0004495A"/>
    <w:rsid w:val="00046052"/>
    <w:rsid w:val="00052599"/>
    <w:rsid w:val="00052944"/>
    <w:rsid w:val="00060A2F"/>
    <w:rsid w:val="00062452"/>
    <w:rsid w:val="000700E7"/>
    <w:rsid w:val="00070623"/>
    <w:rsid w:val="00071611"/>
    <w:rsid w:val="000739CD"/>
    <w:rsid w:val="00075FAC"/>
    <w:rsid w:val="000806EC"/>
    <w:rsid w:val="0008086F"/>
    <w:rsid w:val="00082FB8"/>
    <w:rsid w:val="00083120"/>
    <w:rsid w:val="00084FB1"/>
    <w:rsid w:val="00085736"/>
    <w:rsid w:val="000861C9"/>
    <w:rsid w:val="00087D35"/>
    <w:rsid w:val="0009172C"/>
    <w:rsid w:val="00091793"/>
    <w:rsid w:val="000930BA"/>
    <w:rsid w:val="00094CEA"/>
    <w:rsid w:val="00094DBB"/>
    <w:rsid w:val="00096145"/>
    <w:rsid w:val="00096429"/>
    <w:rsid w:val="000A0692"/>
    <w:rsid w:val="000A3B50"/>
    <w:rsid w:val="000A6021"/>
    <w:rsid w:val="000A7CD1"/>
    <w:rsid w:val="000B0204"/>
    <w:rsid w:val="000B064E"/>
    <w:rsid w:val="000B089C"/>
    <w:rsid w:val="000B2548"/>
    <w:rsid w:val="000B30B6"/>
    <w:rsid w:val="000B4AC6"/>
    <w:rsid w:val="000B5659"/>
    <w:rsid w:val="000B5AB6"/>
    <w:rsid w:val="000B5EF0"/>
    <w:rsid w:val="000B651B"/>
    <w:rsid w:val="000B7F16"/>
    <w:rsid w:val="000C0565"/>
    <w:rsid w:val="000C096A"/>
    <w:rsid w:val="000C3645"/>
    <w:rsid w:val="000C7B72"/>
    <w:rsid w:val="000D28A0"/>
    <w:rsid w:val="000D5B78"/>
    <w:rsid w:val="000D5D78"/>
    <w:rsid w:val="000D5DB3"/>
    <w:rsid w:val="000D5F31"/>
    <w:rsid w:val="000E22D4"/>
    <w:rsid w:val="000E3DE7"/>
    <w:rsid w:val="000E4956"/>
    <w:rsid w:val="000E7DAC"/>
    <w:rsid w:val="000F095E"/>
    <w:rsid w:val="000F2416"/>
    <w:rsid w:val="000F25BA"/>
    <w:rsid w:val="000F73B0"/>
    <w:rsid w:val="00100B55"/>
    <w:rsid w:val="00101E26"/>
    <w:rsid w:val="00104BE1"/>
    <w:rsid w:val="00107E2C"/>
    <w:rsid w:val="001109B0"/>
    <w:rsid w:val="00111D55"/>
    <w:rsid w:val="00117F43"/>
    <w:rsid w:val="00117FB8"/>
    <w:rsid w:val="00123C0A"/>
    <w:rsid w:val="00124CDA"/>
    <w:rsid w:val="001258EB"/>
    <w:rsid w:val="001260A8"/>
    <w:rsid w:val="001268FE"/>
    <w:rsid w:val="00131B05"/>
    <w:rsid w:val="00134A02"/>
    <w:rsid w:val="00134D7E"/>
    <w:rsid w:val="00135F89"/>
    <w:rsid w:val="00136718"/>
    <w:rsid w:val="0014027B"/>
    <w:rsid w:val="00145269"/>
    <w:rsid w:val="00145658"/>
    <w:rsid w:val="001465AF"/>
    <w:rsid w:val="00150184"/>
    <w:rsid w:val="00153085"/>
    <w:rsid w:val="00153555"/>
    <w:rsid w:val="0015454F"/>
    <w:rsid w:val="00154E1A"/>
    <w:rsid w:val="00163061"/>
    <w:rsid w:val="00164DF9"/>
    <w:rsid w:val="00164F89"/>
    <w:rsid w:val="00165AAA"/>
    <w:rsid w:val="00165C81"/>
    <w:rsid w:val="00165D3C"/>
    <w:rsid w:val="00166F16"/>
    <w:rsid w:val="00167481"/>
    <w:rsid w:val="0017339B"/>
    <w:rsid w:val="00177338"/>
    <w:rsid w:val="00181701"/>
    <w:rsid w:val="0019194A"/>
    <w:rsid w:val="00191D56"/>
    <w:rsid w:val="001937FB"/>
    <w:rsid w:val="00193949"/>
    <w:rsid w:val="0019575D"/>
    <w:rsid w:val="0019634D"/>
    <w:rsid w:val="001963A3"/>
    <w:rsid w:val="001963A4"/>
    <w:rsid w:val="00197ECD"/>
    <w:rsid w:val="001A0A62"/>
    <w:rsid w:val="001A0F4E"/>
    <w:rsid w:val="001A3922"/>
    <w:rsid w:val="001A7B1B"/>
    <w:rsid w:val="001B24A3"/>
    <w:rsid w:val="001B2898"/>
    <w:rsid w:val="001B404C"/>
    <w:rsid w:val="001B4B16"/>
    <w:rsid w:val="001B5C89"/>
    <w:rsid w:val="001C1803"/>
    <w:rsid w:val="001C2E23"/>
    <w:rsid w:val="001C49B8"/>
    <w:rsid w:val="001C4EB5"/>
    <w:rsid w:val="001C569A"/>
    <w:rsid w:val="001C7188"/>
    <w:rsid w:val="001C7BD2"/>
    <w:rsid w:val="001D15EA"/>
    <w:rsid w:val="001D33F5"/>
    <w:rsid w:val="001D4631"/>
    <w:rsid w:val="001D4670"/>
    <w:rsid w:val="001E4657"/>
    <w:rsid w:val="001E67FD"/>
    <w:rsid w:val="001E6C79"/>
    <w:rsid w:val="001F0C7B"/>
    <w:rsid w:val="001F1B3C"/>
    <w:rsid w:val="001F2D6F"/>
    <w:rsid w:val="001F34B0"/>
    <w:rsid w:val="001F5AD1"/>
    <w:rsid w:val="001F789D"/>
    <w:rsid w:val="001F7B0F"/>
    <w:rsid w:val="00200B68"/>
    <w:rsid w:val="002065D5"/>
    <w:rsid w:val="00210591"/>
    <w:rsid w:val="0021288C"/>
    <w:rsid w:val="00212F62"/>
    <w:rsid w:val="002133F1"/>
    <w:rsid w:val="00215FF0"/>
    <w:rsid w:val="0021654D"/>
    <w:rsid w:val="00217D4C"/>
    <w:rsid w:val="00217FA1"/>
    <w:rsid w:val="002201A6"/>
    <w:rsid w:val="0022151F"/>
    <w:rsid w:val="00222302"/>
    <w:rsid w:val="00223431"/>
    <w:rsid w:val="00223CCC"/>
    <w:rsid w:val="00224A76"/>
    <w:rsid w:val="00225C29"/>
    <w:rsid w:val="00226F11"/>
    <w:rsid w:val="00227D0B"/>
    <w:rsid w:val="00231E89"/>
    <w:rsid w:val="00232722"/>
    <w:rsid w:val="00233413"/>
    <w:rsid w:val="002345DB"/>
    <w:rsid w:val="00237482"/>
    <w:rsid w:val="0023762C"/>
    <w:rsid w:val="00237D12"/>
    <w:rsid w:val="002404DC"/>
    <w:rsid w:val="00242AC9"/>
    <w:rsid w:val="002430EA"/>
    <w:rsid w:val="0024479A"/>
    <w:rsid w:val="00245C9C"/>
    <w:rsid w:val="00246084"/>
    <w:rsid w:val="002474B4"/>
    <w:rsid w:val="00251339"/>
    <w:rsid w:val="002530D2"/>
    <w:rsid w:val="00255851"/>
    <w:rsid w:val="00256E94"/>
    <w:rsid w:val="002676B6"/>
    <w:rsid w:val="002677DB"/>
    <w:rsid w:val="00273BA1"/>
    <w:rsid w:val="00273BEB"/>
    <w:rsid w:val="002746BC"/>
    <w:rsid w:val="00274EED"/>
    <w:rsid w:val="00277068"/>
    <w:rsid w:val="00277E7A"/>
    <w:rsid w:val="00280BCA"/>
    <w:rsid w:val="00283800"/>
    <w:rsid w:val="00284CFF"/>
    <w:rsid w:val="00287238"/>
    <w:rsid w:val="00287322"/>
    <w:rsid w:val="00293C01"/>
    <w:rsid w:val="00294D04"/>
    <w:rsid w:val="00295836"/>
    <w:rsid w:val="002A0893"/>
    <w:rsid w:val="002A0D78"/>
    <w:rsid w:val="002A2415"/>
    <w:rsid w:val="002A2E3F"/>
    <w:rsid w:val="002A43CF"/>
    <w:rsid w:val="002B3FA1"/>
    <w:rsid w:val="002B6400"/>
    <w:rsid w:val="002B6B5A"/>
    <w:rsid w:val="002C0C26"/>
    <w:rsid w:val="002C2F69"/>
    <w:rsid w:val="002C32AA"/>
    <w:rsid w:val="002C3668"/>
    <w:rsid w:val="002C3C71"/>
    <w:rsid w:val="002D144A"/>
    <w:rsid w:val="002D1486"/>
    <w:rsid w:val="002D2A9E"/>
    <w:rsid w:val="002D5A7D"/>
    <w:rsid w:val="002E05C5"/>
    <w:rsid w:val="002E1877"/>
    <w:rsid w:val="002E2272"/>
    <w:rsid w:val="002E27AF"/>
    <w:rsid w:val="002F167D"/>
    <w:rsid w:val="002F3DB7"/>
    <w:rsid w:val="002F6A90"/>
    <w:rsid w:val="002F7558"/>
    <w:rsid w:val="003005C9"/>
    <w:rsid w:val="00303B1B"/>
    <w:rsid w:val="003064B6"/>
    <w:rsid w:val="00311932"/>
    <w:rsid w:val="00315F79"/>
    <w:rsid w:val="0032225F"/>
    <w:rsid w:val="00322E85"/>
    <w:rsid w:val="00331F98"/>
    <w:rsid w:val="00332F15"/>
    <w:rsid w:val="003331A8"/>
    <w:rsid w:val="00333ABC"/>
    <w:rsid w:val="00333F6F"/>
    <w:rsid w:val="00334499"/>
    <w:rsid w:val="003363FA"/>
    <w:rsid w:val="00336875"/>
    <w:rsid w:val="00337F82"/>
    <w:rsid w:val="00341BB5"/>
    <w:rsid w:val="003423DB"/>
    <w:rsid w:val="00343569"/>
    <w:rsid w:val="00345BC8"/>
    <w:rsid w:val="00347DE4"/>
    <w:rsid w:val="00350ADC"/>
    <w:rsid w:val="00354EAB"/>
    <w:rsid w:val="00355569"/>
    <w:rsid w:val="00356137"/>
    <w:rsid w:val="0035640F"/>
    <w:rsid w:val="00362112"/>
    <w:rsid w:val="003621D5"/>
    <w:rsid w:val="0036340E"/>
    <w:rsid w:val="00363E17"/>
    <w:rsid w:val="0036455B"/>
    <w:rsid w:val="0037076D"/>
    <w:rsid w:val="0037217D"/>
    <w:rsid w:val="003742C1"/>
    <w:rsid w:val="0037485F"/>
    <w:rsid w:val="00376066"/>
    <w:rsid w:val="00377C59"/>
    <w:rsid w:val="00390638"/>
    <w:rsid w:val="00391BD6"/>
    <w:rsid w:val="0039209E"/>
    <w:rsid w:val="00396879"/>
    <w:rsid w:val="00397F7A"/>
    <w:rsid w:val="003A7476"/>
    <w:rsid w:val="003B1071"/>
    <w:rsid w:val="003B7A9F"/>
    <w:rsid w:val="003C39C8"/>
    <w:rsid w:val="003C42CE"/>
    <w:rsid w:val="003C7019"/>
    <w:rsid w:val="003C784E"/>
    <w:rsid w:val="003D4A22"/>
    <w:rsid w:val="003D6795"/>
    <w:rsid w:val="003E1596"/>
    <w:rsid w:val="003E240C"/>
    <w:rsid w:val="003E3278"/>
    <w:rsid w:val="003E4CC9"/>
    <w:rsid w:val="003F0E66"/>
    <w:rsid w:val="003F4308"/>
    <w:rsid w:val="003F47A5"/>
    <w:rsid w:val="003F5B25"/>
    <w:rsid w:val="00401B7B"/>
    <w:rsid w:val="00402740"/>
    <w:rsid w:val="004039A6"/>
    <w:rsid w:val="00405022"/>
    <w:rsid w:val="00405A1E"/>
    <w:rsid w:val="00407937"/>
    <w:rsid w:val="00411A38"/>
    <w:rsid w:val="0041445B"/>
    <w:rsid w:val="00424ED3"/>
    <w:rsid w:val="004254D2"/>
    <w:rsid w:val="004275E3"/>
    <w:rsid w:val="00432787"/>
    <w:rsid w:val="00435CB9"/>
    <w:rsid w:val="0044078B"/>
    <w:rsid w:val="004409F0"/>
    <w:rsid w:val="00441D38"/>
    <w:rsid w:val="0044674A"/>
    <w:rsid w:val="00446E6F"/>
    <w:rsid w:val="0045066B"/>
    <w:rsid w:val="004523DB"/>
    <w:rsid w:val="004575E3"/>
    <w:rsid w:val="00457D66"/>
    <w:rsid w:val="00460BB6"/>
    <w:rsid w:val="00460DE0"/>
    <w:rsid w:val="00464552"/>
    <w:rsid w:val="00464C7C"/>
    <w:rsid w:val="00466CC3"/>
    <w:rsid w:val="00471BD7"/>
    <w:rsid w:val="004728A2"/>
    <w:rsid w:val="004731D4"/>
    <w:rsid w:val="00474127"/>
    <w:rsid w:val="00474259"/>
    <w:rsid w:val="004745A2"/>
    <w:rsid w:val="004816E5"/>
    <w:rsid w:val="004831C8"/>
    <w:rsid w:val="00483BDF"/>
    <w:rsid w:val="0048466E"/>
    <w:rsid w:val="00484748"/>
    <w:rsid w:val="00495708"/>
    <w:rsid w:val="00496A63"/>
    <w:rsid w:val="00496CB2"/>
    <w:rsid w:val="00497E24"/>
    <w:rsid w:val="004A2E8E"/>
    <w:rsid w:val="004A4029"/>
    <w:rsid w:val="004A5396"/>
    <w:rsid w:val="004A6854"/>
    <w:rsid w:val="004B2A7C"/>
    <w:rsid w:val="004B4025"/>
    <w:rsid w:val="004B4AF4"/>
    <w:rsid w:val="004C0D11"/>
    <w:rsid w:val="004C1D78"/>
    <w:rsid w:val="004C326B"/>
    <w:rsid w:val="004C5BAD"/>
    <w:rsid w:val="004C7BE0"/>
    <w:rsid w:val="004D0013"/>
    <w:rsid w:val="004D0E79"/>
    <w:rsid w:val="004D1EAF"/>
    <w:rsid w:val="004D35B4"/>
    <w:rsid w:val="004D3AC4"/>
    <w:rsid w:val="004D79BB"/>
    <w:rsid w:val="004E1392"/>
    <w:rsid w:val="004E640A"/>
    <w:rsid w:val="004E77F4"/>
    <w:rsid w:val="004F0064"/>
    <w:rsid w:val="004F1152"/>
    <w:rsid w:val="004F3251"/>
    <w:rsid w:val="004F3333"/>
    <w:rsid w:val="004F3B74"/>
    <w:rsid w:val="004F3D6D"/>
    <w:rsid w:val="004F6A01"/>
    <w:rsid w:val="005006D2"/>
    <w:rsid w:val="00500D65"/>
    <w:rsid w:val="00501B77"/>
    <w:rsid w:val="00503BBB"/>
    <w:rsid w:val="00506410"/>
    <w:rsid w:val="005077AB"/>
    <w:rsid w:val="00510E8D"/>
    <w:rsid w:val="00512265"/>
    <w:rsid w:val="00513FB7"/>
    <w:rsid w:val="005173FC"/>
    <w:rsid w:val="00520011"/>
    <w:rsid w:val="00520F35"/>
    <w:rsid w:val="0052704A"/>
    <w:rsid w:val="00530382"/>
    <w:rsid w:val="005314F4"/>
    <w:rsid w:val="00532307"/>
    <w:rsid w:val="00533B52"/>
    <w:rsid w:val="005362E0"/>
    <w:rsid w:val="0054119D"/>
    <w:rsid w:val="005444E2"/>
    <w:rsid w:val="00545485"/>
    <w:rsid w:val="005467E1"/>
    <w:rsid w:val="00552471"/>
    <w:rsid w:val="00554B28"/>
    <w:rsid w:val="0056062B"/>
    <w:rsid w:val="005607C4"/>
    <w:rsid w:val="00563484"/>
    <w:rsid w:val="00564EE9"/>
    <w:rsid w:val="00566B7A"/>
    <w:rsid w:val="00573C98"/>
    <w:rsid w:val="00574286"/>
    <w:rsid w:val="00577916"/>
    <w:rsid w:val="005801C0"/>
    <w:rsid w:val="00580789"/>
    <w:rsid w:val="005809C8"/>
    <w:rsid w:val="00580B64"/>
    <w:rsid w:val="00580FA5"/>
    <w:rsid w:val="0058140A"/>
    <w:rsid w:val="00586482"/>
    <w:rsid w:val="00587FB3"/>
    <w:rsid w:val="00592991"/>
    <w:rsid w:val="00594CEC"/>
    <w:rsid w:val="00595568"/>
    <w:rsid w:val="00596F87"/>
    <w:rsid w:val="005A12A3"/>
    <w:rsid w:val="005A27C8"/>
    <w:rsid w:val="005A3CEA"/>
    <w:rsid w:val="005A4048"/>
    <w:rsid w:val="005A6220"/>
    <w:rsid w:val="005A66CF"/>
    <w:rsid w:val="005A71FC"/>
    <w:rsid w:val="005B0112"/>
    <w:rsid w:val="005B01CF"/>
    <w:rsid w:val="005B2BB2"/>
    <w:rsid w:val="005B6569"/>
    <w:rsid w:val="005C0006"/>
    <w:rsid w:val="005C0265"/>
    <w:rsid w:val="005C053A"/>
    <w:rsid w:val="005C0B46"/>
    <w:rsid w:val="005C4CBF"/>
    <w:rsid w:val="005C756D"/>
    <w:rsid w:val="005D141E"/>
    <w:rsid w:val="005D3197"/>
    <w:rsid w:val="005D6295"/>
    <w:rsid w:val="005D666F"/>
    <w:rsid w:val="005D6BE5"/>
    <w:rsid w:val="005D75E6"/>
    <w:rsid w:val="005E4077"/>
    <w:rsid w:val="005E5EE0"/>
    <w:rsid w:val="005F4C28"/>
    <w:rsid w:val="005F71DC"/>
    <w:rsid w:val="00600051"/>
    <w:rsid w:val="00600D18"/>
    <w:rsid w:val="00601ADA"/>
    <w:rsid w:val="006042E2"/>
    <w:rsid w:val="0060533A"/>
    <w:rsid w:val="0060563B"/>
    <w:rsid w:val="00606AFC"/>
    <w:rsid w:val="00611161"/>
    <w:rsid w:val="00611DBF"/>
    <w:rsid w:val="00612E2F"/>
    <w:rsid w:val="00617835"/>
    <w:rsid w:val="00617918"/>
    <w:rsid w:val="00617B10"/>
    <w:rsid w:val="00617B48"/>
    <w:rsid w:val="006218D3"/>
    <w:rsid w:val="00621A4D"/>
    <w:rsid w:val="00622754"/>
    <w:rsid w:val="006246FD"/>
    <w:rsid w:val="0063015D"/>
    <w:rsid w:val="00632094"/>
    <w:rsid w:val="006343F5"/>
    <w:rsid w:val="006345EE"/>
    <w:rsid w:val="0063497C"/>
    <w:rsid w:val="006351C3"/>
    <w:rsid w:val="00643F09"/>
    <w:rsid w:val="006461B9"/>
    <w:rsid w:val="00651FE6"/>
    <w:rsid w:val="0065476D"/>
    <w:rsid w:val="00656232"/>
    <w:rsid w:val="006577B8"/>
    <w:rsid w:val="0066135C"/>
    <w:rsid w:val="00662C14"/>
    <w:rsid w:val="006631D6"/>
    <w:rsid w:val="00664DB7"/>
    <w:rsid w:val="00665176"/>
    <w:rsid w:val="006674BD"/>
    <w:rsid w:val="00667757"/>
    <w:rsid w:val="00667D6A"/>
    <w:rsid w:val="00667F38"/>
    <w:rsid w:val="00672D76"/>
    <w:rsid w:val="00673217"/>
    <w:rsid w:val="00674B81"/>
    <w:rsid w:val="00675157"/>
    <w:rsid w:val="00675FE5"/>
    <w:rsid w:val="0067732D"/>
    <w:rsid w:val="00684109"/>
    <w:rsid w:val="00687974"/>
    <w:rsid w:val="00687AA5"/>
    <w:rsid w:val="00691DC1"/>
    <w:rsid w:val="0069356D"/>
    <w:rsid w:val="00693B2F"/>
    <w:rsid w:val="0069512C"/>
    <w:rsid w:val="0069514F"/>
    <w:rsid w:val="006971A4"/>
    <w:rsid w:val="006972BE"/>
    <w:rsid w:val="006A1F04"/>
    <w:rsid w:val="006B2B9D"/>
    <w:rsid w:val="006B35F0"/>
    <w:rsid w:val="006B7935"/>
    <w:rsid w:val="006C00C8"/>
    <w:rsid w:val="006C1383"/>
    <w:rsid w:val="006C1B61"/>
    <w:rsid w:val="006C45D4"/>
    <w:rsid w:val="006C5303"/>
    <w:rsid w:val="006C62CC"/>
    <w:rsid w:val="006C688C"/>
    <w:rsid w:val="006D742A"/>
    <w:rsid w:val="006D7EAF"/>
    <w:rsid w:val="006E030D"/>
    <w:rsid w:val="006E3CD3"/>
    <w:rsid w:val="006E425C"/>
    <w:rsid w:val="006E5794"/>
    <w:rsid w:val="006E612F"/>
    <w:rsid w:val="006E6228"/>
    <w:rsid w:val="006F19BE"/>
    <w:rsid w:val="006F1F1D"/>
    <w:rsid w:val="006F3CDE"/>
    <w:rsid w:val="006F3F59"/>
    <w:rsid w:val="006F4BCF"/>
    <w:rsid w:val="006F6332"/>
    <w:rsid w:val="006F733D"/>
    <w:rsid w:val="006F7E75"/>
    <w:rsid w:val="00700718"/>
    <w:rsid w:val="00701658"/>
    <w:rsid w:val="0070324B"/>
    <w:rsid w:val="007042E1"/>
    <w:rsid w:val="0070609F"/>
    <w:rsid w:val="007060A8"/>
    <w:rsid w:val="00707F85"/>
    <w:rsid w:val="007120A5"/>
    <w:rsid w:val="00715A26"/>
    <w:rsid w:val="00717B4E"/>
    <w:rsid w:val="00721014"/>
    <w:rsid w:val="00722447"/>
    <w:rsid w:val="00723DB9"/>
    <w:rsid w:val="00724145"/>
    <w:rsid w:val="00724A4C"/>
    <w:rsid w:val="0073082B"/>
    <w:rsid w:val="007317EF"/>
    <w:rsid w:val="00735F29"/>
    <w:rsid w:val="00736973"/>
    <w:rsid w:val="007372F6"/>
    <w:rsid w:val="0074048E"/>
    <w:rsid w:val="00740C75"/>
    <w:rsid w:val="00741A74"/>
    <w:rsid w:val="00743DCF"/>
    <w:rsid w:val="00744357"/>
    <w:rsid w:val="00744C64"/>
    <w:rsid w:val="00744CD7"/>
    <w:rsid w:val="00744F66"/>
    <w:rsid w:val="00745A32"/>
    <w:rsid w:val="00746616"/>
    <w:rsid w:val="007533EA"/>
    <w:rsid w:val="00755E4E"/>
    <w:rsid w:val="0075605A"/>
    <w:rsid w:val="00756CF9"/>
    <w:rsid w:val="00757C89"/>
    <w:rsid w:val="007608A9"/>
    <w:rsid w:val="0076434F"/>
    <w:rsid w:val="00764BF9"/>
    <w:rsid w:val="00765025"/>
    <w:rsid w:val="00765F0C"/>
    <w:rsid w:val="00766CB3"/>
    <w:rsid w:val="007703CD"/>
    <w:rsid w:val="007708F4"/>
    <w:rsid w:val="007739F2"/>
    <w:rsid w:val="00774355"/>
    <w:rsid w:val="00775D4B"/>
    <w:rsid w:val="00776516"/>
    <w:rsid w:val="007827D6"/>
    <w:rsid w:val="00782CE0"/>
    <w:rsid w:val="00782F5C"/>
    <w:rsid w:val="00785217"/>
    <w:rsid w:val="00796DA0"/>
    <w:rsid w:val="00796E5E"/>
    <w:rsid w:val="00797285"/>
    <w:rsid w:val="007A410B"/>
    <w:rsid w:val="007A4B6B"/>
    <w:rsid w:val="007A4D00"/>
    <w:rsid w:val="007A7F66"/>
    <w:rsid w:val="007B25B5"/>
    <w:rsid w:val="007B3279"/>
    <w:rsid w:val="007B4BA8"/>
    <w:rsid w:val="007B66D1"/>
    <w:rsid w:val="007B6CDA"/>
    <w:rsid w:val="007B7859"/>
    <w:rsid w:val="007C33EF"/>
    <w:rsid w:val="007C4D3E"/>
    <w:rsid w:val="007D232D"/>
    <w:rsid w:val="007D375B"/>
    <w:rsid w:val="007D64EF"/>
    <w:rsid w:val="007E1957"/>
    <w:rsid w:val="007E2505"/>
    <w:rsid w:val="007E3DF8"/>
    <w:rsid w:val="007E469D"/>
    <w:rsid w:val="007E4F1E"/>
    <w:rsid w:val="007E5725"/>
    <w:rsid w:val="007E5F40"/>
    <w:rsid w:val="007E6DFB"/>
    <w:rsid w:val="007F2F10"/>
    <w:rsid w:val="007F5352"/>
    <w:rsid w:val="007F57C9"/>
    <w:rsid w:val="007F7DCF"/>
    <w:rsid w:val="0080074A"/>
    <w:rsid w:val="00802596"/>
    <w:rsid w:val="00803146"/>
    <w:rsid w:val="0080358D"/>
    <w:rsid w:val="00803BD5"/>
    <w:rsid w:val="008042F8"/>
    <w:rsid w:val="00806122"/>
    <w:rsid w:val="00806D30"/>
    <w:rsid w:val="00812AF7"/>
    <w:rsid w:val="00812EA0"/>
    <w:rsid w:val="008179A9"/>
    <w:rsid w:val="008179AA"/>
    <w:rsid w:val="008252E6"/>
    <w:rsid w:val="008300C4"/>
    <w:rsid w:val="008333A2"/>
    <w:rsid w:val="0083596F"/>
    <w:rsid w:val="00837271"/>
    <w:rsid w:val="0084196B"/>
    <w:rsid w:val="00843B09"/>
    <w:rsid w:val="00844926"/>
    <w:rsid w:val="008477F6"/>
    <w:rsid w:val="00850351"/>
    <w:rsid w:val="0085366B"/>
    <w:rsid w:val="00853E1A"/>
    <w:rsid w:val="00854154"/>
    <w:rsid w:val="008600BF"/>
    <w:rsid w:val="00866973"/>
    <w:rsid w:val="00867D0D"/>
    <w:rsid w:val="00870FA3"/>
    <w:rsid w:val="00872B27"/>
    <w:rsid w:val="00874053"/>
    <w:rsid w:val="00882E84"/>
    <w:rsid w:val="008840D1"/>
    <w:rsid w:val="00884D6E"/>
    <w:rsid w:val="00884FE2"/>
    <w:rsid w:val="0088534C"/>
    <w:rsid w:val="00885F6D"/>
    <w:rsid w:val="008909E6"/>
    <w:rsid w:val="00892D9B"/>
    <w:rsid w:val="008930B1"/>
    <w:rsid w:val="00893926"/>
    <w:rsid w:val="00893CD9"/>
    <w:rsid w:val="0089420B"/>
    <w:rsid w:val="0089759D"/>
    <w:rsid w:val="00897B17"/>
    <w:rsid w:val="008A0430"/>
    <w:rsid w:val="008A1C25"/>
    <w:rsid w:val="008A210D"/>
    <w:rsid w:val="008A233C"/>
    <w:rsid w:val="008A2345"/>
    <w:rsid w:val="008A29A5"/>
    <w:rsid w:val="008A3F85"/>
    <w:rsid w:val="008A4B2B"/>
    <w:rsid w:val="008A7203"/>
    <w:rsid w:val="008A72B5"/>
    <w:rsid w:val="008B127F"/>
    <w:rsid w:val="008B4D37"/>
    <w:rsid w:val="008B5D30"/>
    <w:rsid w:val="008B6DCB"/>
    <w:rsid w:val="008B6E49"/>
    <w:rsid w:val="008B7D36"/>
    <w:rsid w:val="008C06F6"/>
    <w:rsid w:val="008C314D"/>
    <w:rsid w:val="008C3E6B"/>
    <w:rsid w:val="008C6187"/>
    <w:rsid w:val="008C6903"/>
    <w:rsid w:val="008C6FAB"/>
    <w:rsid w:val="008D5D84"/>
    <w:rsid w:val="008D6B6C"/>
    <w:rsid w:val="008E3979"/>
    <w:rsid w:val="008E45D6"/>
    <w:rsid w:val="008E6847"/>
    <w:rsid w:val="008E7244"/>
    <w:rsid w:val="008E79EB"/>
    <w:rsid w:val="008F3579"/>
    <w:rsid w:val="008F5773"/>
    <w:rsid w:val="008F5A17"/>
    <w:rsid w:val="008F655D"/>
    <w:rsid w:val="00901441"/>
    <w:rsid w:val="00902ABD"/>
    <w:rsid w:val="00907EC5"/>
    <w:rsid w:val="0091072D"/>
    <w:rsid w:val="00910D31"/>
    <w:rsid w:val="00912E7D"/>
    <w:rsid w:val="00913A3F"/>
    <w:rsid w:val="00913FD0"/>
    <w:rsid w:val="009147C9"/>
    <w:rsid w:val="0091550B"/>
    <w:rsid w:val="0091741B"/>
    <w:rsid w:val="00917B09"/>
    <w:rsid w:val="00917F32"/>
    <w:rsid w:val="009207BD"/>
    <w:rsid w:val="00922042"/>
    <w:rsid w:val="00925AA4"/>
    <w:rsid w:val="00926120"/>
    <w:rsid w:val="00930712"/>
    <w:rsid w:val="00931390"/>
    <w:rsid w:val="00932056"/>
    <w:rsid w:val="009366AA"/>
    <w:rsid w:val="00940824"/>
    <w:rsid w:val="00940AA5"/>
    <w:rsid w:val="00941D4B"/>
    <w:rsid w:val="009420E5"/>
    <w:rsid w:val="00942170"/>
    <w:rsid w:val="00951683"/>
    <w:rsid w:val="00953718"/>
    <w:rsid w:val="009562A9"/>
    <w:rsid w:val="009571DF"/>
    <w:rsid w:val="00960D2D"/>
    <w:rsid w:val="00961043"/>
    <w:rsid w:val="00961054"/>
    <w:rsid w:val="009625E6"/>
    <w:rsid w:val="009638DC"/>
    <w:rsid w:val="00963A05"/>
    <w:rsid w:val="00966B8D"/>
    <w:rsid w:val="00974B6D"/>
    <w:rsid w:val="00974BC4"/>
    <w:rsid w:val="00976C57"/>
    <w:rsid w:val="0097729D"/>
    <w:rsid w:val="0098029C"/>
    <w:rsid w:val="00986380"/>
    <w:rsid w:val="00991D6B"/>
    <w:rsid w:val="009929D6"/>
    <w:rsid w:val="00993F96"/>
    <w:rsid w:val="00996931"/>
    <w:rsid w:val="00996A31"/>
    <w:rsid w:val="00996D4B"/>
    <w:rsid w:val="009A29F4"/>
    <w:rsid w:val="009A35B3"/>
    <w:rsid w:val="009A59A5"/>
    <w:rsid w:val="009A6B9C"/>
    <w:rsid w:val="009B3248"/>
    <w:rsid w:val="009C0BBA"/>
    <w:rsid w:val="009C40CB"/>
    <w:rsid w:val="009C5E9D"/>
    <w:rsid w:val="009C7E0E"/>
    <w:rsid w:val="009D23AF"/>
    <w:rsid w:val="009D2C52"/>
    <w:rsid w:val="009D7C1F"/>
    <w:rsid w:val="009E27AD"/>
    <w:rsid w:val="009E2D0E"/>
    <w:rsid w:val="009E4161"/>
    <w:rsid w:val="009E49FF"/>
    <w:rsid w:val="009E6415"/>
    <w:rsid w:val="009F1B13"/>
    <w:rsid w:val="009F286A"/>
    <w:rsid w:val="009F5279"/>
    <w:rsid w:val="009F5B92"/>
    <w:rsid w:val="009F6F41"/>
    <w:rsid w:val="00A04024"/>
    <w:rsid w:val="00A04A95"/>
    <w:rsid w:val="00A059BF"/>
    <w:rsid w:val="00A063CF"/>
    <w:rsid w:val="00A12019"/>
    <w:rsid w:val="00A13EC9"/>
    <w:rsid w:val="00A14287"/>
    <w:rsid w:val="00A1524B"/>
    <w:rsid w:val="00A16101"/>
    <w:rsid w:val="00A22664"/>
    <w:rsid w:val="00A24186"/>
    <w:rsid w:val="00A24837"/>
    <w:rsid w:val="00A2695E"/>
    <w:rsid w:val="00A324F1"/>
    <w:rsid w:val="00A327B8"/>
    <w:rsid w:val="00A3451B"/>
    <w:rsid w:val="00A37430"/>
    <w:rsid w:val="00A37C5F"/>
    <w:rsid w:val="00A42AE3"/>
    <w:rsid w:val="00A45415"/>
    <w:rsid w:val="00A478F8"/>
    <w:rsid w:val="00A54138"/>
    <w:rsid w:val="00A56529"/>
    <w:rsid w:val="00A658D8"/>
    <w:rsid w:val="00A716A3"/>
    <w:rsid w:val="00A82CB2"/>
    <w:rsid w:val="00A82D57"/>
    <w:rsid w:val="00A84675"/>
    <w:rsid w:val="00A8510C"/>
    <w:rsid w:val="00A858DB"/>
    <w:rsid w:val="00A92864"/>
    <w:rsid w:val="00A93D55"/>
    <w:rsid w:val="00AA00D8"/>
    <w:rsid w:val="00AA27A3"/>
    <w:rsid w:val="00AA3F1A"/>
    <w:rsid w:val="00AA4A1B"/>
    <w:rsid w:val="00AA4D6F"/>
    <w:rsid w:val="00AA4DB8"/>
    <w:rsid w:val="00AA790D"/>
    <w:rsid w:val="00AB1E41"/>
    <w:rsid w:val="00AC0624"/>
    <w:rsid w:val="00AC0959"/>
    <w:rsid w:val="00AC1850"/>
    <w:rsid w:val="00AC2597"/>
    <w:rsid w:val="00AD076A"/>
    <w:rsid w:val="00AD0C3C"/>
    <w:rsid w:val="00AD150E"/>
    <w:rsid w:val="00AD6BA3"/>
    <w:rsid w:val="00AD76D2"/>
    <w:rsid w:val="00AE13AD"/>
    <w:rsid w:val="00AE2752"/>
    <w:rsid w:val="00AE28A7"/>
    <w:rsid w:val="00AE36D4"/>
    <w:rsid w:val="00AE3E91"/>
    <w:rsid w:val="00AE4016"/>
    <w:rsid w:val="00AE7D5B"/>
    <w:rsid w:val="00AF1125"/>
    <w:rsid w:val="00AF37CC"/>
    <w:rsid w:val="00AF67D8"/>
    <w:rsid w:val="00B02112"/>
    <w:rsid w:val="00B03125"/>
    <w:rsid w:val="00B03B89"/>
    <w:rsid w:val="00B06A69"/>
    <w:rsid w:val="00B1041D"/>
    <w:rsid w:val="00B11935"/>
    <w:rsid w:val="00B1428B"/>
    <w:rsid w:val="00B1462D"/>
    <w:rsid w:val="00B1664E"/>
    <w:rsid w:val="00B209AA"/>
    <w:rsid w:val="00B21122"/>
    <w:rsid w:val="00B21F26"/>
    <w:rsid w:val="00B23A99"/>
    <w:rsid w:val="00B27E92"/>
    <w:rsid w:val="00B31C03"/>
    <w:rsid w:val="00B31D7B"/>
    <w:rsid w:val="00B32943"/>
    <w:rsid w:val="00B32F42"/>
    <w:rsid w:val="00B37C16"/>
    <w:rsid w:val="00B432D3"/>
    <w:rsid w:val="00B44F0A"/>
    <w:rsid w:val="00B4661F"/>
    <w:rsid w:val="00B50A89"/>
    <w:rsid w:val="00B52A6F"/>
    <w:rsid w:val="00B5468A"/>
    <w:rsid w:val="00B56306"/>
    <w:rsid w:val="00B56766"/>
    <w:rsid w:val="00B56968"/>
    <w:rsid w:val="00B57E28"/>
    <w:rsid w:val="00B621EB"/>
    <w:rsid w:val="00B623FD"/>
    <w:rsid w:val="00B62E97"/>
    <w:rsid w:val="00B645BE"/>
    <w:rsid w:val="00B72660"/>
    <w:rsid w:val="00B75F91"/>
    <w:rsid w:val="00B76C29"/>
    <w:rsid w:val="00B76F8E"/>
    <w:rsid w:val="00B831E2"/>
    <w:rsid w:val="00B8334F"/>
    <w:rsid w:val="00B86D59"/>
    <w:rsid w:val="00B90BAF"/>
    <w:rsid w:val="00B94A7B"/>
    <w:rsid w:val="00BA135B"/>
    <w:rsid w:val="00BA5737"/>
    <w:rsid w:val="00BA696B"/>
    <w:rsid w:val="00BB5039"/>
    <w:rsid w:val="00BC1A2A"/>
    <w:rsid w:val="00BC2CB9"/>
    <w:rsid w:val="00BC51F3"/>
    <w:rsid w:val="00BC604C"/>
    <w:rsid w:val="00BC71CE"/>
    <w:rsid w:val="00BC7D79"/>
    <w:rsid w:val="00BC7F06"/>
    <w:rsid w:val="00BD12BE"/>
    <w:rsid w:val="00BD177E"/>
    <w:rsid w:val="00BD1E4D"/>
    <w:rsid w:val="00BD4FB5"/>
    <w:rsid w:val="00BE28D1"/>
    <w:rsid w:val="00BE2D92"/>
    <w:rsid w:val="00BE3A58"/>
    <w:rsid w:val="00BE7712"/>
    <w:rsid w:val="00BF0C27"/>
    <w:rsid w:val="00BF639B"/>
    <w:rsid w:val="00BF682C"/>
    <w:rsid w:val="00C01526"/>
    <w:rsid w:val="00C01C9A"/>
    <w:rsid w:val="00C02730"/>
    <w:rsid w:val="00C03C1E"/>
    <w:rsid w:val="00C072DE"/>
    <w:rsid w:val="00C10CDE"/>
    <w:rsid w:val="00C138A0"/>
    <w:rsid w:val="00C1623D"/>
    <w:rsid w:val="00C1700C"/>
    <w:rsid w:val="00C20D8B"/>
    <w:rsid w:val="00C229AE"/>
    <w:rsid w:val="00C269B5"/>
    <w:rsid w:val="00C278ED"/>
    <w:rsid w:val="00C300CC"/>
    <w:rsid w:val="00C30393"/>
    <w:rsid w:val="00C3225D"/>
    <w:rsid w:val="00C330BC"/>
    <w:rsid w:val="00C33333"/>
    <w:rsid w:val="00C33766"/>
    <w:rsid w:val="00C3552E"/>
    <w:rsid w:val="00C36BCE"/>
    <w:rsid w:val="00C3723D"/>
    <w:rsid w:val="00C405CC"/>
    <w:rsid w:val="00C41D89"/>
    <w:rsid w:val="00C44345"/>
    <w:rsid w:val="00C4601C"/>
    <w:rsid w:val="00C4699E"/>
    <w:rsid w:val="00C506DD"/>
    <w:rsid w:val="00C51ABB"/>
    <w:rsid w:val="00C543D7"/>
    <w:rsid w:val="00C56F3B"/>
    <w:rsid w:val="00C62952"/>
    <w:rsid w:val="00C62A7B"/>
    <w:rsid w:val="00C6390B"/>
    <w:rsid w:val="00C6470D"/>
    <w:rsid w:val="00C6556C"/>
    <w:rsid w:val="00C6641B"/>
    <w:rsid w:val="00C66578"/>
    <w:rsid w:val="00C70EA4"/>
    <w:rsid w:val="00C75FAC"/>
    <w:rsid w:val="00C77C14"/>
    <w:rsid w:val="00C80BFC"/>
    <w:rsid w:val="00C865E0"/>
    <w:rsid w:val="00C94939"/>
    <w:rsid w:val="00C94EAD"/>
    <w:rsid w:val="00C94EB0"/>
    <w:rsid w:val="00C9635C"/>
    <w:rsid w:val="00CA0E70"/>
    <w:rsid w:val="00CA2B2E"/>
    <w:rsid w:val="00CA46F9"/>
    <w:rsid w:val="00CA51FF"/>
    <w:rsid w:val="00CA52B2"/>
    <w:rsid w:val="00CA564C"/>
    <w:rsid w:val="00CB027B"/>
    <w:rsid w:val="00CB4D48"/>
    <w:rsid w:val="00CB4EB0"/>
    <w:rsid w:val="00CB543C"/>
    <w:rsid w:val="00CB5557"/>
    <w:rsid w:val="00CB60D2"/>
    <w:rsid w:val="00CC1C08"/>
    <w:rsid w:val="00CC2190"/>
    <w:rsid w:val="00CC5D0C"/>
    <w:rsid w:val="00CC5FF9"/>
    <w:rsid w:val="00CC78E3"/>
    <w:rsid w:val="00CD1033"/>
    <w:rsid w:val="00CD1C92"/>
    <w:rsid w:val="00CD34CB"/>
    <w:rsid w:val="00CD363A"/>
    <w:rsid w:val="00CD4F81"/>
    <w:rsid w:val="00CD67DE"/>
    <w:rsid w:val="00CE74FD"/>
    <w:rsid w:val="00CF0401"/>
    <w:rsid w:val="00CF0A18"/>
    <w:rsid w:val="00CF2C97"/>
    <w:rsid w:val="00CF3E29"/>
    <w:rsid w:val="00CF7D75"/>
    <w:rsid w:val="00D01647"/>
    <w:rsid w:val="00D02C68"/>
    <w:rsid w:val="00D0303A"/>
    <w:rsid w:val="00D05CDE"/>
    <w:rsid w:val="00D12C7A"/>
    <w:rsid w:val="00D12DFB"/>
    <w:rsid w:val="00D13888"/>
    <w:rsid w:val="00D20076"/>
    <w:rsid w:val="00D21751"/>
    <w:rsid w:val="00D23513"/>
    <w:rsid w:val="00D23ACB"/>
    <w:rsid w:val="00D25739"/>
    <w:rsid w:val="00D25E08"/>
    <w:rsid w:val="00D26E6A"/>
    <w:rsid w:val="00D3191C"/>
    <w:rsid w:val="00D34831"/>
    <w:rsid w:val="00D348A1"/>
    <w:rsid w:val="00D350FF"/>
    <w:rsid w:val="00D3558A"/>
    <w:rsid w:val="00D36546"/>
    <w:rsid w:val="00D378DC"/>
    <w:rsid w:val="00D40A77"/>
    <w:rsid w:val="00D431E3"/>
    <w:rsid w:val="00D43A92"/>
    <w:rsid w:val="00D43ED6"/>
    <w:rsid w:val="00D46078"/>
    <w:rsid w:val="00D46E03"/>
    <w:rsid w:val="00D5272D"/>
    <w:rsid w:val="00D60279"/>
    <w:rsid w:val="00D608FE"/>
    <w:rsid w:val="00D6180E"/>
    <w:rsid w:val="00D6452C"/>
    <w:rsid w:val="00D6579E"/>
    <w:rsid w:val="00D665DD"/>
    <w:rsid w:val="00D66C91"/>
    <w:rsid w:val="00D7027A"/>
    <w:rsid w:val="00D71C0A"/>
    <w:rsid w:val="00D73900"/>
    <w:rsid w:val="00D76391"/>
    <w:rsid w:val="00D814E6"/>
    <w:rsid w:val="00D8178E"/>
    <w:rsid w:val="00D81ABB"/>
    <w:rsid w:val="00D81CD7"/>
    <w:rsid w:val="00D83F07"/>
    <w:rsid w:val="00D86537"/>
    <w:rsid w:val="00D87A6A"/>
    <w:rsid w:val="00D9005E"/>
    <w:rsid w:val="00D90AD4"/>
    <w:rsid w:val="00D91DEC"/>
    <w:rsid w:val="00D9257C"/>
    <w:rsid w:val="00D9341A"/>
    <w:rsid w:val="00D93544"/>
    <w:rsid w:val="00D97116"/>
    <w:rsid w:val="00DA0536"/>
    <w:rsid w:val="00DA1D36"/>
    <w:rsid w:val="00DA6E0B"/>
    <w:rsid w:val="00DB00AD"/>
    <w:rsid w:val="00DB00F9"/>
    <w:rsid w:val="00DB041B"/>
    <w:rsid w:val="00DB1B19"/>
    <w:rsid w:val="00DB1E10"/>
    <w:rsid w:val="00DB5546"/>
    <w:rsid w:val="00DB5A65"/>
    <w:rsid w:val="00DC120E"/>
    <w:rsid w:val="00DC3240"/>
    <w:rsid w:val="00DC3300"/>
    <w:rsid w:val="00DD04A8"/>
    <w:rsid w:val="00DD25EA"/>
    <w:rsid w:val="00DD3005"/>
    <w:rsid w:val="00DD48B0"/>
    <w:rsid w:val="00DD583D"/>
    <w:rsid w:val="00DE25DA"/>
    <w:rsid w:val="00DE5885"/>
    <w:rsid w:val="00DE5C70"/>
    <w:rsid w:val="00DE7033"/>
    <w:rsid w:val="00DE75F1"/>
    <w:rsid w:val="00DF11BF"/>
    <w:rsid w:val="00DF446D"/>
    <w:rsid w:val="00DF640A"/>
    <w:rsid w:val="00E00931"/>
    <w:rsid w:val="00E00C49"/>
    <w:rsid w:val="00E01381"/>
    <w:rsid w:val="00E02073"/>
    <w:rsid w:val="00E03258"/>
    <w:rsid w:val="00E06AF9"/>
    <w:rsid w:val="00E105A8"/>
    <w:rsid w:val="00E1156A"/>
    <w:rsid w:val="00E13376"/>
    <w:rsid w:val="00E14414"/>
    <w:rsid w:val="00E218AB"/>
    <w:rsid w:val="00E23915"/>
    <w:rsid w:val="00E2784B"/>
    <w:rsid w:val="00E31042"/>
    <w:rsid w:val="00E32372"/>
    <w:rsid w:val="00E32DF2"/>
    <w:rsid w:val="00E32E75"/>
    <w:rsid w:val="00E43EB4"/>
    <w:rsid w:val="00E43F70"/>
    <w:rsid w:val="00E46571"/>
    <w:rsid w:val="00E4718C"/>
    <w:rsid w:val="00E50DAD"/>
    <w:rsid w:val="00E5102E"/>
    <w:rsid w:val="00E51713"/>
    <w:rsid w:val="00E5387D"/>
    <w:rsid w:val="00E569F8"/>
    <w:rsid w:val="00E56E76"/>
    <w:rsid w:val="00E60547"/>
    <w:rsid w:val="00E62494"/>
    <w:rsid w:val="00E632C6"/>
    <w:rsid w:val="00E6380D"/>
    <w:rsid w:val="00E65A9B"/>
    <w:rsid w:val="00E65CFD"/>
    <w:rsid w:val="00E70752"/>
    <w:rsid w:val="00E73EC9"/>
    <w:rsid w:val="00E74FFC"/>
    <w:rsid w:val="00E75B63"/>
    <w:rsid w:val="00E80215"/>
    <w:rsid w:val="00E84DF0"/>
    <w:rsid w:val="00E867F8"/>
    <w:rsid w:val="00E92BA9"/>
    <w:rsid w:val="00E955C9"/>
    <w:rsid w:val="00E97A70"/>
    <w:rsid w:val="00EA1649"/>
    <w:rsid w:val="00EA4642"/>
    <w:rsid w:val="00EA4924"/>
    <w:rsid w:val="00EA6A2F"/>
    <w:rsid w:val="00EA7758"/>
    <w:rsid w:val="00EB00B8"/>
    <w:rsid w:val="00EB3783"/>
    <w:rsid w:val="00EB4185"/>
    <w:rsid w:val="00EB4982"/>
    <w:rsid w:val="00EB5D1F"/>
    <w:rsid w:val="00EB61B2"/>
    <w:rsid w:val="00EB78FB"/>
    <w:rsid w:val="00EC1334"/>
    <w:rsid w:val="00EC3F01"/>
    <w:rsid w:val="00EC422F"/>
    <w:rsid w:val="00EC46DF"/>
    <w:rsid w:val="00EC5A99"/>
    <w:rsid w:val="00EC6FCA"/>
    <w:rsid w:val="00EC77C1"/>
    <w:rsid w:val="00EC797F"/>
    <w:rsid w:val="00ED0F70"/>
    <w:rsid w:val="00ED1258"/>
    <w:rsid w:val="00ED5309"/>
    <w:rsid w:val="00ED620C"/>
    <w:rsid w:val="00EE100D"/>
    <w:rsid w:val="00EE1132"/>
    <w:rsid w:val="00EE3D68"/>
    <w:rsid w:val="00EE41F8"/>
    <w:rsid w:val="00EE7176"/>
    <w:rsid w:val="00EE7C37"/>
    <w:rsid w:val="00EF3847"/>
    <w:rsid w:val="00EF49F1"/>
    <w:rsid w:val="00EF5825"/>
    <w:rsid w:val="00F027C9"/>
    <w:rsid w:val="00F042D2"/>
    <w:rsid w:val="00F04CDC"/>
    <w:rsid w:val="00F056BB"/>
    <w:rsid w:val="00F067B4"/>
    <w:rsid w:val="00F06FC8"/>
    <w:rsid w:val="00F07D8C"/>
    <w:rsid w:val="00F110F1"/>
    <w:rsid w:val="00F11BF8"/>
    <w:rsid w:val="00F129F8"/>
    <w:rsid w:val="00F138EE"/>
    <w:rsid w:val="00F14489"/>
    <w:rsid w:val="00F1575B"/>
    <w:rsid w:val="00F270A1"/>
    <w:rsid w:val="00F27529"/>
    <w:rsid w:val="00F3384A"/>
    <w:rsid w:val="00F359DC"/>
    <w:rsid w:val="00F41A83"/>
    <w:rsid w:val="00F427AE"/>
    <w:rsid w:val="00F438B7"/>
    <w:rsid w:val="00F43DA3"/>
    <w:rsid w:val="00F45DFF"/>
    <w:rsid w:val="00F5205B"/>
    <w:rsid w:val="00F525A9"/>
    <w:rsid w:val="00F530E6"/>
    <w:rsid w:val="00F546A1"/>
    <w:rsid w:val="00F54B2F"/>
    <w:rsid w:val="00F55281"/>
    <w:rsid w:val="00F61803"/>
    <w:rsid w:val="00F635CA"/>
    <w:rsid w:val="00F63885"/>
    <w:rsid w:val="00F64ECC"/>
    <w:rsid w:val="00F662C9"/>
    <w:rsid w:val="00F66E15"/>
    <w:rsid w:val="00F67863"/>
    <w:rsid w:val="00F67988"/>
    <w:rsid w:val="00F703E3"/>
    <w:rsid w:val="00F71EC1"/>
    <w:rsid w:val="00F72B5F"/>
    <w:rsid w:val="00F80C38"/>
    <w:rsid w:val="00F81BCB"/>
    <w:rsid w:val="00F86029"/>
    <w:rsid w:val="00F86F89"/>
    <w:rsid w:val="00F91CD1"/>
    <w:rsid w:val="00F9735B"/>
    <w:rsid w:val="00F9776E"/>
    <w:rsid w:val="00FA60C2"/>
    <w:rsid w:val="00FA7E06"/>
    <w:rsid w:val="00FB12B9"/>
    <w:rsid w:val="00FB1AA4"/>
    <w:rsid w:val="00FB506E"/>
    <w:rsid w:val="00FB7B12"/>
    <w:rsid w:val="00FB7DE9"/>
    <w:rsid w:val="00FC1E87"/>
    <w:rsid w:val="00FC23D3"/>
    <w:rsid w:val="00FC3C5D"/>
    <w:rsid w:val="00FD1CAD"/>
    <w:rsid w:val="00FD40E4"/>
    <w:rsid w:val="00FD6237"/>
    <w:rsid w:val="00FE0D77"/>
    <w:rsid w:val="00FE2910"/>
    <w:rsid w:val="00FE2C59"/>
    <w:rsid w:val="00FE342E"/>
    <w:rsid w:val="00FE43BD"/>
    <w:rsid w:val="00FE461C"/>
    <w:rsid w:val="00FE54DE"/>
    <w:rsid w:val="00FE59A3"/>
    <w:rsid w:val="00FE5F35"/>
    <w:rsid w:val="00FE69AE"/>
    <w:rsid w:val="00FE76B6"/>
    <w:rsid w:val="00FE7EBC"/>
    <w:rsid w:val="00FF1202"/>
    <w:rsid w:val="00FF175B"/>
    <w:rsid w:val="00F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BA966"/>
  <w15:chartTrackingRefBased/>
  <w15:docId w15:val="{186A66C3-8602-4C69-8EC0-8F4C691A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E6"/>
    <w:rPr>
      <w:rFonts w:eastAsiaTheme="majorEastAsia" w:cstheme="majorBidi"/>
      <w:color w:val="272727" w:themeColor="text1" w:themeTint="D8"/>
    </w:rPr>
  </w:style>
  <w:style w:type="paragraph" w:styleId="Title">
    <w:name w:val="Title"/>
    <w:basedOn w:val="Normal"/>
    <w:next w:val="Normal"/>
    <w:link w:val="TitleChar"/>
    <w:uiPriority w:val="10"/>
    <w:qFormat/>
    <w:rsid w:val="00962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E6"/>
    <w:pPr>
      <w:spacing w:before="160"/>
      <w:jc w:val="center"/>
    </w:pPr>
    <w:rPr>
      <w:i/>
      <w:iCs/>
      <w:color w:val="404040" w:themeColor="text1" w:themeTint="BF"/>
    </w:rPr>
  </w:style>
  <w:style w:type="character" w:customStyle="1" w:styleId="QuoteChar">
    <w:name w:val="Quote Char"/>
    <w:basedOn w:val="DefaultParagraphFont"/>
    <w:link w:val="Quote"/>
    <w:uiPriority w:val="29"/>
    <w:rsid w:val="009625E6"/>
    <w:rPr>
      <w:i/>
      <w:iCs/>
      <w:color w:val="404040" w:themeColor="text1" w:themeTint="BF"/>
    </w:rPr>
  </w:style>
  <w:style w:type="paragraph" w:styleId="ListParagraph">
    <w:name w:val="List Paragraph"/>
    <w:basedOn w:val="Normal"/>
    <w:uiPriority w:val="34"/>
    <w:qFormat/>
    <w:rsid w:val="009625E6"/>
    <w:pPr>
      <w:ind w:left="720"/>
      <w:contextualSpacing/>
    </w:pPr>
  </w:style>
  <w:style w:type="character" w:styleId="IntenseEmphasis">
    <w:name w:val="Intense Emphasis"/>
    <w:basedOn w:val="DefaultParagraphFont"/>
    <w:uiPriority w:val="21"/>
    <w:qFormat/>
    <w:rsid w:val="009625E6"/>
    <w:rPr>
      <w:i/>
      <w:iCs/>
      <w:color w:val="0F4761" w:themeColor="accent1" w:themeShade="BF"/>
    </w:rPr>
  </w:style>
  <w:style w:type="paragraph" w:styleId="IntenseQuote">
    <w:name w:val="Intense Quote"/>
    <w:basedOn w:val="Normal"/>
    <w:next w:val="Normal"/>
    <w:link w:val="IntenseQuoteChar"/>
    <w:uiPriority w:val="30"/>
    <w:qFormat/>
    <w:rsid w:val="00962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E6"/>
    <w:rPr>
      <w:i/>
      <w:iCs/>
      <w:color w:val="0F4761" w:themeColor="accent1" w:themeShade="BF"/>
    </w:rPr>
  </w:style>
  <w:style w:type="character" w:styleId="IntenseReference">
    <w:name w:val="Intense Reference"/>
    <w:basedOn w:val="DefaultParagraphFont"/>
    <w:uiPriority w:val="32"/>
    <w:qFormat/>
    <w:rsid w:val="009625E6"/>
    <w:rPr>
      <w:b/>
      <w:bCs/>
      <w:smallCaps/>
      <w:color w:val="0F4761" w:themeColor="accent1" w:themeShade="BF"/>
      <w:spacing w:val="5"/>
    </w:rPr>
  </w:style>
  <w:style w:type="paragraph" w:styleId="Header">
    <w:name w:val="header"/>
    <w:basedOn w:val="Normal"/>
    <w:link w:val="HeaderChar"/>
    <w:uiPriority w:val="99"/>
    <w:unhideWhenUsed/>
    <w:rsid w:val="00956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2A9"/>
  </w:style>
  <w:style w:type="paragraph" w:styleId="Footer">
    <w:name w:val="footer"/>
    <w:basedOn w:val="Normal"/>
    <w:link w:val="FooterChar"/>
    <w:uiPriority w:val="99"/>
    <w:unhideWhenUsed/>
    <w:rsid w:val="00956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2A9"/>
  </w:style>
  <w:style w:type="paragraph" w:customStyle="1" w:styleId="mtsm">
    <w:name w:val="_mtsm"/>
    <w:basedOn w:val="Normal"/>
    <w:rsid w:val="001402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02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4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B5C8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FE2C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46084"/>
    <w:rPr>
      <w:color w:val="467886" w:themeColor="hyperlink"/>
      <w:u w:val="single"/>
    </w:rPr>
  </w:style>
  <w:style w:type="character" w:styleId="UnresolvedMention">
    <w:name w:val="Unresolved Mention"/>
    <w:basedOn w:val="DefaultParagraphFont"/>
    <w:uiPriority w:val="99"/>
    <w:semiHidden/>
    <w:unhideWhenUsed/>
    <w:rsid w:val="00246084"/>
    <w:rPr>
      <w:color w:val="605E5C"/>
      <w:shd w:val="clear" w:color="auto" w:fill="E1DFDD"/>
    </w:rPr>
  </w:style>
  <w:style w:type="character" w:styleId="FollowedHyperlink">
    <w:name w:val="FollowedHyperlink"/>
    <w:basedOn w:val="DefaultParagraphFont"/>
    <w:uiPriority w:val="99"/>
    <w:semiHidden/>
    <w:unhideWhenUsed/>
    <w:rsid w:val="00246084"/>
    <w:rPr>
      <w:color w:val="96607D" w:themeColor="followedHyperlink"/>
      <w:u w:val="single"/>
    </w:rPr>
  </w:style>
  <w:style w:type="paragraph" w:styleId="NoSpacing">
    <w:name w:val="No Spacing"/>
    <w:link w:val="NoSpacingChar"/>
    <w:uiPriority w:val="1"/>
    <w:qFormat/>
    <w:rsid w:val="001A3922"/>
    <w:pPr>
      <w:spacing w:after="0" w:line="240" w:lineRule="auto"/>
    </w:pPr>
    <w:rPr>
      <w:rFonts w:eastAsiaTheme="minorEastAsia"/>
    </w:rPr>
  </w:style>
  <w:style w:type="character" w:customStyle="1" w:styleId="NoSpacingChar">
    <w:name w:val="No Spacing Char"/>
    <w:basedOn w:val="DefaultParagraphFont"/>
    <w:link w:val="NoSpacing"/>
    <w:uiPriority w:val="1"/>
    <w:rsid w:val="001A3922"/>
    <w:rPr>
      <w:rFonts w:eastAsiaTheme="minorEastAsia"/>
    </w:rPr>
  </w:style>
  <w:style w:type="paragraph" w:styleId="TOCHeading">
    <w:name w:val="TOC Heading"/>
    <w:basedOn w:val="Heading1"/>
    <w:next w:val="Normal"/>
    <w:uiPriority w:val="39"/>
    <w:unhideWhenUsed/>
    <w:qFormat/>
    <w:rsid w:val="003E3278"/>
    <w:pPr>
      <w:spacing w:before="240" w:after="0"/>
      <w:outlineLvl w:val="9"/>
    </w:pPr>
    <w:rPr>
      <w:sz w:val="32"/>
      <w:szCs w:val="32"/>
    </w:rPr>
  </w:style>
  <w:style w:type="paragraph" w:styleId="TOC1">
    <w:name w:val="toc 1"/>
    <w:basedOn w:val="Normal"/>
    <w:next w:val="Normal"/>
    <w:autoRedefine/>
    <w:uiPriority w:val="39"/>
    <w:unhideWhenUsed/>
    <w:rsid w:val="001B4B16"/>
    <w:pPr>
      <w:spacing w:after="100"/>
    </w:pPr>
  </w:style>
  <w:style w:type="paragraph" w:styleId="TOC2">
    <w:name w:val="toc 2"/>
    <w:basedOn w:val="Normal"/>
    <w:next w:val="Normal"/>
    <w:autoRedefine/>
    <w:uiPriority w:val="39"/>
    <w:unhideWhenUsed/>
    <w:rsid w:val="001B4B16"/>
    <w:pPr>
      <w:spacing w:after="100"/>
      <w:ind w:left="220"/>
    </w:pPr>
  </w:style>
  <w:style w:type="paragraph" w:styleId="FootnoteText">
    <w:name w:val="footnote text"/>
    <w:basedOn w:val="Normal"/>
    <w:link w:val="FootnoteTextChar"/>
    <w:uiPriority w:val="99"/>
    <w:semiHidden/>
    <w:unhideWhenUsed/>
    <w:rsid w:val="009610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043"/>
    <w:rPr>
      <w:sz w:val="20"/>
      <w:szCs w:val="20"/>
    </w:rPr>
  </w:style>
  <w:style w:type="character" w:styleId="FootnoteReference">
    <w:name w:val="footnote reference"/>
    <w:basedOn w:val="DefaultParagraphFont"/>
    <w:uiPriority w:val="99"/>
    <w:semiHidden/>
    <w:unhideWhenUsed/>
    <w:rsid w:val="00961043"/>
    <w:rPr>
      <w:vertAlign w:val="superscript"/>
    </w:rPr>
  </w:style>
  <w:style w:type="paragraph" w:customStyle="1" w:styleId="Default">
    <w:name w:val="Default"/>
    <w:rsid w:val="00E239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881207">
      <w:bodyDiv w:val="1"/>
      <w:marLeft w:val="0"/>
      <w:marRight w:val="0"/>
      <w:marTop w:val="0"/>
      <w:marBottom w:val="0"/>
      <w:divBdr>
        <w:top w:val="none" w:sz="0" w:space="0" w:color="auto"/>
        <w:left w:val="none" w:sz="0" w:space="0" w:color="auto"/>
        <w:bottom w:val="none" w:sz="0" w:space="0" w:color="auto"/>
        <w:right w:val="none" w:sz="0" w:space="0" w:color="auto"/>
      </w:divBdr>
      <w:divsChild>
        <w:div w:id="473329448">
          <w:marLeft w:val="0"/>
          <w:marRight w:val="0"/>
          <w:marTop w:val="0"/>
          <w:marBottom w:val="0"/>
          <w:divBdr>
            <w:top w:val="none" w:sz="0" w:space="0" w:color="auto"/>
            <w:left w:val="none" w:sz="0" w:space="0" w:color="auto"/>
            <w:bottom w:val="none" w:sz="0" w:space="0" w:color="auto"/>
            <w:right w:val="none" w:sz="0" w:space="0" w:color="auto"/>
          </w:divBdr>
          <w:divsChild>
            <w:div w:id="1247764914">
              <w:marLeft w:val="0"/>
              <w:marRight w:val="0"/>
              <w:marTop w:val="0"/>
              <w:marBottom w:val="0"/>
              <w:divBdr>
                <w:top w:val="none" w:sz="0" w:space="0" w:color="auto"/>
                <w:left w:val="none" w:sz="0" w:space="0" w:color="auto"/>
                <w:bottom w:val="none" w:sz="0" w:space="0" w:color="auto"/>
                <w:right w:val="none" w:sz="0" w:space="0" w:color="auto"/>
              </w:divBdr>
              <w:divsChild>
                <w:div w:id="1929804937">
                  <w:marLeft w:val="0"/>
                  <w:marRight w:val="0"/>
                  <w:marTop w:val="0"/>
                  <w:marBottom w:val="0"/>
                  <w:divBdr>
                    <w:top w:val="none" w:sz="0" w:space="0" w:color="auto"/>
                    <w:left w:val="none" w:sz="0" w:space="0" w:color="auto"/>
                    <w:bottom w:val="none" w:sz="0" w:space="0" w:color="auto"/>
                    <w:right w:val="none" w:sz="0" w:space="0" w:color="auto"/>
                  </w:divBdr>
                  <w:divsChild>
                    <w:div w:id="719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0469">
          <w:marLeft w:val="0"/>
          <w:marRight w:val="0"/>
          <w:marTop w:val="0"/>
          <w:marBottom w:val="0"/>
          <w:divBdr>
            <w:top w:val="none" w:sz="0" w:space="0" w:color="auto"/>
            <w:left w:val="none" w:sz="0" w:space="0" w:color="auto"/>
            <w:bottom w:val="none" w:sz="0" w:space="0" w:color="auto"/>
            <w:right w:val="none" w:sz="0" w:space="0" w:color="auto"/>
          </w:divBdr>
          <w:divsChild>
            <w:div w:id="1456485939">
              <w:marLeft w:val="0"/>
              <w:marRight w:val="0"/>
              <w:marTop w:val="0"/>
              <w:marBottom w:val="0"/>
              <w:divBdr>
                <w:top w:val="none" w:sz="0" w:space="0" w:color="auto"/>
                <w:left w:val="none" w:sz="0" w:space="0" w:color="auto"/>
                <w:bottom w:val="none" w:sz="0" w:space="0" w:color="auto"/>
                <w:right w:val="none" w:sz="0" w:space="0" w:color="auto"/>
              </w:divBdr>
              <w:divsChild>
                <w:div w:id="1810661050">
                  <w:marLeft w:val="0"/>
                  <w:marRight w:val="0"/>
                  <w:marTop w:val="0"/>
                  <w:marBottom w:val="0"/>
                  <w:divBdr>
                    <w:top w:val="none" w:sz="0" w:space="0" w:color="auto"/>
                    <w:left w:val="none" w:sz="0" w:space="0" w:color="auto"/>
                    <w:bottom w:val="none" w:sz="0" w:space="0" w:color="auto"/>
                    <w:right w:val="none" w:sz="0" w:space="0" w:color="auto"/>
                  </w:divBdr>
                  <w:divsChild>
                    <w:div w:id="20689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4078">
      <w:bodyDiv w:val="1"/>
      <w:marLeft w:val="0"/>
      <w:marRight w:val="0"/>
      <w:marTop w:val="0"/>
      <w:marBottom w:val="0"/>
      <w:divBdr>
        <w:top w:val="none" w:sz="0" w:space="0" w:color="auto"/>
        <w:left w:val="none" w:sz="0" w:space="0" w:color="auto"/>
        <w:bottom w:val="none" w:sz="0" w:space="0" w:color="auto"/>
        <w:right w:val="none" w:sz="0" w:space="0" w:color="auto"/>
      </w:divBdr>
      <w:divsChild>
        <w:div w:id="1756318009">
          <w:marLeft w:val="0"/>
          <w:marRight w:val="0"/>
          <w:marTop w:val="0"/>
          <w:marBottom w:val="0"/>
          <w:divBdr>
            <w:top w:val="none" w:sz="0" w:space="0" w:color="auto"/>
            <w:left w:val="none" w:sz="0" w:space="0" w:color="auto"/>
            <w:bottom w:val="none" w:sz="0" w:space="0" w:color="auto"/>
            <w:right w:val="none" w:sz="0" w:space="0" w:color="auto"/>
          </w:divBdr>
        </w:div>
        <w:div w:id="698360930">
          <w:marLeft w:val="0"/>
          <w:marRight w:val="0"/>
          <w:marTop w:val="0"/>
          <w:marBottom w:val="0"/>
          <w:divBdr>
            <w:top w:val="none" w:sz="0" w:space="0" w:color="auto"/>
            <w:left w:val="none" w:sz="0" w:space="0" w:color="auto"/>
            <w:bottom w:val="none" w:sz="0" w:space="0" w:color="auto"/>
            <w:right w:val="none" w:sz="0" w:space="0" w:color="auto"/>
          </w:divBdr>
        </w:div>
      </w:divsChild>
    </w:div>
    <w:div w:id="1438333735">
      <w:bodyDiv w:val="1"/>
      <w:marLeft w:val="0"/>
      <w:marRight w:val="0"/>
      <w:marTop w:val="0"/>
      <w:marBottom w:val="0"/>
      <w:divBdr>
        <w:top w:val="none" w:sz="0" w:space="0" w:color="auto"/>
        <w:left w:val="none" w:sz="0" w:space="0" w:color="auto"/>
        <w:bottom w:val="none" w:sz="0" w:space="0" w:color="auto"/>
        <w:right w:val="none" w:sz="0" w:space="0" w:color="auto"/>
      </w:divBdr>
      <w:divsChild>
        <w:div w:id="1306425028">
          <w:marLeft w:val="0"/>
          <w:marRight w:val="0"/>
          <w:marTop w:val="0"/>
          <w:marBottom w:val="0"/>
          <w:divBdr>
            <w:top w:val="single" w:sz="2" w:space="0" w:color="E3E3E3"/>
            <w:left w:val="single" w:sz="2" w:space="0" w:color="E3E3E3"/>
            <w:bottom w:val="single" w:sz="2" w:space="0" w:color="E3E3E3"/>
            <w:right w:val="single" w:sz="2" w:space="0" w:color="E3E3E3"/>
          </w:divBdr>
          <w:divsChild>
            <w:div w:id="1204363915">
              <w:marLeft w:val="0"/>
              <w:marRight w:val="0"/>
              <w:marTop w:val="0"/>
              <w:marBottom w:val="0"/>
              <w:divBdr>
                <w:top w:val="single" w:sz="2" w:space="0" w:color="E3E3E3"/>
                <w:left w:val="single" w:sz="2" w:space="0" w:color="E3E3E3"/>
                <w:bottom w:val="single" w:sz="2" w:space="0" w:color="E3E3E3"/>
                <w:right w:val="single" w:sz="2" w:space="0" w:color="E3E3E3"/>
              </w:divBdr>
              <w:divsChild>
                <w:div w:id="66717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520200">
      <w:bodyDiv w:val="1"/>
      <w:marLeft w:val="0"/>
      <w:marRight w:val="0"/>
      <w:marTop w:val="0"/>
      <w:marBottom w:val="0"/>
      <w:divBdr>
        <w:top w:val="none" w:sz="0" w:space="0" w:color="auto"/>
        <w:left w:val="none" w:sz="0" w:space="0" w:color="auto"/>
        <w:bottom w:val="none" w:sz="0" w:space="0" w:color="auto"/>
        <w:right w:val="none" w:sz="0" w:space="0" w:color="auto"/>
      </w:divBdr>
      <w:divsChild>
        <w:div w:id="620065562">
          <w:marLeft w:val="0"/>
          <w:marRight w:val="0"/>
          <w:marTop w:val="0"/>
          <w:marBottom w:val="0"/>
          <w:divBdr>
            <w:top w:val="none" w:sz="0" w:space="0" w:color="auto"/>
            <w:left w:val="none" w:sz="0" w:space="0" w:color="auto"/>
            <w:bottom w:val="none" w:sz="0" w:space="0" w:color="auto"/>
            <w:right w:val="none" w:sz="0" w:space="0" w:color="auto"/>
          </w:divBdr>
          <w:divsChild>
            <w:div w:id="699284418">
              <w:marLeft w:val="0"/>
              <w:marRight w:val="0"/>
              <w:marTop w:val="0"/>
              <w:marBottom w:val="0"/>
              <w:divBdr>
                <w:top w:val="none" w:sz="0" w:space="0" w:color="auto"/>
                <w:left w:val="none" w:sz="0" w:space="0" w:color="auto"/>
                <w:bottom w:val="none" w:sz="0" w:space="0" w:color="auto"/>
                <w:right w:val="none" w:sz="0" w:space="0" w:color="auto"/>
              </w:divBdr>
              <w:divsChild>
                <w:div w:id="1618484294">
                  <w:marLeft w:val="0"/>
                  <w:marRight w:val="0"/>
                  <w:marTop w:val="0"/>
                  <w:marBottom w:val="0"/>
                  <w:divBdr>
                    <w:top w:val="none" w:sz="0" w:space="0" w:color="auto"/>
                    <w:left w:val="none" w:sz="0" w:space="0" w:color="auto"/>
                    <w:bottom w:val="none" w:sz="0" w:space="0" w:color="auto"/>
                    <w:right w:val="none" w:sz="0" w:space="0" w:color="auto"/>
                  </w:divBdr>
                  <w:divsChild>
                    <w:div w:id="1432970420">
                      <w:marLeft w:val="0"/>
                      <w:marRight w:val="0"/>
                      <w:marTop w:val="0"/>
                      <w:marBottom w:val="0"/>
                      <w:divBdr>
                        <w:top w:val="none" w:sz="0" w:space="0" w:color="auto"/>
                        <w:left w:val="none" w:sz="0" w:space="0" w:color="auto"/>
                        <w:bottom w:val="none" w:sz="0" w:space="0" w:color="auto"/>
                        <w:right w:val="none" w:sz="0" w:space="0" w:color="auto"/>
                      </w:divBdr>
                      <w:divsChild>
                        <w:div w:id="1184592746">
                          <w:marLeft w:val="0"/>
                          <w:marRight w:val="0"/>
                          <w:marTop w:val="0"/>
                          <w:marBottom w:val="0"/>
                          <w:divBdr>
                            <w:top w:val="none" w:sz="0" w:space="0" w:color="auto"/>
                            <w:left w:val="none" w:sz="0" w:space="0" w:color="auto"/>
                            <w:bottom w:val="none" w:sz="0" w:space="0" w:color="auto"/>
                            <w:right w:val="none" w:sz="0" w:space="0" w:color="auto"/>
                          </w:divBdr>
                          <w:divsChild>
                            <w:div w:id="1544436829">
                              <w:marLeft w:val="0"/>
                              <w:marRight w:val="0"/>
                              <w:marTop w:val="0"/>
                              <w:marBottom w:val="0"/>
                              <w:divBdr>
                                <w:top w:val="none" w:sz="0" w:space="0" w:color="auto"/>
                                <w:left w:val="none" w:sz="0" w:space="0" w:color="auto"/>
                                <w:bottom w:val="none" w:sz="0" w:space="0" w:color="auto"/>
                                <w:right w:val="none" w:sz="0" w:space="0" w:color="auto"/>
                              </w:divBdr>
                              <w:divsChild>
                                <w:div w:id="18049948">
                                  <w:marLeft w:val="0"/>
                                  <w:marRight w:val="0"/>
                                  <w:marTop w:val="0"/>
                                  <w:marBottom w:val="0"/>
                                  <w:divBdr>
                                    <w:top w:val="none" w:sz="0" w:space="0" w:color="auto"/>
                                    <w:left w:val="none" w:sz="0" w:space="0" w:color="auto"/>
                                    <w:bottom w:val="none" w:sz="0" w:space="0" w:color="auto"/>
                                    <w:right w:val="none" w:sz="0" w:space="0" w:color="auto"/>
                                  </w:divBdr>
                                  <w:divsChild>
                                    <w:div w:id="1208762436">
                                      <w:marLeft w:val="0"/>
                                      <w:marRight w:val="0"/>
                                      <w:marTop w:val="0"/>
                                      <w:marBottom w:val="0"/>
                                      <w:divBdr>
                                        <w:top w:val="none" w:sz="0" w:space="0" w:color="auto"/>
                                        <w:left w:val="none" w:sz="0" w:space="0" w:color="auto"/>
                                        <w:bottom w:val="none" w:sz="0" w:space="0" w:color="auto"/>
                                        <w:right w:val="none" w:sz="0" w:space="0" w:color="auto"/>
                                      </w:divBdr>
                                      <w:divsChild>
                                        <w:div w:id="6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1963">
                              <w:marLeft w:val="0"/>
                              <w:marRight w:val="0"/>
                              <w:marTop w:val="0"/>
                              <w:marBottom w:val="0"/>
                              <w:divBdr>
                                <w:top w:val="none" w:sz="0" w:space="0" w:color="auto"/>
                                <w:left w:val="none" w:sz="0" w:space="0" w:color="auto"/>
                                <w:bottom w:val="none" w:sz="0" w:space="0" w:color="auto"/>
                                <w:right w:val="none" w:sz="0" w:space="0" w:color="auto"/>
                              </w:divBdr>
                              <w:divsChild>
                                <w:div w:id="1156265706">
                                  <w:marLeft w:val="0"/>
                                  <w:marRight w:val="0"/>
                                  <w:marTop w:val="0"/>
                                  <w:marBottom w:val="0"/>
                                  <w:divBdr>
                                    <w:top w:val="none" w:sz="0" w:space="0" w:color="auto"/>
                                    <w:left w:val="none" w:sz="0" w:space="0" w:color="auto"/>
                                    <w:bottom w:val="none" w:sz="0" w:space="0" w:color="auto"/>
                                    <w:right w:val="none" w:sz="0" w:space="0" w:color="auto"/>
                                  </w:divBdr>
                                  <w:divsChild>
                                    <w:div w:id="429592055">
                                      <w:marLeft w:val="0"/>
                                      <w:marRight w:val="0"/>
                                      <w:marTop w:val="0"/>
                                      <w:marBottom w:val="0"/>
                                      <w:divBdr>
                                        <w:top w:val="none" w:sz="0" w:space="0" w:color="auto"/>
                                        <w:left w:val="none" w:sz="0" w:space="0" w:color="auto"/>
                                        <w:bottom w:val="none" w:sz="0" w:space="0" w:color="auto"/>
                                        <w:right w:val="none" w:sz="0" w:space="0" w:color="auto"/>
                                      </w:divBdr>
                                      <w:divsChild>
                                        <w:div w:id="1665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29955">
          <w:marLeft w:val="0"/>
          <w:marRight w:val="0"/>
          <w:marTop w:val="0"/>
          <w:marBottom w:val="0"/>
          <w:divBdr>
            <w:top w:val="none" w:sz="0" w:space="0" w:color="auto"/>
            <w:left w:val="none" w:sz="0" w:space="0" w:color="auto"/>
            <w:bottom w:val="none" w:sz="0" w:space="0" w:color="auto"/>
            <w:right w:val="none" w:sz="0" w:space="0" w:color="auto"/>
          </w:divBdr>
          <w:divsChild>
            <w:div w:id="1137915802">
              <w:marLeft w:val="0"/>
              <w:marRight w:val="0"/>
              <w:marTop w:val="0"/>
              <w:marBottom w:val="0"/>
              <w:divBdr>
                <w:top w:val="none" w:sz="0" w:space="0" w:color="auto"/>
                <w:left w:val="none" w:sz="0" w:space="0" w:color="auto"/>
                <w:bottom w:val="none" w:sz="0" w:space="0" w:color="auto"/>
                <w:right w:val="none" w:sz="0" w:space="0" w:color="auto"/>
              </w:divBdr>
              <w:divsChild>
                <w:div w:id="1341541753">
                  <w:marLeft w:val="0"/>
                  <w:marRight w:val="0"/>
                  <w:marTop w:val="0"/>
                  <w:marBottom w:val="0"/>
                  <w:divBdr>
                    <w:top w:val="none" w:sz="0" w:space="0" w:color="auto"/>
                    <w:left w:val="none" w:sz="0" w:space="0" w:color="auto"/>
                    <w:bottom w:val="none" w:sz="0" w:space="0" w:color="auto"/>
                    <w:right w:val="none" w:sz="0" w:space="0" w:color="auto"/>
                  </w:divBdr>
                  <w:divsChild>
                    <w:div w:id="916741936">
                      <w:marLeft w:val="0"/>
                      <w:marRight w:val="0"/>
                      <w:marTop w:val="0"/>
                      <w:marBottom w:val="0"/>
                      <w:divBdr>
                        <w:top w:val="none" w:sz="0" w:space="0" w:color="auto"/>
                        <w:left w:val="none" w:sz="0" w:space="0" w:color="auto"/>
                        <w:bottom w:val="none" w:sz="0" w:space="0" w:color="auto"/>
                        <w:right w:val="none" w:sz="0" w:space="0" w:color="auto"/>
                      </w:divBdr>
                      <w:divsChild>
                        <w:div w:id="884217512">
                          <w:marLeft w:val="0"/>
                          <w:marRight w:val="0"/>
                          <w:marTop w:val="0"/>
                          <w:marBottom w:val="0"/>
                          <w:divBdr>
                            <w:top w:val="none" w:sz="0" w:space="0" w:color="auto"/>
                            <w:left w:val="none" w:sz="0" w:space="0" w:color="auto"/>
                            <w:bottom w:val="none" w:sz="0" w:space="0" w:color="auto"/>
                            <w:right w:val="none" w:sz="0" w:space="0" w:color="auto"/>
                          </w:divBdr>
                          <w:divsChild>
                            <w:div w:id="1672027476">
                              <w:marLeft w:val="0"/>
                              <w:marRight w:val="0"/>
                              <w:marTop w:val="0"/>
                              <w:marBottom w:val="0"/>
                              <w:divBdr>
                                <w:top w:val="none" w:sz="0" w:space="0" w:color="auto"/>
                                <w:left w:val="none" w:sz="0" w:space="0" w:color="auto"/>
                                <w:bottom w:val="none" w:sz="0" w:space="0" w:color="auto"/>
                                <w:right w:val="none" w:sz="0" w:space="0" w:color="auto"/>
                              </w:divBdr>
                              <w:divsChild>
                                <w:div w:id="1062212942">
                                  <w:marLeft w:val="0"/>
                                  <w:marRight w:val="0"/>
                                  <w:marTop w:val="0"/>
                                  <w:marBottom w:val="0"/>
                                  <w:divBdr>
                                    <w:top w:val="none" w:sz="0" w:space="0" w:color="auto"/>
                                    <w:left w:val="none" w:sz="0" w:space="0" w:color="auto"/>
                                    <w:bottom w:val="none" w:sz="0" w:space="0" w:color="auto"/>
                                    <w:right w:val="none" w:sz="0" w:space="0" w:color="auto"/>
                                  </w:divBdr>
                                  <w:divsChild>
                                    <w:div w:id="246040476">
                                      <w:marLeft w:val="0"/>
                                      <w:marRight w:val="0"/>
                                      <w:marTop w:val="0"/>
                                      <w:marBottom w:val="0"/>
                                      <w:divBdr>
                                        <w:top w:val="none" w:sz="0" w:space="0" w:color="auto"/>
                                        <w:left w:val="none" w:sz="0" w:space="0" w:color="auto"/>
                                        <w:bottom w:val="none" w:sz="0" w:space="0" w:color="auto"/>
                                        <w:right w:val="none" w:sz="0" w:space="0" w:color="auto"/>
                                      </w:divBdr>
                                      <w:divsChild>
                                        <w:div w:id="806242626">
                                          <w:marLeft w:val="0"/>
                                          <w:marRight w:val="0"/>
                                          <w:marTop w:val="0"/>
                                          <w:marBottom w:val="0"/>
                                          <w:divBdr>
                                            <w:top w:val="none" w:sz="0" w:space="0" w:color="auto"/>
                                            <w:left w:val="none" w:sz="0" w:space="0" w:color="auto"/>
                                            <w:bottom w:val="none" w:sz="0" w:space="0" w:color="auto"/>
                                            <w:right w:val="none" w:sz="0" w:space="0" w:color="auto"/>
                                          </w:divBdr>
                                          <w:divsChild>
                                            <w:div w:id="1490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95555">
          <w:marLeft w:val="0"/>
          <w:marRight w:val="0"/>
          <w:marTop w:val="0"/>
          <w:marBottom w:val="0"/>
          <w:divBdr>
            <w:top w:val="none" w:sz="0" w:space="0" w:color="auto"/>
            <w:left w:val="none" w:sz="0" w:space="0" w:color="auto"/>
            <w:bottom w:val="none" w:sz="0" w:space="0" w:color="auto"/>
            <w:right w:val="none" w:sz="0" w:space="0" w:color="auto"/>
          </w:divBdr>
          <w:divsChild>
            <w:div w:id="2050495216">
              <w:marLeft w:val="0"/>
              <w:marRight w:val="0"/>
              <w:marTop w:val="0"/>
              <w:marBottom w:val="0"/>
              <w:divBdr>
                <w:top w:val="none" w:sz="0" w:space="0" w:color="auto"/>
                <w:left w:val="none" w:sz="0" w:space="0" w:color="auto"/>
                <w:bottom w:val="none" w:sz="0" w:space="0" w:color="auto"/>
                <w:right w:val="none" w:sz="0" w:space="0" w:color="auto"/>
              </w:divBdr>
              <w:divsChild>
                <w:div w:id="7414096">
                  <w:marLeft w:val="0"/>
                  <w:marRight w:val="0"/>
                  <w:marTop w:val="0"/>
                  <w:marBottom w:val="0"/>
                  <w:divBdr>
                    <w:top w:val="none" w:sz="0" w:space="0" w:color="auto"/>
                    <w:left w:val="none" w:sz="0" w:space="0" w:color="auto"/>
                    <w:bottom w:val="none" w:sz="0" w:space="0" w:color="auto"/>
                    <w:right w:val="none" w:sz="0" w:space="0" w:color="auto"/>
                  </w:divBdr>
                  <w:divsChild>
                    <w:div w:id="1632054925">
                      <w:marLeft w:val="0"/>
                      <w:marRight w:val="0"/>
                      <w:marTop w:val="0"/>
                      <w:marBottom w:val="0"/>
                      <w:divBdr>
                        <w:top w:val="none" w:sz="0" w:space="0" w:color="auto"/>
                        <w:left w:val="none" w:sz="0" w:space="0" w:color="auto"/>
                        <w:bottom w:val="none" w:sz="0" w:space="0" w:color="auto"/>
                        <w:right w:val="none" w:sz="0" w:space="0" w:color="auto"/>
                      </w:divBdr>
                      <w:divsChild>
                        <w:div w:id="1815026505">
                          <w:marLeft w:val="0"/>
                          <w:marRight w:val="0"/>
                          <w:marTop w:val="0"/>
                          <w:marBottom w:val="0"/>
                          <w:divBdr>
                            <w:top w:val="none" w:sz="0" w:space="0" w:color="auto"/>
                            <w:left w:val="none" w:sz="0" w:space="0" w:color="auto"/>
                            <w:bottom w:val="none" w:sz="0" w:space="0" w:color="auto"/>
                            <w:right w:val="none" w:sz="0" w:space="0" w:color="auto"/>
                          </w:divBdr>
                          <w:divsChild>
                            <w:div w:id="302153493">
                              <w:marLeft w:val="0"/>
                              <w:marRight w:val="0"/>
                              <w:marTop w:val="0"/>
                              <w:marBottom w:val="0"/>
                              <w:divBdr>
                                <w:top w:val="none" w:sz="0" w:space="0" w:color="auto"/>
                                <w:left w:val="none" w:sz="0" w:space="0" w:color="auto"/>
                                <w:bottom w:val="none" w:sz="0" w:space="0" w:color="auto"/>
                                <w:right w:val="none" w:sz="0" w:space="0" w:color="auto"/>
                              </w:divBdr>
                              <w:divsChild>
                                <w:div w:id="937567839">
                                  <w:marLeft w:val="0"/>
                                  <w:marRight w:val="0"/>
                                  <w:marTop w:val="0"/>
                                  <w:marBottom w:val="0"/>
                                  <w:divBdr>
                                    <w:top w:val="none" w:sz="0" w:space="0" w:color="auto"/>
                                    <w:left w:val="none" w:sz="0" w:space="0" w:color="auto"/>
                                    <w:bottom w:val="none" w:sz="0" w:space="0" w:color="auto"/>
                                    <w:right w:val="none" w:sz="0" w:space="0" w:color="auto"/>
                                  </w:divBdr>
                                  <w:divsChild>
                                    <w:div w:id="1384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6669">
                      <w:marLeft w:val="0"/>
                      <w:marRight w:val="0"/>
                      <w:marTop w:val="0"/>
                      <w:marBottom w:val="0"/>
                      <w:divBdr>
                        <w:top w:val="none" w:sz="0" w:space="0" w:color="auto"/>
                        <w:left w:val="none" w:sz="0" w:space="0" w:color="auto"/>
                        <w:bottom w:val="none" w:sz="0" w:space="0" w:color="auto"/>
                        <w:right w:val="none" w:sz="0" w:space="0" w:color="auto"/>
                      </w:divBdr>
                      <w:divsChild>
                        <w:div w:id="2113819369">
                          <w:marLeft w:val="0"/>
                          <w:marRight w:val="0"/>
                          <w:marTop w:val="0"/>
                          <w:marBottom w:val="0"/>
                          <w:divBdr>
                            <w:top w:val="none" w:sz="0" w:space="0" w:color="auto"/>
                            <w:left w:val="none" w:sz="0" w:space="0" w:color="auto"/>
                            <w:bottom w:val="none" w:sz="0" w:space="0" w:color="auto"/>
                            <w:right w:val="none" w:sz="0" w:space="0" w:color="auto"/>
                          </w:divBdr>
                          <w:divsChild>
                            <w:div w:id="953050606">
                              <w:marLeft w:val="0"/>
                              <w:marRight w:val="0"/>
                              <w:marTop w:val="0"/>
                              <w:marBottom w:val="0"/>
                              <w:divBdr>
                                <w:top w:val="none" w:sz="0" w:space="0" w:color="auto"/>
                                <w:left w:val="none" w:sz="0" w:space="0" w:color="auto"/>
                                <w:bottom w:val="none" w:sz="0" w:space="0" w:color="auto"/>
                                <w:right w:val="none" w:sz="0" w:space="0" w:color="auto"/>
                              </w:divBdr>
                              <w:divsChild>
                                <w:div w:id="776019928">
                                  <w:marLeft w:val="0"/>
                                  <w:marRight w:val="0"/>
                                  <w:marTop w:val="0"/>
                                  <w:marBottom w:val="0"/>
                                  <w:divBdr>
                                    <w:top w:val="none" w:sz="0" w:space="0" w:color="auto"/>
                                    <w:left w:val="none" w:sz="0" w:space="0" w:color="auto"/>
                                    <w:bottom w:val="none" w:sz="0" w:space="0" w:color="auto"/>
                                    <w:right w:val="none" w:sz="0" w:space="0" w:color="auto"/>
                                  </w:divBdr>
                                  <w:divsChild>
                                    <w:div w:id="2033189082">
                                      <w:marLeft w:val="0"/>
                                      <w:marRight w:val="0"/>
                                      <w:marTop w:val="0"/>
                                      <w:marBottom w:val="0"/>
                                      <w:divBdr>
                                        <w:top w:val="none" w:sz="0" w:space="0" w:color="auto"/>
                                        <w:left w:val="none" w:sz="0" w:space="0" w:color="auto"/>
                                        <w:bottom w:val="none" w:sz="0" w:space="0" w:color="auto"/>
                                        <w:right w:val="none" w:sz="0" w:space="0" w:color="auto"/>
                                      </w:divBdr>
                                      <w:divsChild>
                                        <w:div w:id="1786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442881">
      <w:bodyDiv w:val="1"/>
      <w:marLeft w:val="0"/>
      <w:marRight w:val="0"/>
      <w:marTop w:val="0"/>
      <w:marBottom w:val="0"/>
      <w:divBdr>
        <w:top w:val="none" w:sz="0" w:space="0" w:color="auto"/>
        <w:left w:val="none" w:sz="0" w:space="0" w:color="auto"/>
        <w:bottom w:val="none" w:sz="0" w:space="0" w:color="auto"/>
        <w:right w:val="none" w:sz="0" w:space="0" w:color="auto"/>
      </w:divBdr>
      <w:divsChild>
        <w:div w:id="1407995325">
          <w:marLeft w:val="0"/>
          <w:marRight w:val="0"/>
          <w:marTop w:val="0"/>
          <w:marBottom w:val="0"/>
          <w:divBdr>
            <w:top w:val="none" w:sz="0" w:space="0" w:color="auto"/>
            <w:left w:val="none" w:sz="0" w:space="0" w:color="auto"/>
            <w:bottom w:val="none" w:sz="0" w:space="0" w:color="auto"/>
            <w:right w:val="none" w:sz="0" w:space="0" w:color="auto"/>
          </w:divBdr>
        </w:div>
        <w:div w:id="192737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millpo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info@millpo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millpont.com/" TargetMode="External"/><Relationship Id="rId19" Type="http://schemas.openxmlformats.org/officeDocument/2006/relationships/hyperlink" Target="https://public.cyber.mil/pki-pke/about/" TargetMode="External"/><Relationship Id="rId4" Type="http://schemas.openxmlformats.org/officeDocument/2006/relationships/settings" Target="settings.xml"/><Relationship Id="rId9" Type="http://schemas.openxmlformats.org/officeDocument/2006/relationships/hyperlink" Target="mailto:info@millpont.com"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D5964-4937-47A3-9C49-971D2B25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16</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MillPont Environmental Trust Infrastructure (METI) Originate</dc:title>
  <dc:subject>Version 1.0</dc:subject>
  <dc:creator>Dominic Sutton-Vermeulen</dc:creator>
  <cp:keywords/>
  <dc:description/>
  <cp:lastModifiedBy>Dominic Sutton-Vermeulen</cp:lastModifiedBy>
  <cp:revision>100</cp:revision>
  <dcterms:created xsi:type="dcterms:W3CDTF">2024-07-01T18:27:00Z</dcterms:created>
  <dcterms:modified xsi:type="dcterms:W3CDTF">2024-07-01T22:02:00Z</dcterms:modified>
</cp:coreProperties>
</file>