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26"/>
          <w:szCs w:val="26"/>
        </w:rPr>
        <w:t xml:space="preserve">Experience Integrating with Provantis (Instem)</w:t>
      </w:r>
    </w:p>
    <w:p>
      <w:pPr>
        <w:spacing w:after="140" w:line="264"/>
        <w:jc w:val="both"/>
      </w:pPr>
      <w:r>
        <w:rPr>
          <w:rFonts w:ascii="Times New Roman" w:cs="Times New Roman" w:eastAsia="Times New Roman" w:hAnsi="Times New Roman"/>
          <w:b/>
          <w:bCs/>
          <w:sz w:val="22"/>
          <w:szCs w:val="22"/>
        </w:rPr>
        <w:t xml:space="preserve">Direct experience: </w:t>
      </w:r>
      <w:r>
        <w:rPr>
          <w:rFonts w:ascii="Times New Roman" w:cs="Times New Roman" w:eastAsia="Times New Roman" w:hAnsi="Times New Roman"/>
          <w:sz w:val="22"/>
          <w:szCs w:val="22"/>
        </w:rPr>
        <w:t xml:space="preserve">Calira has not previously built or deployed a production integration with Provantis. We want to be transparent about that. However, we are not starting from zero on this vendor: we bring first-hand product knowledge of Provantis, and an integration architecture designed to make onboarding a new external system a low-risk, incremental piece of work.</w:t>
      </w:r>
    </w:p>
    <w:p>
      <w:pPr>
        <w:spacing w:after="140" w:line="264"/>
        <w:jc w:val="both"/>
      </w:pPr>
      <w:r>
        <w:rPr>
          <w:rFonts w:ascii="Times New Roman" w:cs="Times New Roman" w:eastAsia="Times New Roman" w:hAnsi="Times New Roman"/>
          <w:b/>
          <w:bCs/>
          <w:sz w:val="22"/>
          <w:szCs w:val="22"/>
        </w:rPr>
        <w:t xml:space="preserve">Direct product knowledge of Provantis: </w:t>
      </w:r>
      <w:r>
        <w:rPr>
          <w:rFonts w:ascii="Times New Roman" w:cs="Times New Roman" w:eastAsia="Times New Roman" w:hAnsi="Times New Roman"/>
          <w:sz w:val="22"/>
          <w:szCs w:val="22"/>
        </w:rPr>
        <w:t xml:space="preserve">Calira's Head of Product spent over five years at Instem, the company that develops Provantis, prior to joining Calira. That gives us practitioner-level familiarity with Provantis' module architecture (Study Setup, General and Reproductive Toxicology, Pathology, Pharmacy Formulation, Data Exchanger, Report Assembly), how study and sample data is structured and moves through the platform, and how customers typically operate it. This is knowledge that would normally take a lengthy discovery phase to build with an unfamiliar vendor, and it materially de-risks scoping and delivering a first integration.</w:t>
      </w:r>
    </w:p>
    <w:p>
      <w:pPr>
        <w:spacing w:after="140" w:line="264"/>
        <w:jc w:val="both"/>
      </w:pPr>
      <w:r>
        <w:rPr>
          <w:rFonts w:ascii="Times New Roman" w:cs="Times New Roman" w:eastAsia="Times New Roman" w:hAnsi="Times New Roman"/>
          <w:b/>
          <w:bCs/>
          <w:sz w:val="22"/>
          <w:szCs w:val="22"/>
        </w:rPr>
        <w:t xml:space="preserve">A reusable integration architecture, not a one-off build: </w:t>
      </w:r>
      <w:r>
        <w:rPr>
          <w:rFonts w:ascii="Times New Roman" w:cs="Times New Roman" w:eastAsia="Times New Roman" w:hAnsi="Times New Roman"/>
          <w:sz w:val="22"/>
          <w:szCs w:val="22"/>
        </w:rPr>
        <w:t xml:space="preserve">Every third-party integration in our platform is built against a common internal adapter interface (connect / callback / webhook) rather than bespoke code per vendor. This gives each new integration, by default: OAuth2-based authorisation and per-application access control; validated inbound webhooks, with malformed or unsupported payloads rejected safely; background-job processing so slow third-party API calls never block the user-facing application; and centralised error handling and monitoring. Adding a new external system means writing a new adapter against this framework, not designing new integration infrastructure.</w:t>
      </w:r>
    </w:p>
    <w:p>
      <w:pPr>
        <w:spacing w:after="140" w:line="264"/>
        <w:jc w:val="both"/>
      </w:pPr>
      <w:r>
        <w:rPr>
          <w:rFonts w:ascii="Times New Roman" w:cs="Times New Roman" w:eastAsia="Times New Roman" w:hAnsi="Times New Roman"/>
          <w:b/>
          <w:bCs/>
          <w:sz w:val="22"/>
          <w:szCs w:val="22"/>
        </w:rPr>
        <w:t xml:space="preserve">Fit with Provantis specifically: </w:t>
      </w:r>
      <w:r>
        <w:rPr>
          <w:rFonts w:ascii="Times New Roman" w:cs="Times New Roman" w:eastAsia="Times New Roman" w:hAnsi="Times New Roman"/>
          <w:sz w:val="22"/>
          <w:szCs w:val="22"/>
        </w:rPr>
        <w:t xml:space="preserve">Provantis' core suite originated as a desktop application, but Instem has recently added a REST API specifically to support modern integrations, and Provantis is delivered to most customers as SaaS (Citrix-hosted on AWS) rather than on-premise. That combination — a REST API in front of a centrally-hosted deployment — is architecturally consistent with the integrations we already run in production: we would connect to a hosted API endpoint rather than needing to navigate customer-premises networking or legacy desktop/Citrix session automation. Combined with our team's existing knowledge of how Provantis structures study, pathology and formulation data, we are well placed to scope a Provantis integration efficiently once its API is reviewed in detail.</w:t>
      </w:r>
    </w:p>
    <w:p>
      <w:pPr>
        <w:spacing w:after="140" w:line="264"/>
        <w:jc w:val="both"/>
      </w:pPr>
      <w:r>
        <w:rPr>
          <w:rFonts w:ascii="Times New Roman" w:cs="Times New Roman" w:eastAsia="Times New Roman" w:hAnsi="Times New Roman"/>
          <w:b/>
          <w:bCs/>
          <w:sz w:val="22"/>
          <w:szCs w:val="22"/>
        </w:rPr>
        <w:t xml:space="preserve">Delivery approach and governance: </w:t>
      </w:r>
      <w:r>
        <w:rPr>
          <w:rFonts w:ascii="Times New Roman" w:cs="Times New Roman" w:eastAsia="Times New Roman" w:hAnsi="Times New Roman"/>
          <w:sz w:val="22"/>
          <w:szCs w:val="22"/>
        </w:rPr>
        <w:t xml:space="preserve">Any new integration follows our standard SDLC: mandatory security review for changes touching authentication, data access, or third-party integrations; validation across development, staging, and review environments; and automated test coverage before release. We would welcome a short technical discovery against the Provantis REST API and your specific workflow requirements as part of implementation planning, to confirm scope and timeline.</w:t>
      </w:r>
    </w:p>
    <w:sectPr>
      <w:pgSz w:w="11906" w:h="16838"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2026-08-27T14:55:00.333Z</dcterms:created>
  <dcterms:modified xsi:type="dcterms:W3CDTF">2026-08-27T14:55:00.334Z</dcterms:modified>
</cp:coreProperties>
</file>

<file path=docProps/custom.xml><?xml version="1.0" encoding="utf-8"?>
<Properties xmlns="http://schemas.openxmlformats.org/officeDocument/2006/custom-properties" xmlns:vt="http://schemas.openxmlformats.org/officeDocument/2006/docPropsVTypes"/>
</file>