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January 2023 Special Town Meeting</w:t>
      </w:r>
    </w:p>
    <w:p>
      <w:pPr>
        <w:spacing w:after="400"/>
        <w:jc w:val="center"/>
      </w:pPr>
      <w:r>
        <w:rPr>
          <w:rFonts w:ascii="Arial" w:cs="Arial" w:eastAsia="Arial" w:hAnsi="Arial"/>
          <w:i/>
          <w:iCs/>
          <w:color w:val="666666"/>
          <w:sz w:val="20"/>
          <w:szCs w:val="20"/>
        </w:rPr>
        <w:t xml:space="preserve">Held virtually via Zoom on one night: January 10, 2023</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4 recorded votes from the January 2023 Special Town Meeting, covering 2 articles in a single evening. This was a brief, focused meeting called on short notice for a specific purpose: to adopt the new state Specialized Stretch Energy Code before other communities. Town Moderator Kate Poverman presided.</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Article 1 — Adoption of the Specialized Stretch Energy Code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was the reason the January Special Town Meeting was called. In late December 2022, Massachusetts finalized its new Municipal Opt-in Specialized Stretch Energy Code — a more stringent building energy code that goes beyond the standard Stretch Code already adopted by most Massachusetts communities. The Specialized Code requires new construction to be all-electric or pre-wired for all-electric conversion, mandates on-site solar for most buildings, and imposes Passive House-level energy efficiency standards for larger multifamily and commercial projects. Homes over 4,000 square feet cannot use fossil fuels at all under the code.</w:t>
      </w:r>
    </w:p>
    <w:p>
      <w:pPr>
        <w:spacing w:after="120"/>
      </w:pPr>
      <w:r>
        <w:rPr>
          <w:rFonts w:ascii="Arial" w:cs="Arial" w:eastAsia="Arial" w:hAnsi="Arial"/>
          <w:sz w:val="21"/>
          <w:szCs w:val="21"/>
        </w:rPr>
        <w:t xml:space="preserve">Brookline moved quickly to adopt it. The January meeting was called on short notice to ensure Brookline was among the first communities in the state to opt in, with the code taking effect July 1, 2023. Brookline joined Watertown and Cambridge as the earliest adopters. By late 2023, 29 Massachusetts communities had followed suit.</w:t>
      </w:r>
    </w:p>
    <w:p>
      <w:pPr>
        <w:spacing w:after="300"/>
      </w:pPr>
      <w:r>
        <w:rPr>
          <w:rFonts w:ascii="Arial" w:cs="Arial" w:eastAsia="Arial" w:hAnsi="Arial"/>
          <w:sz w:val="21"/>
          <w:szCs w:val="21"/>
        </w:rPr>
        <w:t xml:space="preserve">The vote aligned with Brookline’s broader climate commitments, including the Town’s net-zero-by-2040 goal, the suite of climate home rule petitions passed at the November 2022 meeting, and the 2021 fossil-fuel-free construction requirements (though some of those earlier provisions had been rejected by the state Attorney General). The Specialized Code provided a state-sanctioned pathway to achieve many of the same goals. It passed 202–19.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 — Ballot Information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addressed how ballot information is provided to voters in Brookline’s elections. The specific changes likely related to improving voter access to information about ballot questions and candidates — an issue that had been discussed in the context of the upcoming May 2023 town election, which was expected to include several significant ballot questions (including a Proposition 2½ override and the marijuana retailer cap confirmation). After some debate (the terminate debate motion drew 32 NO votes), the article passed near-unanimously at 223–1.</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January 2023 Special Town Meeting Warrant and Electronic Voting Records. Board recommendation votes sourced from the Combined Reports.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2026-02-26T13:13:26.762Z</dcterms:created>
  <dcterms:modified xsi:type="dcterms:W3CDTF">2026-02-26T13:13:26.764Z</dcterms:modified>
</cp:coreProperties>
</file>

<file path=docProps/custom.xml><?xml version="1.0" encoding="utf-8"?>
<Properties xmlns="http://schemas.openxmlformats.org/officeDocument/2006/custom-properties" xmlns:vt="http://schemas.openxmlformats.org/officeDocument/2006/docPropsVTypes"/>
</file>