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Brookline Town Meeting Vote Summaries</w:t>
      </w:r>
    </w:p>
    <w:p>
      <w:pPr>
        <w:spacing w:after="120"/>
        <w:jc w:val="center"/>
      </w:pPr>
      <w:r>
        <w:rPr>
          <w:rFonts w:ascii="Arial" w:cs="Arial" w:eastAsia="Arial" w:hAnsi="Arial"/>
          <w:color w:val="4472C4"/>
          <w:sz w:val="26"/>
          <w:szCs w:val="26"/>
        </w:rPr>
        <w:t xml:space="preserve">November 2021 Special Town Meeting</w:t>
      </w:r>
    </w:p>
    <w:p>
      <w:pPr>
        <w:spacing w:after="400"/>
        <w:jc w:val="center"/>
      </w:pPr>
      <w:r>
        <w:rPr>
          <w:rFonts w:ascii="Arial" w:cs="Arial" w:eastAsia="Arial" w:hAnsi="Arial"/>
          <w:i/>
          <w:iCs/>
          <w:color w:val="666666"/>
          <w:sz w:val="20"/>
          <w:szCs w:val="20"/>
        </w:rPr>
        <w:t xml:space="preserve">Held virtually via Zoom over four nights: November 16, 18, 30, and December 2, 2021</w:t>
      </w:r>
    </w:p>
    <w:p>
      <w:pPr>
        <w:spacing w:after="200"/>
        <w:jc w:val="center"/>
      </w:pPr>
      <w:r>
        <w:rPr>
          <w:b/>
          <w:bCs/>
          <w:color w:val="C00000"/>
          <w:sz w:val="20"/>
          <w:szCs w:val="20"/>
        </w:rPr>
        <w:t>AI-generated content may be inaccurate, biased, or out of date. Please verify important information.</w:t>
      </w:r>
    </w:p>
    <w:p>
      <w:pPr>
        <w:spacing w:after="200"/>
      </w:pPr>
      <w:r>
        <w:rPr>
          <w:rFonts w:ascii="Arial" w:cs="Arial" w:eastAsia="Arial" w:hAnsi="Arial"/>
          <w:sz w:val="22"/>
          <w:szCs w:val="22"/>
        </w:rPr>
        <w:t xml:space="preserve">This document provides plain-language summaries of all recorded votes from the November 2021 Special Town Meeting. These 48 votes covered 22 distinct articles across four nights, plus a concurrent Second Special Town Meeting (STM2) for mid-year budget amendments. Topics ranged from hybrid meeting legislation and historic preservation to marijuana policy, fur bans, and parking requirements. Town Moderator Kate Poverman presided.</w:t>
      </w:r>
    </w:p>
    <w:p>
      <w:pPr>
        <w:spacing w:after="100"/>
      </w:pPr>
      <w:r>
        <w:rPr>
          <w:rFonts w:ascii="Arial" w:cs="Arial" w:eastAsia="Arial" w:hAnsi="Arial"/>
          <w:b/>
          <w:bCs/>
          <w:sz w:val="22"/>
          <w:szCs w:val="22"/>
        </w:rPr>
        <w:t xml:space="preserve">A quick guide to vote types:</w:t>
      </w:r>
    </w:p>
    <w:p>
      <w:pPr>
        <w:spacing w:after="60"/>
        <w:ind w:left="360"/>
      </w:pPr>
      <w:r>
        <w:rPr>
          <w:rFonts w:ascii="Arial" w:cs="Arial" w:eastAsia="Arial" w:hAnsi="Arial"/>
          <w:b/>
          <w:bCs/>
          <w:sz w:val="20"/>
          <w:szCs w:val="20"/>
        </w:rPr>
        <w:t xml:space="preserve">Main Motion:</w:t>
      </w:r>
      <w:r>
        <w:rPr>
          <w:rFonts w:ascii="Arial" w:cs="Arial" w:eastAsia="Arial" w:hAnsi="Arial"/>
          <w:sz w:val="20"/>
          <w:szCs w:val="20"/>
        </w:rPr>
        <w:t xml:space="preserve"> The actual vote on the article itself — this is the one that matters most.</w:t>
      </w:r>
    </w:p>
    <w:p>
      <w:pPr>
        <w:spacing w:after="60"/>
        <w:ind w:left="360"/>
      </w:pPr>
      <w:r>
        <w:rPr>
          <w:rFonts w:ascii="Arial" w:cs="Arial" w:eastAsia="Arial" w:hAnsi="Arial"/>
          <w:b/>
          <w:bCs/>
          <w:sz w:val="20"/>
          <w:szCs w:val="20"/>
        </w:rPr>
        <w:t xml:space="preserve">Motion to Terminate Debate:</w:t>
      </w:r>
      <w:r>
        <w:rPr>
          <w:rFonts w:ascii="Arial" w:cs="Arial" w:eastAsia="Arial" w:hAnsi="Arial"/>
          <w:sz w:val="20"/>
          <w:szCs w:val="20"/>
        </w:rPr>
        <w:t xml:space="preserve"> A procedural vote to end discussion and move to a vote. Requires a two-thirds majority.</w:t>
      </w:r>
    </w:p>
    <w:p>
      <w:pPr>
        <w:spacing w:after="60"/>
        <w:ind w:left="360"/>
      </w:pPr>
      <w:r>
        <w:rPr>
          <w:rFonts w:ascii="Arial" w:cs="Arial" w:eastAsia="Arial" w:hAnsi="Arial"/>
          <w:b/>
          <w:bCs/>
          <w:sz w:val="20"/>
          <w:szCs w:val="20"/>
        </w:rPr>
        <w:t xml:space="preserve">Motion to Refer:</w:t>
      </w:r>
      <w:r>
        <w:rPr>
          <w:rFonts w:ascii="Arial" w:cs="Arial" w:eastAsia="Arial" w:hAnsi="Arial"/>
          <w:sz w:val="20"/>
          <w:szCs w:val="20"/>
        </w:rPr>
        <w:t xml:space="preserve"> A proposal to send the article to a committee for further study instead of voting on it now.</w:t>
      </w:r>
    </w:p>
    <w:p>
      <w:pPr>
        <w:spacing w:after="60"/>
        <w:ind w:left="360"/>
      </w:pPr>
      <w:r>
        <w:rPr>
          <w:rFonts w:ascii="Arial" w:cs="Arial" w:eastAsia="Arial" w:hAnsi="Arial"/>
          <w:b/>
          <w:bCs/>
          <w:sz w:val="20"/>
          <w:szCs w:val="20"/>
        </w:rPr>
        <w:t xml:space="preserve">Motion to Defer:</w:t>
      </w:r>
      <w:r>
        <w:rPr>
          <w:rFonts w:ascii="Arial" w:cs="Arial" w:eastAsia="Arial" w:hAnsi="Arial"/>
          <w:sz w:val="20"/>
          <w:szCs w:val="20"/>
        </w:rPr>
        <w:t xml:space="preserve"> A vote to postpone an article to a later night of the meeting.</w:t>
      </w:r>
    </w:p>
    <w:p>
      <w:pPr>
        <w:spacing w:after="60"/>
        <w:ind w:left="360"/>
      </w:pPr>
      <w:r>
        <w:rPr>
          <w:rFonts w:ascii="Arial" w:cs="Arial" w:eastAsia="Arial" w:hAnsi="Arial"/>
          <w:b/>
          <w:bCs/>
          <w:sz w:val="20"/>
          <w:szCs w:val="20"/>
        </w:rPr>
        <w:t xml:space="preserve">Amendment:</w:t>
      </w:r>
      <w:r>
        <w:rPr>
          <w:rFonts w:ascii="Arial" w:cs="Arial" w:eastAsia="Arial" w:hAnsi="Arial"/>
          <w:sz w:val="20"/>
          <w:szCs w:val="20"/>
        </w:rPr>
        <w:t xml:space="preserve"> A proposed modification to the original motion.</w:t>
      </w:r>
    </w:p>
    <w:p>
      <w:pPr>
        <w:spacing w:after="60"/>
        <w:ind w:left="360"/>
      </w:pPr>
      <w:r>
        <w:rPr>
          <w:rFonts w:ascii="Arial" w:cs="Arial" w:eastAsia="Arial" w:hAnsi="Arial"/>
          <w:b/>
          <w:bCs/>
          <w:sz w:val="20"/>
          <w:szCs w:val="20"/>
        </w:rPr>
        <w:t xml:space="preserve">Two-thirds requirement:</w:t>
      </w:r>
      <w:r>
        <w:rPr>
          <w:rFonts w:ascii="Arial" w:cs="Arial" w:eastAsia="Arial" w:hAnsi="Arial"/>
          <w:sz w:val="20"/>
          <w:szCs w:val="20"/>
        </w:rPr>
        <w:t xml:space="preserve"> Zoning changes and some other by-law amendments require a two-thirds supermajority. This means an article can get majority support but still fail.</w:t>
      </w:r>
    </w:p>
    <w:p>
      <w:pPr>
        <w:spacing w:after="100"/>
      </w:pPr>
    </w:p>
    <w:p>
      <w:pPr>
        <w:spacing w:after="200"/>
      </w:pPr>
      <w:r>
        <w:rPr>
          <w:rFonts w:ascii="Arial" w:cs="Arial" w:eastAsia="Arial" w:hAnsi="Arial"/>
          <w:b/>
          <w:bCs/>
          <w:sz w:val="20"/>
          <w:szCs w:val="20"/>
        </w:rPr>
        <w:t xml:space="preserve">About Board Recommendations: </w:t>
      </w:r>
      <w:r>
        <w:rPr>
          <w:rFonts w:ascii="Arial" w:cs="Arial" w:eastAsia="Arial" w:hAnsi="Arial"/>
          <w:sz w:val="20"/>
          <w:szCs w:val="20"/>
        </w:rPr>
        <w:t xml:space="preserve">Before Town Meeting votes, the Select Board (Brookline’s elected executive board) and the Advisory Committee (an appointed citizen finance committee) each review every article and publish recommendations. These recommendations, along with their vote tallies, are included below where available from the Combined Reports.</w:t>
      </w:r>
    </w:p>
    <w:p>
      <w:pPr>
        <w:spacing w:after="300"/>
      </w:pPr>
    </w:p>
    <w:p>
      <w:pPr>
        <w:pBdr>
          <w:bottom w:val="single" w:color="4472C4" w:sz="6" w:space="1"/>
        </w:pBdr>
        <w:spacing w:after="300"/>
      </w:pPr>
    </w:p>
    <w:p>
      <w:pPr>
        <w:spacing w:after="120" w:before="200"/>
      </w:pPr>
      <w:r>
        <w:rPr>
          <w:rFonts w:ascii="Arial" w:cs="Arial" w:eastAsia="Arial" w:hAnsi="Arial"/>
          <w:b/>
          <w:bCs/>
          <w:color w:val="1F3864"/>
          <w:sz w:val="26"/>
          <w:szCs w:val="26"/>
        </w:rPr>
        <w:t xml:space="preserve">Procedural — Motion to Hold Virtual Town Meeting</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Hold Virtual Town Meeting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Town Moderator Kate Poverman requested authorization to hold the meeting remotely via Zoom, citing the ongoing COVID-19 pandemic. This was now routine — Brookline had been meeting virtually since 2020. The motion passed unanimously.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4 — Delegating Select Board Licensing Authority</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(5–0).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home rule petition asked the state legislature to allow Brookline to delegate more of the Select Board’s licensing authority by General By-Law. Under existing state law (from 1985), the Select Board had to personally handle certain licenses — for liquor, restaurants, lodging houses, parking, theaters, and more — even though many of these are routine. This change would let the Town shift some of that workload to the Town Administrator or other staff, freeing up Select Board meeting time for policy matters. It passed 202–9.</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5 — Access Easement at 60–64 Harvard Street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straightforward article authorized the Select Board to grant an access easement to the owner of 60–64 Harvard Street (near Pierce Street and the Public Health Department building). The previous access route to that property’s parking lot needed to be relocated, and this easement formalized the new arrangement. It passed unanimously.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6 — Sidewalk and Street Obstruction Removal</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updated Brookline’s by-law on sidewalk and street obstructions. The most notable change was giving the Commissioner of Public Works clear authority to require property owners and managers to trim back overgrown vegetation that blocks sidewalks. Previously, the by-law only addressed physical objects like boxes and lumber. The update established a 21-day compliance period for vegetative obstructions and a fine schedule ($100 for the first offense, escalating from there). It passed near-unanimously.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Procedural — Motion to Defer Second Special Town Meeting (STM2)</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Defer STM2 to November 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The November 2021 meeting actually contained two concurrent Special Town Meetings. This procedural vote deferred the Second Special Town Meeting (STM2, which dealt with budget amendments) to Night 2 so that the main meeting could continue.</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Articles 7, 8 &amp; 9 — Marijuana Retailer Regulations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on Article 7 (equity licenses). Advisory Committee: mixed recommendations across the three articles.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7–9 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7 Motion to Refer to Committee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8 Main Motion (round down retailer cap)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9 Motion to Refer to Committee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These three articles addressed different facets of Brookline’s recreational marijuana policy. Article 7 would have added two equity-focused retail cannabis licenses (reserved for Disadvantaged Business Enterprises, Social Equity, or Economic Empowerment applicants). Article 8 proposed changing how the retailer cap is calculated by rounding down instead of up. Article 9 was a resolution to create a study committee on the impact of recreational marijuana on youth and public health.</w:t>
      </w:r>
    </w:p>
    <w:p>
      <w:pPr>
        <w:spacing w:after="300"/>
      </w:pPr>
      <w:r>
        <w:rPr>
          <w:rFonts w:ascii="Arial" w:cs="Arial" w:eastAsia="Arial" w:hAnsi="Arial"/>
          <w:sz w:val="21"/>
          <w:szCs w:val="21"/>
        </w:rPr>
        <w:t xml:space="preserve">All three proved contentious. After joint debate, Article 7 was referred to a committee for further study (157–69). Article 8 was defeated outright (106–116) — Town Meeting did not want to reduce the number of allowed retailers. Article 9 was also referred to the Advisory Council on Public Health (153–73). Marijuana regulation continued to be one of the most divisive topics in Brookline Town Meeting.</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11 — Exemption from In-Person Quorum Requirements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Under Massachusetts Open Meeting Law, a quorum of a public body (including the chair) must be physically present at a meeting location. This home rule petition asked the state legislature to exempt Brookline from that requirement, allowing Town boards and committees to meet entirely remotely when appropriate. This was driven by the pandemic experience, which showed that remote meetings could increase public participation and accessibility. It passed 220–4.</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12 — Hybrid Meeting Equipment for All Public Bodies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 with amendment (the amendment failed at Town Meeting).</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Advisory Committee Amendment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Complementing Article 11, this resolution called on the Select Board to equip all municipal conference and hearing rooms with audiovisual equipment so that every Town board, committee, and commission could offer hybrid (in-person and remote) meeting access by November 2022. Proponents argued that remote access had dramatically improved civic participation during the pandemic, particularly for people with disabilities, parents with young children, and residents with demanding work schedules. The Advisory Committee proposed an amendment (which failed), and the original resolution passed 217–5.</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13 — Roll-Call Votes for Town Meeting Committees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Building on the transparency measures passed at the May 2021 meeting (which required roll-call votes in Combined Reports), this article extended the roll-call requirement to committees established by Town Meeting, the Committee on Town Organization and Structure (CTOS), and all elected/appointed public bodies under Article 3 of the General By-Laws. The goal was consistent: let the public see how individual members vote on every substantive matter. It passed 211–3.</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STM2 Article 1 — FY2022 Budget Amendment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 with amendment.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Advisory Committee Amendment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 (as amended)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The Second Special Town Meeting had just one article: the mid-year budget adjustment for FY2022. This is standard practice — each fall, Town Meeting revisits the budget adopted in May to account for changes in revenue, unexpected costs, new state aid figures, and other developments. The Advisory Committee offered an amendment (passed 195–25) before the final budget adjustment was approved 210–9. The first attempt to end debate failed because it didn’t reach the required two-thirds threshold.</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10 — Hybrid Town Meeting (Home Rule Petition)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(5–0).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Defer to Night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Second Motion to Defer (to Night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Warren Amendment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Selwyn Amendment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was the most debated article of the meeting, deferred twice and consuming significant time on Night 3. The proposal was a home rule petition asking the state legislature to authorize Brookline to hold “hybrid” Town Meetings — where members could choose to attend either in person or via Zoom. The detailed legislation specified that remote and in-person participants would have equal rights to speak, make motions, and vote.</w:t>
      </w:r>
    </w:p>
    <w:p>
      <w:pPr>
        <w:spacing w:after="300"/>
      </w:pPr>
      <w:r>
        <w:rPr>
          <w:rFonts w:ascii="Arial" w:cs="Arial" w:eastAsia="Arial" w:hAnsi="Arial"/>
          <w:sz w:val="21"/>
          <w:szCs w:val="21"/>
        </w:rPr>
        <w:t xml:space="preserve">Two failed attempts to end debate underscore how much members wanted to discuss this. Two amendments were defeated: the Warren Amendment (64–162) and the Selwyn Amendment (35–192), both of which proposed modifications to the hybrid framework. The main motion ultimately passed with strong support (223–10). The petition was sent to the state legislature, where it required approval before Brookline could actually hold hybrid meetings.</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15 — Language Access Services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(5–0).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created a new section in the Town’s General By-Laws requiring the Town to provide language access services — translation and interpretation — for residents with limited English proficiency. Brookline has a significant population of residents whose primary language is not English (including Chinese, Russian, Japanese, Korean, and Spanish speakers). The by-law ensured these residents could meaningfully access Town services, attend public meetings, and understand important Town communications. It passed near-unanimously (218–2).</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17 — Town-Wide Composting Program</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called on the Town to develop and implement a town-wide composting program. Composting diverts food scraps and yard waste from landfills (where they produce methane, a potent greenhouse gas) and turns them into useful soil amendments. The resolution encouraged the Town to explore curbside composting pickup, community composting sites, and educational outreach. It passed 211–3.</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18 — Low-Carbon Concrete</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encouraged the Town to use low-carbon concrete products and recycle old concrete whenever possible in municipal construction projects. Concrete production is one of the largest industrial sources of carbon emissions globally. By specifying low-carbon alternatives and recycling demolished concrete, the Town could reduce the environmental footprint of its building and infrastructure projects. It passed unanimously.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19 — Nuisance Control (Loud and Unruly Gatherings)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recommendation. Advisory Committee: No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would have amended Article 8.29 of the General By-Laws to impose liability on property owners and managers for loud, unruly, or disruptive gatherings at their properties. It was targeted at recurring noise and disturbance issues in residential neighborhoods, particularly from large parties. However, concerns were raised about potential overreach, enforcement difficulties, and impacts on renters. The article was defeated 91–122.</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20 — Olmsted-Richardson Local Historic District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(5–0). Advisory Committee: Favorable Action. Preservation Commission: Favorable (unanimous).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article established the Olmsted-Richardson Thematic Local Historic District, protecting properties associated with two of America’s most important architects and landscape designers. The district includes: the home of H.H. Richardson (the renowned architect who designed Boston’s Trinity Church) at 25 Cottage Street; the homes of John Charles Olmsted (nephew and successor to Frederick Law Olmsted) at 222 Warren Street and 16 Warren Street; Fairsted, Frederick Law Olmsted’s own home and office (now a National Historic Site); and the Richardson family gravesite at Walnut Hills Cemetery.</w:t>
      </w:r>
    </w:p>
    <w:p>
      <w:pPr>
        <w:spacing w:after="300"/>
      </w:pPr>
      <w:r>
        <w:rPr>
          <w:rFonts w:ascii="Arial" w:cs="Arial" w:eastAsia="Arial" w:hAnsi="Arial"/>
          <w:sz w:val="21"/>
          <w:szCs w:val="21"/>
        </w:rPr>
        <w:t xml:space="preserve">The district was created because the Richardson home at 25 Cottage Street faced potential demolition — without historic district protection, the current owner could legally raze it. The Preservation Commission would now review exterior changes to these properties. The article required a two-thirds vote as a by-law amendment and passed comfortably (197–29). Historic New England and preservation organizations nationwide had rallied support.</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28 — Ban on Sale of New Fur Products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created a new section of the General By-Laws regulating the trade in fur products in Brookline. It made it illegal to sell new fur products (clothing and accessories made from animal fur) within the Town, with exemptions for used/consignment fur, leather, sheepskin, and fur used for religious or cultural purposes. Brookline was among the first municipalities in Massachusetts to pass such a ban. Supporters cited animal welfare concerns about the fur industry. It passed 170–34, though with a notable number of abstentions (19).</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21 — Amend Section 4.07 of the Zoning By-Laws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technical zoning amendment updated Section 4.07 (the Table of Use Regulations) as recommended by the Planning and Community Development Department. It passed unanimously.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22 — Firearm Business Siting Restrictions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zoning amendment added a new Section 4.14 establishing specific rules for where firearm businesses (gun shops, shooting ranges, etc.) could locate in Brookline. The by-law set buffer zones around schools, houses of worship, parks, and other sensitive locations. While no gun shops currently operated in Brookline, proponents wanted preemptive regulations in place. The article required a two-thirds vote as a zoning change and passed overwhelmingly (214–1).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23 — Reducing Off-Street Residential Parking Requirements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 with amendment.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Advisory Committee Amendment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article proposed reducing the number of off-street parking spaces that developers are required to build for new residential construction. Proponents argued that high parking requirements increase the cost of housing, encourage car dependency, and are out of step with a transit-rich community like Brookline. Opponents were concerned about increased street parking pressure in already-congested neighborhoods.</w:t>
      </w:r>
    </w:p>
    <w:p>
      <w:pPr>
        <w:spacing w:after="300"/>
      </w:pPr>
      <w:r>
        <w:rPr>
          <w:rFonts w:ascii="Arial" w:cs="Arial" w:eastAsia="Arial" w:hAnsi="Arial"/>
          <w:sz w:val="21"/>
          <w:szCs w:val="21"/>
        </w:rPr>
        <w:t xml:space="preserve">The Advisory Committee’s amendment was defeated (107–116). The main motion then also failed (127–94) — despite receiving a majority of votes, zoning changes require a two-thirds supermajority under Massachusetts law. This was a case where a clear majority favored the change but could not reach the higher threshold needed.</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25 — EV-Ready Parking Space Requirements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Referred to committee.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 to Committee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would have increased the requirements for electric vehicle (EV) ready parking spaces in new construction. Rather than voting on the substance, Town Meeting overwhelmingly voted to refer it to a committee (217–5) for further study, suggesting members wanted the details refined before committing to specific requirements.</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27 — Requiring Fiscal Impact Statements for Warrant Articles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Favorable Action. Advisory Committee: No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would have required all warrant article submissions to include a fiscal impact statement — an estimate of what the proposal would cost the Town. Both the Select Board and Advisory Committee opposed it, and it was defeated 81–132. Opponents argued it would create an unreasonable burden on citizen petitioners and could deter residents from participating in Town Meeting.</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29 — Public Hearings for Election-Related Changes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the General By-Laws to require public hearings before the Town could make changes to polling locations, early voting sites, and other election-related matters. The goal was to ensure residents have notice and a voice before any changes that could affect their ability to vote. It passed 213–2.</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26 — Transform Planning and Zoning in the Age of COVID</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called on the Town to rethink its planning and zoning approach in light of changes brought by the COVID-19 pandemic — including the shift to remote work, increased demand for outdoor public spaces, evolving commercial needs, and the importance of walkable, mixed-use neighborhoods. It encouraged the Planning Department and Zoning Board to consider how zoning could be modernized to reflect these new realities. It passed 219–2.</w:t>
      </w:r>
    </w:p>
    <w:p>
      <w:pPr>
        <w:pBdr>
          <w:bottom w:val="single" w:color="CCCCCC" w:sz="1" w:space="1"/>
        </w:pBdr>
        <w:spacing w:after="200"/>
      </w:pPr>
    </w:p>
    <w:p>
      <w:pPr>
        <w:spacing w:before="300"/>
      </w:pPr>
      <w:r>
        <w:rPr>
          <w:rFonts w:ascii="Arial" w:cs="Arial" w:eastAsia="Arial" w:hAnsi="Arial"/>
          <w:i/>
          <w:iCs/>
          <w:color w:val="888888"/>
          <w:sz w:val="18"/>
          <w:szCs w:val="18"/>
        </w:rPr>
        <w:t xml:space="preserve">Source: Town of Brookline, MA — November 2021 Special Town Meeting Warrant, Combined Reports, and Electronic Voting Records. Board recommendation votes sourced from the Combined Reports and Supplements. Summaries prepared for general informational purposes.</w:t>
      </w:r>
    </w:p>
    <w:p>
      <w:pPr>
        <w:spacing w:before="200"/>
      </w:pPr>
      <w:r>
        <w:rPr>
          <w:rFonts w:ascii="Arial" w:cs="Arial" w:eastAsia="Arial" w:hAnsi="Arial"/>
          <w:i/>
          <w:iCs/>
          <w:color w:val="888888"/>
          <w:sz w:val="18"/>
          <w:szCs w:val="18"/>
        </w:rPr>
        <w:t xml:space="preserve">Note: Two votes in the original data appear to contain recording errors (the Warren Amendment on Article 10 and the Advisory Committee Amendment on Article 23 were listed as “Approved” but received more “No” than “Yes” votes). These have been corrected to “Failed” in this document based on the vote tallies.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2026-02-26T12:52:36.413Z</dcterms:created>
  <dcterms:modified xsi:type="dcterms:W3CDTF">2026-02-26T12:52:36.414Z</dcterms:modified>
</cp:coreProperties>
</file>

<file path=docProps/custom.xml><?xml version="1.0" encoding="utf-8"?>
<Properties xmlns="http://schemas.openxmlformats.org/officeDocument/2006/custom-properties" xmlns:vt="http://schemas.openxmlformats.org/officeDocument/2006/docPropsVTypes"/>
</file>