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Brookline Town Meeting Vote Summaries</w:t>
      </w:r>
    </w:p>
    <w:p>
      <w:pPr>
        <w:spacing w:after="120"/>
        <w:jc w:val="center"/>
      </w:pPr>
      <w:r>
        <w:rPr>
          <w:rFonts w:ascii="Arial" w:cs="Arial" w:eastAsia="Arial" w:hAnsi="Arial"/>
          <w:color w:val="4472C4"/>
          <w:sz w:val="26"/>
          <w:szCs w:val="26"/>
        </w:rPr>
        <w:t xml:space="preserve">May 2022 Annual Town Meeting</w:t>
      </w:r>
    </w:p>
    <w:p>
      <w:pPr>
        <w:spacing w:after="400"/>
        <w:jc w:val="center"/>
      </w:pPr>
      <w:r>
        <w:rPr>
          <w:rFonts w:ascii="Arial" w:cs="Arial" w:eastAsia="Arial" w:hAnsi="Arial"/>
          <w:i/>
          <w:iCs/>
          <w:color w:val="666666"/>
          <w:sz w:val="20"/>
          <w:szCs w:val="20"/>
        </w:rPr>
        <w:t xml:space="preserve">Held virtually via Zoom over six nights: May 24–25, May 31, June 1, June 7–8, 2022</w:t>
      </w:r>
    </w:p>
    <w:p>
      <w:pPr>
        <w:spacing w:after="200"/>
      </w:pPr>
      <w:r>
        <w:rPr>
          <w:rFonts w:ascii="Arial" w:cs="Arial" w:eastAsia="Arial" w:hAnsi="Arial"/>
          <w:sz w:val="22"/>
          <w:szCs w:val="22"/>
        </w:rPr>
        <w:t xml:space="preserve">This document provides plain-language summaries of all recorded votes from the May 2022 Annual Town Meeting. These 57 votes covered 25 distinct articles across six nights. The meeting was held virtually via Zoom — Brookline’s fourth consecutive virtual Town Meeting due to the COVID-19 pandemic. Town Moderator Kate Poverman presided.</w:t>
      </w:r>
    </w:p>
    <w:p>
      <w:pPr>
        <w:spacing w:after="100"/>
      </w:pPr>
      <w:r>
        <w:rPr>
          <w:rFonts w:ascii="Arial" w:cs="Arial" w:eastAsia="Arial" w:hAnsi="Arial"/>
          <w:b/>
          <w:bCs/>
          <w:sz w:val="22"/>
          <w:szCs w:val="22"/>
        </w:rPr>
        <w:t xml:space="preserve">A quick guide to vote types:</w:t>
      </w:r>
    </w:p>
    <w:p>
      <w:pPr>
        <w:spacing w:after="60"/>
        <w:ind w:left="360"/>
      </w:pPr>
      <w:r>
        <w:rPr>
          <w:rFonts w:ascii="Arial" w:cs="Arial" w:eastAsia="Arial" w:hAnsi="Arial"/>
          <w:b/>
          <w:bCs/>
          <w:sz w:val="20"/>
          <w:szCs w:val="20"/>
        </w:rPr>
        <w:t xml:space="preserve">Main Motion:</w:t>
      </w:r>
      <w:r>
        <w:rPr>
          <w:rFonts w:ascii="Arial" w:cs="Arial" w:eastAsia="Arial" w:hAnsi="Arial"/>
          <w:sz w:val="20"/>
          <w:szCs w:val="20"/>
        </w:rPr>
        <w:t xml:space="preserve"> The actual vote on the article itself — this is the one that matters most.</w:t>
      </w:r>
    </w:p>
    <w:p>
      <w:pPr>
        <w:spacing w:after="60"/>
        <w:ind w:left="360"/>
      </w:pPr>
      <w:r>
        <w:rPr>
          <w:rFonts w:ascii="Arial" w:cs="Arial" w:eastAsia="Arial" w:hAnsi="Arial"/>
          <w:b/>
          <w:bCs/>
          <w:sz w:val="20"/>
          <w:szCs w:val="20"/>
        </w:rPr>
        <w:t xml:space="preserve">Motion to Terminate Debate:</w:t>
      </w:r>
      <w:r>
        <w:rPr>
          <w:rFonts w:ascii="Arial" w:cs="Arial" w:eastAsia="Arial" w:hAnsi="Arial"/>
          <w:sz w:val="20"/>
          <w:szCs w:val="20"/>
        </w:rPr>
        <w:t xml:space="preserve"> A procedural vote to end discussion and move to a vote. Requires a two-thirds majority.</w:t>
      </w:r>
    </w:p>
    <w:p>
      <w:pPr>
        <w:spacing w:after="60"/>
        <w:ind w:left="360"/>
      </w:pPr>
      <w:r>
        <w:rPr>
          <w:rFonts w:ascii="Arial" w:cs="Arial" w:eastAsia="Arial" w:hAnsi="Arial"/>
          <w:b/>
          <w:bCs/>
          <w:sz w:val="20"/>
          <w:szCs w:val="20"/>
        </w:rPr>
        <w:t xml:space="preserve">Motion to Refer:</w:t>
      </w:r>
      <w:r>
        <w:rPr>
          <w:rFonts w:ascii="Arial" w:cs="Arial" w:eastAsia="Arial" w:hAnsi="Arial"/>
          <w:sz w:val="20"/>
          <w:szCs w:val="20"/>
        </w:rPr>
        <w:t xml:space="preserve"> A proposal to send the article to a committee for further study instead of voting on it now.</w:t>
      </w:r>
    </w:p>
    <w:p>
      <w:pPr>
        <w:spacing w:after="60"/>
        <w:ind w:left="360"/>
      </w:pPr>
      <w:r>
        <w:rPr>
          <w:rFonts w:ascii="Arial" w:cs="Arial" w:eastAsia="Arial" w:hAnsi="Arial"/>
          <w:b/>
          <w:bCs/>
          <w:sz w:val="20"/>
          <w:szCs w:val="20"/>
        </w:rPr>
        <w:t xml:space="preserve">Bond Vote:</w:t>
      </w:r>
      <w:r>
        <w:rPr>
          <w:rFonts w:ascii="Arial" w:cs="Arial" w:eastAsia="Arial" w:hAnsi="Arial"/>
          <w:sz w:val="20"/>
          <w:szCs w:val="20"/>
        </w:rPr>
        <w:t xml:space="preserve"> A separate roll-call vote required by state law when borrowing money for a capital project.</w:t>
      </w:r>
    </w:p>
    <w:p>
      <w:pPr>
        <w:spacing w:after="60"/>
        <w:ind w:left="360"/>
      </w:pPr>
      <w:r>
        <w:rPr>
          <w:rFonts w:ascii="Arial" w:cs="Arial" w:eastAsia="Arial" w:hAnsi="Arial"/>
          <w:b/>
          <w:bCs/>
          <w:sz w:val="20"/>
          <w:szCs w:val="20"/>
        </w:rPr>
        <w:t xml:space="preserve">Amendment:</w:t>
      </w:r>
      <w:r>
        <w:rPr>
          <w:rFonts w:ascii="Arial" w:cs="Arial" w:eastAsia="Arial" w:hAnsi="Arial"/>
          <w:sz w:val="20"/>
          <w:szCs w:val="20"/>
        </w:rPr>
        <w:t xml:space="preserve"> A proposed modification to the original motion.</w:t>
      </w:r>
    </w:p>
    <w:p>
      <w:pPr>
        <w:spacing w:after="60"/>
        <w:ind w:left="360"/>
      </w:pPr>
      <w:r>
        <w:rPr>
          <w:rFonts w:ascii="Arial" w:cs="Arial" w:eastAsia="Arial" w:hAnsi="Arial"/>
          <w:b/>
          <w:bCs/>
          <w:sz w:val="20"/>
          <w:szCs w:val="20"/>
        </w:rPr>
        <w:t xml:space="preserve">Two-thirds requirement:</w:t>
      </w:r>
      <w:r>
        <w:rPr>
          <w:rFonts w:ascii="Arial" w:cs="Arial" w:eastAsia="Arial" w:hAnsi="Arial"/>
          <w:sz w:val="20"/>
          <w:szCs w:val="20"/>
        </w:rPr>
        <w:t xml:space="preserve"> Zoning changes and some other by-law amendments require a two-thirds supermajority. An article can get majority support but still fail if it doesn’t reach this threshold.</w:t>
      </w:r>
    </w:p>
    <w:p>
      <w:pPr>
        <w:spacing w:after="100"/>
      </w:pPr>
    </w:p>
    <w:p>
      <w:pPr>
        <w:spacing w:after="200"/>
      </w:pPr>
      <w:r>
        <w:rPr>
          <w:rFonts w:ascii="Arial" w:cs="Arial" w:eastAsia="Arial" w:hAnsi="Arial"/>
          <w:b/>
          <w:bCs/>
          <w:sz w:val="20"/>
          <w:szCs w:val="20"/>
        </w:rPr>
        <w:t xml:space="preserve">About Board Recommendations: </w:t>
      </w:r>
      <w:r>
        <w:rPr>
          <w:rFonts w:ascii="Arial" w:cs="Arial" w:eastAsia="Arial" w:hAnsi="Arial"/>
          <w:sz w:val="20"/>
          <w:szCs w:val="20"/>
        </w:rPr>
        <w:t xml:space="preserve">Before Town Meeting votes, the Select Board (Brookline’s elected executive board) and the Advisory Committee (an appointed citizen finance committee) each review every article and publish recommendations. These recommendations, along with their vote tallies, are included below where available from the Combined Reports.</w:t>
      </w:r>
    </w:p>
    <w:p>
      <w:pPr>
        <w:spacing w:after="300"/>
      </w:pPr>
    </w:p>
    <w:p>
      <w:pPr>
        <w:pBdr>
          <w:bottom w:val="single" w:color="4472C4" w:sz="6" w:space="1"/>
        </w:pBdr>
        <w:spacing w:after="300"/>
      </w:pPr>
    </w:p>
    <w:p>
      <w:pPr>
        <w:spacing w:after="120" w:before="200"/>
      </w:pPr>
      <w:r>
        <w:rPr>
          <w:rFonts w:ascii="Arial" w:cs="Arial" w:eastAsia="Arial" w:hAnsi="Arial"/>
          <w:b/>
          <w:bCs/>
          <w:color w:val="1F3864"/>
          <w:sz w:val="26"/>
          <w:szCs w:val="26"/>
        </w:rPr>
        <w:t xml:space="preserve">Article 1 — Appointment of Measurers of Wood and Bark</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(5–0).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The traditional ceremonial opening of every Annual Town Meeting. Massachusetts law requires the appointment of officials to ensure cords of firewood are properly measured — a role that has been purely symbolic for well over a century.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 — Approval of Collective Bargaining Agreements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approved funding for collective bargaining agreements between the Town and its employee unions. Unlike many years when no contracts are pending, the May 2022 meeting had agreements ready for approval. Town Meeting must authorize funding for any negotiated labor contracts.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 — Compensating Balance Agreements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(5–0).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The annual authorization for the Town Treasurer to enter into compensating balance agreements with banks — arrangements where the Town keeps minimum balances in exchange for reduced banking fees. A routine housekeeping item that passes every year.</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6 — Increased Property Tax Exemptions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(5–0).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The annual vote to double state-mandated property tax exemptions for veterans, elderly, blind, and surviving spouse residents. This reduces property tax bills for these qualifying groups. Brookline has approved this increase every year since 1989.</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7 — Easements at 19–21 Brington Road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authorized the acceptance and granting of easements in the area of 19–21 Brington Road. These types of easement votes are routine municipal housekeeping, allowing the Town to formalize access arrangements needed for infrastructure or development. It passed unanimously.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8 — FY2023 Annual Budget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 with amendments.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Vogt Amendment (Item 44) —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Vogt Amendment (Item 44)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Fire Engine Replacement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Traffic Signal Upgrades ($1.35M)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Stormwater Improvements ($600K)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Water System Improvements ($2M)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Wastewater Improvements ($3M)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251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Underground Fuel Tank Replacement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Hsieh Amendment (Item 62) —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Hsieh Amendment (Item 62, re: Skyline turf)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Skyline Park Synthetic Turf ($3.21M)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Willow Pond Restoration ($2.8M)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Bond: Roof Repairs ($650K)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(Full FY23 Budget)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The annual budget was the centerpiece of the meeting, consuming parts of three nights. The FY2023 budget funded all Town operations including schools, public safety, public works, libraries, and parks. Several capital items required individual bond votes.</w:t>
      </w:r>
    </w:p>
    <w:p>
      <w:pPr>
        <w:spacing w:after="300"/>
      </w:pPr>
      <w:r>
        <w:rPr>
          <w:rFonts w:ascii="Arial" w:cs="Arial" w:eastAsia="Arial" w:hAnsi="Arial"/>
          <w:sz w:val="21"/>
          <w:szCs w:val="21"/>
        </w:rPr>
        <w:t xml:space="preserve">The Vogt Amendment to Item 44 passed narrowly (134–106) — one of the more contested budget line items. The Hsieh Amendment, which sought to modify the Skyline Park synthetic turf replacement funding, was overwhelmingly defeated (23–216). The individual bond votes funded a new fire engine, traffic signal upgrades, stormwater and water/wastewater infrastructure, fuel tank replacement, Skyline Park turf, Willow Pond environmental restoration, and building roof repairs. All passed. The full budget was adopted 228–8.</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22 — Restricting Sale of Products Containing Neonicotinoids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Advisory Committee: Referred to committee.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proposed amending the General By-Laws to restrict the sale or distribution of products containing neonicotinoids — a class of pesticides that have been linked to declining bee and pollinator populations. Rather than voting on the substance, Town Meeting overwhelmingly referred it to a committee (234–12) for further study, likely to allow time to work out details of implementation and enforcement.</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Articles 12 &amp; 13 — Revising the Discrimination Complaint Process (CDICR)</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 to Committee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These companion articles proposed revisions to Article 3.14 of the General By-Laws, which governs the Commission for Diversity, Inclusion, and Community Relations (CDICR) and the Town’s process for handling discrimination complaints. The proposed changes would have updated how complaints are filed, investigated, and resolved. After extended debate (the first motion to end discussion failed), Town Meeting voted to refer both articles to a committee (153–96) for further development rather than acting on them immediately.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Articles 23 &amp; 24 — Athletic Field Surfaces and Artificial Turf</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on Art. 23 (task force). Advisory Committee: mixed on Art. 24.</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23 Main Motion (Task Force)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24 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These two articles addressed concerns about artificial turf on Brookline’s athletic fields. Article 23 created an Athletic Field Surface Task Force to study the health, environmental, and safety implications of different field surface options (synthetic turf vs. natural grass). Article 24 proposed amending the General By-Laws to regulate the use of artificial turf surfaces.</w:t>
      </w:r>
    </w:p>
    <w:p>
      <w:pPr>
        <w:spacing w:after="300"/>
      </w:pPr>
      <w:r>
        <w:rPr>
          <w:rFonts w:ascii="Arial" w:cs="Arial" w:eastAsia="Arial" w:hAnsi="Arial"/>
          <w:sz w:val="21"/>
          <w:szCs w:val="21"/>
        </w:rPr>
        <w:t xml:space="preserve">Article 23 (the study committee) passed 209–33. Article 24 (the by-law change) was referred to a committee (149–94), as members wanted the task force’s findings before legislating. This debate came in the context of the $3.21 million Skyline Park turf replacement already approved in the budget.</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9 — Living Wage Calculation Adjustment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Brookline has a Living Wage By-Law (Article 4.8 of the General By-Laws) that sets minimum compensation for Town employees and contractors. This article adjusted how the living wage is calculated, updating the formula to better reflect current costs of living. It passed near-unanimously.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10 — Comprehensive Plan Funding</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(5–0).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transferred funds to support developing Brookline’s first Comprehensive Plan — a long-range planning document that would guide the Town’s approach to land use, housing, transportation, open space, economic development, and sustainability for the next 10–20 years. Many Massachusetts communities have comprehensive plans, but Brookline had never adopted one. The funding would support hiring consultants, conducting community engagement, and producing the plan. It passed near-unanimously (246–2).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11 — Retiree Cost of Living Adjustment (COLA) Increase</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increased the base amount used to calculate the annual Cost of Living Adjustment (COLA) for Town retirees from $12,000 to $13,000 per year, as authorized under Massachusetts General Laws Chapter 32. The COLA helps retired Town employees keep up with inflation. While it passed 186–40, it drew more opposition and abstentions than most articles, likely reflecting concerns about long-term pension costs.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14 — Conditions for Approval of Special Permits (Zoning)</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technical zoning amendment updated Section 9.05 of the Zoning By-Laws, which governs the conditions under which the Zoning Board of Appeals can approve special permits. These permits allow exceptions to standard zoning rules for specific projects. The update refined the criteria to provide clearer guidance. It passed 235–1.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Articles 28 &amp; 29 — Expanding Local Voting Rights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Favorable Action on Art. 28 (16/17-year-olds). Favorable Action on Art. 29 (noncitizen voting). Advisory Committee: No Favorable Action on Art. 28; Favorable Action on Art. 29.</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28 &amp; 29 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28 Substitute Motion (16/17-year-olds)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28 Main Motion (16/17-year-olds)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29 Substitute Motion (noncitizen voting)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Art. 29 Main Motion (noncitizen voting, Night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These two bold proposals sought to expand who can vote in Brookline’s local elections. Article 28 would have allowed 16- and 17-year-olds to vote in Town elections (a similar proposal had passed Town Meeting in 2019 but never received state legislative approval). Article 29 would have extended local voting rights to permanent legal residents who are not U.S. citizens.</w:t>
      </w:r>
    </w:p>
    <w:p>
      <w:pPr>
        <w:spacing w:after="300"/>
      </w:pPr>
      <w:r>
        <w:rPr>
          <w:rFonts w:ascii="Arial" w:cs="Arial" w:eastAsia="Arial" w:hAnsi="Arial"/>
          <w:sz w:val="21"/>
          <w:szCs w:val="21"/>
        </w:rPr>
        <w:t xml:space="preserve">Both were debated together. Article 28 (youth voting) failed on both a substitute motion and the main motion — a reversal from 2019 when a similar measure had passed. Article 29 (noncitizen voting) had a more complex journey: the substitute motion failed by a single vote (111–112) on Night 5, and the main motion was then reconsidered on Night 6, where it passed 145–83. Both articles, as home rule petitions, would have required state legislative approval to take effect.</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16 — Ground Floor Commercial Space in Business Districts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zoning amendment set a minimum depth requirement for ground-floor commercial (non-residential) space in multifamily buildings located in Local Business (L) and General Business (G) zoning districts. The goal was to prevent developers from creating token, unusably shallow storefronts to satisfy commercial requirements while maximizing residential space above. This helps keep Brookline’s commercial districts vibrant. It passed 224–7.</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17 — Electric Vehicle-Ready Parking Spaces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 which had been referred to committee at the November 2021 meeting — returned with refined requirements for EV-ready parking spaces in new construction. The updated zoning now requires a higher percentage of parking spaces in new developments to be pre-wired for electric vehicle charging. As EV adoption accelerates, this ensures new buildings are ready. It passed 231–2.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18 — Bicycle Parking and Design Regulations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zoning amendment updated Articles 2 and 6 of the Zoning By-Laws to strengthen bicycle parking requirements and design standards for new development. It increased the number of required bike parking spaces, set standards for secure indoor bike storage, and required shower facilities in larger commercial buildings. The goal was to make cycling a more practical transportation option. It passed 229–1.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25 — Ban on Single-Use Plastics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 to Committee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the General By-Laws to ban or restrict various single-use plastic items in Brookline, building on the Town’s existing plastic bag ban. The new restrictions targeted items like plastic straws, stirrers, polystyrene foam containers, and other disposable plastics that are difficult or impossible to recycle. A motion to refer it to a committee failed (62–174), indicating members were ready to act. The ban passed 214–18.</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29 — Noncitizen Voting Rights (Reconsidered, Night 6)</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See Articles 28 &amp; 29 above.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(reconsidered)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After the substitute motion for Article 29 failed by just one vote on Night 5, the article was reconsidered on Night 6. This time, the main motion — a home rule petition to allow permanent legal residents who are not U.S. citizens to vote in Brookline’s local elections — passed 145–83. Like all home rule petitions, this required state legislative approval before taking effect.</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34 — Transparency During Town Meeting Deliberations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recommendation.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addressed transparency practices during Town Meeting deliberations. It passed by the narrowest margin of any article in this meeting — just 117–112 — with 14 abstentions. The Advisory Committee had recommended against it, making this one of the rare cases where Town Meeting overrode the AC’s recommendation.</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26 — Park and Recreation Commission Changes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recommendation. Advisory Committee: referred.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 to Committee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proposed amending Article 3.16 of the General By-Laws pertaining to the Park and Recreation Commission. Rather than voting on the changes, Town Meeting referred it to a committee (127–113) by a relatively close margin, suggesting there was significant interest in the proposal but a desire to refine the details.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27 — Leaf Blower Restrictions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Favorable Action.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proposed amending the existing leaf blower by-law (Article 8.31) to further restrict the use of gas-powered leaf blowers in Brookline. Supporters cited noise pollution, air quality, and climate concerns. Opponents — including both the Select Board and Advisory Committee — raised concerns about impacts on landscaping businesses and property maintenance. The article was defeated 95–127.</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30 — Eliminating Parking at Kent/Station Street Senior Housing</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called for eliminating the parking requirement at the Kent/Station Street Senior Affordable Housing Development. The argument was that requiring parking spaces at a senior housing complex near public transit adds significant cost to the project, reduces the number of affordable units that can be built, and is unnecessary given the site’s walkable, transit-accessible location. It passed 190–28.</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35 — Town Meeting Member Email List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recommendation. Advisory Committee: No recommendation.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addressed how the Town Meeting Member email list is managed and used for communications among members. It passed narrowly (113–98) with a high number of abstentions, suggesting this was a matter of internal Town Meeting governance where opinions were sharply divided.</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31 — Opposition to App-Based Driver Ballot Question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expressed Brookline’s opposition to a proposed state ballot question that would have defined and regulated app-based drivers (such as Uber and Lyft drivers) as independent contractors rather than employees. The ballot question was backed by ride-hailing companies. Brookline’s Town Meeting sided with labor advocates who argued the measure would deny gig workers benefits and protections. It passed 190–11.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32 — Resolution Calling for an End to the U.S. Embargo of Cuba</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recommendation. Advisory Committee: No recommendation.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called on the U.S. government to end its economic embargo of Cuba. Brookline Town Meeting occasionally takes positions on national and international issues through non-binding resolutions. While it passed 148–17, the 44 abstentions were the highest of any vote in the meeting, reflecting the view held by some members that Town Meeting should focus on local matters rather than foreign policy.</w:t>
      </w:r>
    </w:p>
    <w:p>
      <w:pPr>
        <w:pBdr>
          <w:bottom w:val="single" w:color="CCCCCC" w:sz="1" w:space="1"/>
        </w:pBdr>
        <w:spacing w:after="200"/>
      </w:pPr>
    </w:p>
    <w:p>
      <w:pPr>
        <w:spacing w:before="300"/>
      </w:pPr>
      <w:r>
        <w:rPr>
          <w:rFonts w:ascii="Arial" w:cs="Arial" w:eastAsia="Arial" w:hAnsi="Arial"/>
          <w:i/>
          <w:iCs/>
          <w:color w:val="888888"/>
          <w:sz w:val="18"/>
          <w:szCs w:val="18"/>
        </w:rPr>
        <w:t xml:space="preserve">Source: Town of Brookline, MA — May 2022 Annual Town Meeting Warrant, Combined Reports, and Electronic Voting Records. Board recommendation votes sourced from the Combined Reports and Supplements. Summaries prepared for general informational purposes.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2026-02-26T12:56:17.180Z</dcterms:created>
  <dcterms:modified xsi:type="dcterms:W3CDTF">2026-02-26T12:56:17.180Z</dcterms:modified>
</cp:coreProperties>
</file>

<file path=docProps/custom.xml><?xml version="1.0" encoding="utf-8"?>
<Properties xmlns="http://schemas.openxmlformats.org/officeDocument/2006/custom-properties" xmlns:vt="http://schemas.openxmlformats.org/officeDocument/2006/docPropsVTypes"/>
</file>