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Brookline Town Meeting Vote Summaries</w:t>
      </w:r>
    </w:p>
    <w:p>
      <w:pPr>
        <w:spacing w:after="120"/>
        <w:jc w:val="center"/>
      </w:pPr>
      <w:r>
        <w:rPr>
          <w:rFonts w:ascii="Arial" w:cs="Arial" w:eastAsia="Arial" w:hAnsi="Arial"/>
          <w:color w:val="4472C4"/>
          <w:sz w:val="26"/>
          <w:szCs w:val="26"/>
        </w:rPr>
        <w:t xml:space="preserve">May 2023 Annual Town Meeting</w:t>
      </w:r>
    </w:p>
    <w:p>
      <w:pPr>
        <w:spacing w:after="400"/>
        <w:jc w:val="center"/>
      </w:pPr>
      <w:r>
        <w:rPr>
          <w:rFonts w:ascii="Arial" w:cs="Arial" w:eastAsia="Arial" w:hAnsi="Arial"/>
          <w:i/>
          <w:iCs/>
          <w:color w:val="666666"/>
          <w:sz w:val="20"/>
          <w:szCs w:val="20"/>
        </w:rPr>
        <w:t xml:space="preserve">Held in person at Brookline High School Auditorium over six nights: May 23–24, May 31, June 1, 6–7, 2023</w:t>
      </w:r>
    </w:p>
    <w:p>
      <w:pPr>
        <w:spacing w:after="200"/>
      </w:pPr>
      <w:r>
        <w:rPr>
          <w:rFonts w:ascii="Arial" w:cs="Arial" w:eastAsia="Arial" w:hAnsi="Arial"/>
          <w:sz w:val="22"/>
          <w:szCs w:val="22"/>
        </w:rPr>
        <w:t xml:space="preserve">This document provides plain-language summaries of all 44 recorded votes from the May 2023 Annual Town Meeting and its concurrent Special Town Meeting. These votes covered 18 distinct articles across six nights. This was Brookline’s first in-person Town Meeting since 2019 — after four consecutive virtual meetings during the COVID-19 pandemic, members returned to the Brookline High School Auditorium. Town Moderator Kate Poverman presided.</w:t>
      </w:r>
    </w:p>
    <w:p>
      <w:pPr>
        <w:spacing w:after="200"/>
      </w:pPr>
      <w:r>
        <w:rPr>
          <w:rFonts w:ascii="Arial" w:cs="Arial" w:eastAsia="Arial" w:hAnsi="Arial"/>
          <w:sz w:val="22"/>
          <w:szCs w:val="22"/>
        </w:rPr>
        <w:t xml:space="preserve">The meeting followed a consequential May 2 Town Election in which voters approved a Proposition 2½ operating override ($11.98 million for schools and municipal services) and a debt exclusion for the new Pierce School (approximately $172 million). Town Meeting’s primary task was to adopt a FY24 budget incorporating this new revenue.</w:t>
      </w:r>
    </w:p>
    <w:p>
      <w:pPr>
        <w:spacing w:after="100"/>
      </w:pPr>
      <w:r>
        <w:rPr>
          <w:rFonts w:ascii="Arial" w:cs="Arial" w:eastAsia="Arial" w:hAnsi="Arial"/>
          <w:b/>
          <w:bCs/>
          <w:sz w:val="22"/>
          <w:szCs w:val="22"/>
        </w:rPr>
        <w:t xml:space="preserve">A quick guide to vote types:</w:t>
      </w:r>
    </w:p>
    <w:p>
      <w:pPr>
        <w:spacing w:after="60"/>
        <w:ind w:left="360"/>
      </w:pPr>
      <w:r>
        <w:rPr>
          <w:rFonts w:ascii="Arial" w:cs="Arial" w:eastAsia="Arial" w:hAnsi="Arial"/>
          <w:b/>
          <w:bCs/>
          <w:sz w:val="20"/>
          <w:szCs w:val="20"/>
        </w:rPr>
        <w:t xml:space="preserve">Main Motion:</w:t>
      </w:r>
      <w:r>
        <w:rPr>
          <w:rFonts w:ascii="Arial" w:cs="Arial" w:eastAsia="Arial" w:hAnsi="Arial"/>
          <w:sz w:val="20"/>
          <w:szCs w:val="20"/>
        </w:rPr>
        <w:t xml:space="preserve"> The actual vote on the article itself — this is the one that matters most.</w:t>
      </w:r>
    </w:p>
    <w:p>
      <w:pPr>
        <w:spacing w:after="60"/>
        <w:ind w:left="360"/>
      </w:pPr>
      <w:r>
        <w:rPr>
          <w:rFonts w:ascii="Arial" w:cs="Arial" w:eastAsia="Arial" w:hAnsi="Arial"/>
          <w:b/>
          <w:bCs/>
          <w:sz w:val="20"/>
          <w:szCs w:val="20"/>
        </w:rPr>
        <w:t xml:space="preserve">Motion to Terminate Debate:</w:t>
      </w:r>
      <w:r>
        <w:rPr>
          <w:rFonts w:ascii="Arial" w:cs="Arial" w:eastAsia="Arial" w:hAnsi="Arial"/>
          <w:sz w:val="20"/>
          <w:szCs w:val="20"/>
        </w:rPr>
        <w:t xml:space="preserve"> A procedural vote to end discussion and move to a vote. Requires a two-thirds majority.</w:t>
      </w:r>
    </w:p>
    <w:p>
      <w:pPr>
        <w:spacing w:after="60"/>
        <w:ind w:left="360"/>
      </w:pPr>
      <w:r>
        <w:rPr>
          <w:rFonts w:ascii="Arial" w:cs="Arial" w:eastAsia="Arial" w:hAnsi="Arial"/>
          <w:b/>
          <w:bCs/>
          <w:sz w:val="20"/>
          <w:szCs w:val="20"/>
        </w:rPr>
        <w:t xml:space="preserve">Motion to Refer:</w:t>
      </w:r>
      <w:r>
        <w:rPr>
          <w:rFonts w:ascii="Arial" w:cs="Arial" w:eastAsia="Arial" w:hAnsi="Arial"/>
          <w:sz w:val="20"/>
          <w:szCs w:val="20"/>
        </w:rPr>
        <w:t xml:space="preserve"> A proposal to send the article to a committee for further study instead of voting on it now.</w:t>
      </w:r>
    </w:p>
    <w:p>
      <w:pPr>
        <w:spacing w:after="60"/>
        <w:ind w:left="360"/>
      </w:pPr>
      <w:r>
        <w:rPr>
          <w:rFonts w:ascii="Arial" w:cs="Arial" w:eastAsia="Arial" w:hAnsi="Arial"/>
          <w:b/>
          <w:bCs/>
          <w:sz w:val="20"/>
          <w:szCs w:val="20"/>
        </w:rPr>
        <w:t xml:space="preserve">Motion to Rescind:</w:t>
      </w:r>
      <w:r>
        <w:rPr>
          <w:rFonts w:ascii="Arial" w:cs="Arial" w:eastAsia="Arial" w:hAnsi="Arial"/>
          <w:sz w:val="20"/>
          <w:szCs w:val="20"/>
        </w:rPr>
        <w:t xml:space="preserve"> A vote to undo a previous action, allowing it to be reconsidered or re-voted.</w:t>
      </w:r>
    </w:p>
    <w:p>
      <w:pPr>
        <w:spacing w:after="60"/>
        <w:ind w:left="360"/>
      </w:pPr>
      <w:r>
        <w:rPr>
          <w:rFonts w:ascii="Arial" w:cs="Arial" w:eastAsia="Arial" w:hAnsi="Arial"/>
          <w:b/>
          <w:bCs/>
          <w:sz w:val="20"/>
          <w:szCs w:val="20"/>
        </w:rPr>
        <w:t xml:space="preserve">Bond Vote:</w:t>
      </w:r>
      <w:r>
        <w:rPr>
          <w:rFonts w:ascii="Arial" w:cs="Arial" w:eastAsia="Arial" w:hAnsi="Arial"/>
          <w:sz w:val="20"/>
          <w:szCs w:val="20"/>
        </w:rPr>
        <w:t xml:space="preserve"> A separate roll-call vote required by state law when borrowing money for a capital project.</w:t>
      </w:r>
    </w:p>
    <w:p>
      <w:pPr>
        <w:spacing w:after="60"/>
        <w:ind w:left="360"/>
      </w:pPr>
      <w:r>
        <w:rPr>
          <w:rFonts w:ascii="Arial" w:cs="Arial" w:eastAsia="Arial" w:hAnsi="Arial"/>
          <w:b/>
          <w:bCs/>
          <w:sz w:val="20"/>
          <w:szCs w:val="20"/>
        </w:rPr>
        <w:t xml:space="preserve">Amendment / Substitute Motion:</w:t>
      </w:r>
      <w:r>
        <w:rPr>
          <w:rFonts w:ascii="Arial" w:cs="Arial" w:eastAsia="Arial" w:hAnsi="Arial"/>
          <w:sz w:val="20"/>
          <w:szCs w:val="20"/>
        </w:rPr>
        <w:t xml:space="preserve"> A proposed modification to the original motion.</w:t>
      </w:r>
    </w:p>
    <w:p>
      <w:pPr>
        <w:spacing w:after="60"/>
        <w:ind w:left="360"/>
      </w:pPr>
      <w:r>
        <w:rPr>
          <w:rFonts w:ascii="Arial" w:cs="Arial" w:eastAsia="Arial" w:hAnsi="Arial"/>
          <w:b/>
          <w:bCs/>
          <w:sz w:val="20"/>
          <w:szCs w:val="20"/>
        </w:rPr>
        <w:t xml:space="preserve">Home Rule Petition:</w:t>
      </w:r>
      <w:r>
        <w:rPr>
          <w:rFonts w:ascii="Arial" w:cs="Arial" w:eastAsia="Arial" w:hAnsi="Arial"/>
          <w:sz w:val="20"/>
          <w:szCs w:val="20"/>
        </w:rPr>
        <w:t xml:space="preserve"> A request to the state legislature for authority to enact a specific law.</w:t>
      </w:r>
    </w:p>
    <w:p>
      <w:pPr>
        <w:spacing w:after="60"/>
        <w:ind w:left="360"/>
      </w:pPr>
      <w:r>
        <w:rPr>
          <w:rFonts w:ascii="Arial" w:cs="Arial" w:eastAsia="Arial" w:hAnsi="Arial"/>
          <w:b/>
          <w:bCs/>
          <w:sz w:val="20"/>
          <w:szCs w:val="20"/>
        </w:rPr>
        <w:t xml:space="preserve">RESCINDED:</w:t>
      </w:r>
      <w:r>
        <w:rPr>
          <w:rFonts w:ascii="Arial" w:cs="Arial" w:eastAsia="Arial" w:hAnsi="Arial"/>
          <w:sz w:val="20"/>
          <w:szCs w:val="20"/>
        </w:rPr>
        <w:t xml:space="preserve"> Votes marked RESCINDED were initially approved but later undone and re-voted due to a procedural issue.</w:t>
      </w:r>
    </w:p>
    <w:p>
      <w:pPr>
        <w:spacing w:after="100"/>
      </w:pPr>
    </w:p>
    <w:p>
      <w:pPr>
        <w:spacing w:after="200"/>
      </w:pPr>
      <w:r>
        <w:rPr>
          <w:rFonts w:ascii="Arial" w:cs="Arial" w:eastAsia="Arial" w:hAnsi="Arial"/>
          <w:b/>
          <w:bCs/>
          <w:sz w:val="20"/>
          <w:szCs w:val="20"/>
        </w:rPr>
        <w:t xml:space="preserve">About Board Recommendations: </w:t>
      </w:r>
      <w:r>
        <w:rPr>
          <w:rFonts w:ascii="Arial" w:cs="Arial" w:eastAsia="Arial" w:hAnsi="Arial"/>
          <w:sz w:val="20"/>
          <w:szCs w:val="20"/>
        </w:rPr>
        <w:t xml:space="preserve">Before Town Meeting votes, the Select Board (Brookline’s elected executive board) and the Advisory Committee (an appointed citizen finance committee) each review every article and publish recommendations. These recommendations are included below where available from the Combined Reports.</w:t>
      </w:r>
    </w:p>
    <w:p>
      <w:pPr>
        <w:spacing w:after="300"/>
      </w:pPr>
    </w:p>
    <w:p>
      <w:pPr>
        <w:pBdr>
          <w:bottom w:val="single" w:color="4472C4" w:sz="6" w:space="1"/>
        </w:pBdr>
        <w:spacing w:after="300"/>
      </w:pPr>
    </w:p>
    <w:p>
      <w:pPr>
        <w:spacing w:after="120" w:before="200"/>
      </w:pPr>
      <w:r>
        <w:rPr>
          <w:rFonts w:ascii="Arial" w:cs="Arial" w:eastAsia="Arial" w:hAnsi="Arial"/>
          <w:b/>
          <w:bCs/>
          <w:color w:val="1F3864"/>
          <w:sz w:val="26"/>
          <w:szCs w:val="26"/>
        </w:rPr>
        <w:t xml:space="preserve">Article 6 — Increased Property Tax Exemptions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The annual vote to double state-mandated property tax exemptions for veterans, elderly, blind, and surviving spouse residents. Brookline has approved this increase every year since 1989. It passed 230–1.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7 — FY2024 Annual Budget (Including Pierce School)</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Item 64 (later rescinded)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RESCINDED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Item 65 (later rescinded)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RESCINDED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Item 66 (later rescinded)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RESCINDED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Item 67 (later rescinded)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RESCINDED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Item 68 (later rescinded)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RESCINDED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Item 69: Terminate Debate (later rescinded)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RESCINDED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Item 69: Fisher Amendment (later rescinded)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Item 69: SB Substitute Motion (later rescinded)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RESCINDED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Item 69 (later rescinded)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RESCINDED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Budget (Night 4, later rescinded)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RESCINDED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Rescind (Night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Budget (Final, Night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The FY2024 budget was by far the most complex article, consuming parts of four nights and ultimately requiring a rescission and re-vote. This was Brookline’s first budget since voters approved a Proposition 2½ operating override on May 2, 2023, providing $11.98 million in additional annual property tax revenue for schools and municipal services. Voters also approved a debt exclusion for the new Pierce School (approximately $172 million over 25 years).</w:t>
      </w:r>
    </w:p>
    <w:p>
      <w:pPr>
        <w:spacing w:after="120"/>
      </w:pPr>
      <w:r>
        <w:rPr>
          <w:rFonts w:ascii="Arial" w:cs="Arial" w:eastAsia="Arial" w:hAnsi="Arial"/>
          <w:sz w:val="21"/>
          <w:szCs w:val="21"/>
        </w:rPr>
        <w:t xml:space="preserve">On Night 1, Town Meeting voted on six bond items (Items 64–69). Bond Item 69 — the Pierce School project — drew the most debate, including a failed Fisher Amendment (31–204) and a Select Board substitute motion that passed 193–43. The full budget was adopted on Night 4 (211–1).</w:t>
      </w:r>
    </w:p>
    <w:p>
      <w:pPr>
        <w:spacing w:after="300"/>
      </w:pPr>
      <w:r>
        <w:rPr>
          <w:rFonts w:ascii="Arial" w:cs="Arial" w:eastAsia="Arial" w:hAnsi="Arial"/>
          <w:sz w:val="21"/>
          <w:szCs w:val="21"/>
        </w:rPr>
        <w:t xml:space="preserve">However, a procedural issue required rescinding the entire budget and re-voting. On Night 5, Town Meeting voted 181–1 to rescind the previous budget votes and then re-adopted the budget 184–2. The rescission did not change the substance of the budget — it corrected a procedural deficiency. The final FY24 budget reflected the override revenue and fully funded the Pierce School project.</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8 — Community Preservation Program Budget (FY24)</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was the second annual Community Preservation Act (CPA) budget, allocating approximately $3.55 million in CPA revenue — $2.8 million from the 1% local property tax surcharge and $750,000 from the state CPA trust fund. The budget met the required 10% minimum allocations for each of the three CPA categories: community housing, open space and recreation, and historic preservation. It passed unanimously (226–0).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9 — Increasing Voter Signatures for Warrant Articles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 with amendment.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 (as amended)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proposed amending Article 2.1.13 of the General By-Laws to increase the number of registered voters required to place a citizen petition article on the Town Meeting warrant. An amendment was adopted (199–33) but the final amended motion narrowly failed 113–119 — one of the closest votes of the meeting. Opponents may have felt the higher threshold would discourage citizen participation in the democratic process.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10 — Defining Lead Petitioners for Warrant Articles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companion to Article 9 proposed amending Article 2.1.13 to define and require “lead petitioners” for warrant articles, formalizing who is responsible for presenting and advocating for citizen petition articles. It was defeated 95–131. Town Meeting members may have seen it as overly bureaucratic or as potentially discouraging grassroots participation.</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11 — Revising Select Board and Advisory Committee Processes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Articles 2.5.2 and 3.22 of the General By-Laws to revise how the Select Board and Advisory Committee review and report on warrant articles. The changes likely streamlined or updated procedures to improve efficiency. It passed 136–89 — a relatively close vote suggesting some disagreement about the changes.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12 — Mandatory Auditor Rotation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 4.1 of the General By-Laws to require the Town to change its external auditor at least every set number of years. Regular auditor rotation is considered a best practice in government finance to ensure independence and reduce the risk of complacency. It passed 215–9.</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14 — Strengthening Inclusionary Zoning</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 4.08 of the Zoning By-Laws (Inclusionary Zoning) to lower the unit threshold at which developers must include on-site affordable housing units. Previously, the requirement kicked in at a higher number of units; now, smaller developments would also need to include affordable units or contribute to the affordable housing fund. The goal was to increase the creation of affordable housing in Brookline. It passed unanimously (231–0).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 — Collective Bargaining Agreements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Divide the Question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approved funding for collective bargaining agreements with Town employee unions, including police officers, firefighters, and school traffic supervisors. A motion to divide the question — which would have allowed separate votes on each union’s contract — failed 103–122. This was likely driven by concerns about the police contract, which included an additional 4% raise for POST (Peace Officer Standards and Training) certification on top of an 8.5% retroactive cost-of-living increase. The full package passed 218–5.</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15 — Updating Previous Energy Code Votes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 5.9 of the General By-Laws to clarify and update references to votes previously taken regarding energy code adoption, ensuring consistency with the Specialized Stretch Energy Code adopted in January 2023. It passed 222–11.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16 — New T-5 (NH) Zoning District to Discourage Demolitions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the Zoning Map and Articles 3 and 5 of the Zoning By-Laws to create a new zoning district called T-5 (NH), applying to certain two-family zones in North Brookline. The new district established massing standards designed to discourage the demolition of existing two-family homes and their replacement with larger, more expensive structures. It set limits on the build-out of attics, third floors, and additions. This was part of the ongoing effort to address the demolition trend that had led to the demolition delay and moratorium articles in November 2022. It passed 216–20, well exceeding the required two-thirds supermajority.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19 — Brookline Black N’ Brown Commission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recommendation. Advisory Committee: Referred.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 to Committee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proposed creating a Brookline Black N’ Brown Commission to focus on issues affecting Black and Brown residents. A similar article had been on the November 2022 warrant but was not moved by the petitioners at that time. After debate (the first motion to terminate debate failed narrowly, 118–116, short of the two-thirds requirement), Town Meeting voted to refer it to a committee (168–61) for further development.</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17 — Cannabis Terminology and Social Consumption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Mixed.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Substitute 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proposed updating the Town’s General By-Laws to change the term “marijuana” to “cannabis” throughout (reflecting industry and advocacy preferences) and to permit social consumption establishments where cannabis could be consumed on premises. A substitute motion to refer failed (99–116), but the original motion to refer passed (139–70), sending the matter to a committee for further study.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13 — Office of Housing Stability</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created an Office of Housing Stability within Town government by establishing a new Article 3.12A of the General By-Laws. The office would serve as a centralized resource for residents facing housing-related challenges, including displacement, eviction, and affordability issues. With approximately half of Brookline residents being renters and many being housing cost-burdened, the office was designed to coordinate housing assistance services, develop anti-displacement policies, and connect residents with available resources. It passed near-unanimously (225–1).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20 — Expanding Menstrual Hygiene Product Access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the existing Menstrual Hygiene Product Access By-Law (Article 8.XX of the General By-Laws), which Brookline had previously enacted to require free menstrual products in certain public restrooms. The amendment expanded where and how products must be made available. It passed unanimously (217–0).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18 — Penalties for Repeat By-Law Violations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 10.3 of the General By-Laws to establish enhanced penalties for repeat violations of Town by-laws. The goal was to give the Town stronger enforcement tools against chronic violators. It passed 227–1.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21 — Police Body and In-Car Camera Requirements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created a new section of the General By-Laws establishing training, notice, and reporting requirements for body-worn and in-car cameras in the Brookline Police Department. As a resolution, it directed the Select Board, Town Administrator, and Police Department to develop and implement a camera program. The program was subsequently adopted, with the department beginning to roll out cameras in April 2024. It passed 212–9.</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Special Town Meeting Article 1 — Gun Control (Firearms Restrictions)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A brief Special Town Meeting was held within the Annual Town Meeting. This article addressed firearms restrictions in Brookline, prohibiting the carrying of firearms in Town-owned buildings (including polling places and voting locations), parks, playgrounds, recreational facilities, and at public gatherings such as demonstrations, rallies, protests, and events requiring Town permits. Exemptions were provided for law enforcement, licensed security guards, and active-duty military. It passed 198–4.</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22 — Ranked Choice Voting (Home Rule Petition)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Substitute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 (as substituted)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home rule petition sought state legislative approval to implement ranked choice voting (RCV) in Brookline’s Town elections. Under RCV, voters rank candidates in order of preference; if no candidate wins a majority of first-choice votes, the last-place candidate is eliminated and their voters’ second choices are redistributed, continuing until someone wins a majority. A substitute motion passed (166–53) and the final motion passed 120–100 — a close vote that reflected genuine division over whether RCV would improve elections. The petition was led by the Rank Choice Voting Committee and a high school student co-petitioner.</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23 — Police Body and In-Car Camera Policy (Resolution)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companion to Article 21 was a resolution requesting the Select Board, Town Administrator, and Human Resources Director to work with the Police Department to adopt and implement a body-worn and in-car camera policy. While Article 21 established the by-law framework, this resolution provided direction for implementation. It passed 180–12 with 26 abstentions — the high abstention count may reflect members who felt the by-law (Article 21) was sufficient.</w:t>
      </w:r>
    </w:p>
    <w:p>
      <w:pPr>
        <w:pBdr>
          <w:bottom w:val="single" w:color="CCCCCC" w:sz="1" w:space="1"/>
        </w:pBdr>
        <w:spacing w:after="200"/>
      </w:pPr>
    </w:p>
    <w:p>
      <w:pPr>
        <w:spacing w:before="300"/>
      </w:pPr>
      <w:r>
        <w:rPr>
          <w:rFonts w:ascii="Arial" w:cs="Arial" w:eastAsia="Arial" w:hAnsi="Arial"/>
          <w:i/>
          <w:iCs/>
          <w:color w:val="888888"/>
          <w:sz w:val="18"/>
          <w:szCs w:val="18"/>
        </w:rPr>
        <w:t xml:space="preserve">Source: Town of Brookline, MA — May 2023 Annual Town Meeting Warrant, Combined Reports, and Electronic Voting Records. Board recommendation votes sourced from the Combined Reports and Supplements. Summaries prepared for general informational purposes.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2026-02-26T13:19:24.432Z</dcterms:created>
  <dcterms:modified xsi:type="dcterms:W3CDTF">2026-02-26T13:19:24.433Z</dcterms:modified>
</cp:coreProperties>
</file>

<file path=docProps/custom.xml><?xml version="1.0" encoding="utf-8"?>
<Properties xmlns="http://schemas.openxmlformats.org/officeDocument/2006/custom-properties" xmlns:vt="http://schemas.openxmlformats.org/officeDocument/2006/docPropsVTypes"/>
</file>