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36"/>
          <w:szCs w:val="36"/>
        </w:rPr>
        <w:t xml:space="preserve">Brookline Town Meeting Vote Summaries</w:t>
      </w:r>
    </w:p>
    <w:p>
      <w:pPr>
        <w:spacing w:after="120"/>
        <w:jc w:val="center"/>
      </w:pPr>
      <w:r>
        <w:rPr>
          <w:rFonts w:ascii="Arial" w:cs="Arial" w:eastAsia="Arial" w:hAnsi="Arial"/>
          <w:color w:val="4472C4"/>
          <w:sz w:val="26"/>
          <w:szCs w:val="26"/>
        </w:rPr>
        <w:t xml:space="preserve">November 2022 Special Town Meeting</w:t>
      </w:r>
    </w:p>
    <w:p>
      <w:pPr>
        <w:spacing w:after="400"/>
        <w:jc w:val="center"/>
      </w:pPr>
      <w:r>
        <w:rPr>
          <w:rFonts w:ascii="Arial" w:cs="Arial" w:eastAsia="Arial" w:hAnsi="Arial"/>
          <w:i/>
          <w:iCs/>
          <w:color w:val="666666"/>
          <w:sz w:val="20"/>
          <w:szCs w:val="20"/>
        </w:rPr>
        <w:t xml:space="preserve">Held virtually via Zoom over eight nights: November 15–17, 29–30, December 1, 6, 8, 2022</w:t>
      </w:r>
    </w:p>
    <w:p>
      <w:pPr>
        <w:spacing w:after="200"/>
      </w:pPr>
      <w:r>
        <w:rPr>
          <w:rFonts w:ascii="Arial" w:cs="Arial" w:eastAsia="Arial" w:hAnsi="Arial"/>
          <w:sz w:val="22"/>
          <w:szCs w:val="22"/>
        </w:rPr>
        <w:t xml:space="preserve">This document provides plain-language summaries of all 68 recorded votes from the November 2022 Special Town Meeting and its concurrent Second Special Town Meeting. These votes covered 30 distinct articles across eight nights, making it one of the larger Special Town Meetings in recent years. The meeting was held virtually via Zoom. Town Moderator Kate Poverman presided.</w:t>
      </w:r>
    </w:p>
    <w:p>
      <w:pPr>
        <w:spacing w:after="200"/>
      </w:pPr>
      <w:r>
        <w:rPr>
          <w:rFonts w:ascii="Arial" w:cs="Arial" w:eastAsia="Arial" w:hAnsi="Arial"/>
          <w:sz w:val="22"/>
          <w:szCs w:val="22"/>
        </w:rPr>
        <w:t xml:space="preserve">Climate action was the dominant theme. Town Meeting Member Jesse Gray (Precinct 10) petitioned six separate home rule petitions seeking state authority for innovative climate tools: community choice aggregation, residential electrification loans, green zoning, a methane surcharge, an emissions reduction fund, and a gasoline vehicle excise surcharge. Some passed; others did not. Preservation was another major thread, with a landmark tree preservation by-law and expanded demolition protections.</w:t>
      </w:r>
    </w:p>
    <w:p>
      <w:pPr>
        <w:spacing w:after="100"/>
      </w:pPr>
      <w:r>
        <w:rPr>
          <w:rFonts w:ascii="Arial" w:cs="Arial" w:eastAsia="Arial" w:hAnsi="Arial"/>
          <w:b/>
          <w:bCs/>
          <w:sz w:val="22"/>
          <w:szCs w:val="22"/>
        </w:rPr>
        <w:t xml:space="preserve">A quick guide to vote types:</w:t>
      </w:r>
    </w:p>
    <w:p>
      <w:pPr>
        <w:spacing w:after="60"/>
        <w:ind w:left="360"/>
      </w:pPr>
      <w:r>
        <w:rPr>
          <w:rFonts w:ascii="Arial" w:cs="Arial" w:eastAsia="Arial" w:hAnsi="Arial"/>
          <w:b/>
          <w:bCs/>
          <w:sz w:val="20"/>
          <w:szCs w:val="20"/>
        </w:rPr>
        <w:t xml:space="preserve">Main Motion:</w:t>
      </w:r>
      <w:r>
        <w:rPr>
          <w:rFonts w:ascii="Arial" w:cs="Arial" w:eastAsia="Arial" w:hAnsi="Arial"/>
          <w:sz w:val="20"/>
          <w:szCs w:val="20"/>
        </w:rPr>
        <w:t xml:space="preserve"> The actual vote on the article itself — this is the one that matters most.</w:t>
      </w:r>
    </w:p>
    <w:p>
      <w:pPr>
        <w:spacing w:after="60"/>
        <w:ind w:left="360"/>
      </w:pPr>
      <w:r>
        <w:rPr>
          <w:rFonts w:ascii="Arial" w:cs="Arial" w:eastAsia="Arial" w:hAnsi="Arial"/>
          <w:b/>
          <w:bCs/>
          <w:sz w:val="20"/>
          <w:szCs w:val="20"/>
        </w:rPr>
        <w:t xml:space="preserve">Motion to Terminate Debate:</w:t>
      </w:r>
      <w:r>
        <w:rPr>
          <w:rFonts w:ascii="Arial" w:cs="Arial" w:eastAsia="Arial" w:hAnsi="Arial"/>
          <w:sz w:val="20"/>
          <w:szCs w:val="20"/>
        </w:rPr>
        <w:t xml:space="preserve"> A procedural vote to end discussion and move to a vote. Requires a two-thirds majority.</w:t>
      </w:r>
    </w:p>
    <w:p>
      <w:pPr>
        <w:spacing w:after="60"/>
        <w:ind w:left="360"/>
      </w:pPr>
      <w:r>
        <w:rPr>
          <w:rFonts w:ascii="Arial" w:cs="Arial" w:eastAsia="Arial" w:hAnsi="Arial"/>
          <w:b/>
          <w:bCs/>
          <w:sz w:val="20"/>
          <w:szCs w:val="20"/>
        </w:rPr>
        <w:t xml:space="preserve">Motion to Refer:</w:t>
      </w:r>
      <w:r>
        <w:rPr>
          <w:rFonts w:ascii="Arial" w:cs="Arial" w:eastAsia="Arial" w:hAnsi="Arial"/>
          <w:sz w:val="20"/>
          <w:szCs w:val="20"/>
        </w:rPr>
        <w:t xml:space="preserve"> A proposal to send the article to a committee for further study instead of voting on it now.</w:t>
      </w:r>
    </w:p>
    <w:p>
      <w:pPr>
        <w:spacing w:after="60"/>
        <w:ind w:left="360"/>
      </w:pPr>
      <w:r>
        <w:rPr>
          <w:rFonts w:ascii="Arial" w:cs="Arial" w:eastAsia="Arial" w:hAnsi="Arial"/>
          <w:b/>
          <w:bCs/>
          <w:sz w:val="20"/>
          <w:szCs w:val="20"/>
        </w:rPr>
        <w:t xml:space="preserve">Amendment / Substitute Motion:</w:t>
      </w:r>
      <w:r>
        <w:rPr>
          <w:rFonts w:ascii="Arial" w:cs="Arial" w:eastAsia="Arial" w:hAnsi="Arial"/>
          <w:sz w:val="20"/>
          <w:szCs w:val="20"/>
        </w:rPr>
        <w:t xml:space="preserve"> A proposed modification to the original motion.</w:t>
      </w:r>
    </w:p>
    <w:p>
      <w:pPr>
        <w:spacing w:after="60"/>
        <w:ind w:left="360"/>
      </w:pPr>
      <w:r>
        <w:rPr>
          <w:rFonts w:ascii="Arial" w:cs="Arial" w:eastAsia="Arial" w:hAnsi="Arial"/>
          <w:b/>
          <w:bCs/>
          <w:sz w:val="20"/>
          <w:szCs w:val="20"/>
        </w:rPr>
        <w:t xml:space="preserve">Home Rule Petition:</w:t>
      </w:r>
      <w:r>
        <w:rPr>
          <w:rFonts w:ascii="Arial" w:cs="Arial" w:eastAsia="Arial" w:hAnsi="Arial"/>
          <w:sz w:val="20"/>
          <w:szCs w:val="20"/>
        </w:rPr>
        <w:t xml:space="preserve"> A request to the state legislature for authority to enact a specific law that goes beyond what state law currently allows municipalities to do.</w:t>
      </w:r>
    </w:p>
    <w:p>
      <w:pPr>
        <w:spacing w:after="60"/>
        <w:ind w:left="360"/>
      </w:pPr>
      <w:r>
        <w:rPr>
          <w:rFonts w:ascii="Arial" w:cs="Arial" w:eastAsia="Arial" w:hAnsi="Arial"/>
          <w:b/>
          <w:bCs/>
          <w:sz w:val="20"/>
          <w:szCs w:val="20"/>
        </w:rPr>
        <w:t xml:space="preserve">Two-thirds requirement:</w:t>
      </w:r>
      <w:r>
        <w:rPr>
          <w:rFonts w:ascii="Arial" w:cs="Arial" w:eastAsia="Arial" w:hAnsi="Arial"/>
          <w:sz w:val="20"/>
          <w:szCs w:val="20"/>
        </w:rPr>
        <w:t xml:space="preserve"> Zoning changes and some other actions require a two-thirds supermajority. An article can get majority support but still fail if it doesn’t reach this threshold.</w:t>
      </w:r>
    </w:p>
    <w:p>
      <w:pPr>
        <w:spacing w:after="100"/>
      </w:pPr>
    </w:p>
    <w:p>
      <w:pPr>
        <w:spacing w:after="200"/>
      </w:pPr>
      <w:r>
        <w:rPr>
          <w:rFonts w:ascii="Arial" w:cs="Arial" w:eastAsia="Arial" w:hAnsi="Arial"/>
          <w:b/>
          <w:bCs/>
          <w:sz w:val="20"/>
          <w:szCs w:val="20"/>
        </w:rPr>
        <w:t xml:space="preserve">About Board Recommendations: </w:t>
      </w:r>
      <w:r>
        <w:rPr>
          <w:rFonts w:ascii="Arial" w:cs="Arial" w:eastAsia="Arial" w:hAnsi="Arial"/>
          <w:sz w:val="20"/>
          <w:szCs w:val="20"/>
        </w:rPr>
        <w:t xml:space="preserve">Before Town Meeting votes, the Select Board (Brookline’s elected executive board) and the Advisory Committee (an appointed citizen finance committee) each review every article and publish recommendations. These recommendations, along with their vote tallies, are included below where available from the Combined Reports.</w:t>
      </w:r>
    </w:p>
    <w:p>
      <w:pPr>
        <w:spacing w:after="200"/>
      </w:pPr>
      <w:r>
        <w:rPr>
          <w:rFonts w:ascii="Arial" w:cs="Arial" w:eastAsia="Arial" w:hAnsi="Arial"/>
          <w:b/>
          <w:bCs/>
          <w:color w:val="8B0000"/>
          <w:sz w:val="20"/>
          <w:szCs w:val="20"/>
        </w:rPr>
        <w:t xml:space="preserve">Data note: </w:t>
      </w:r>
      <w:r>
        <w:rPr>
          <w:rFonts w:ascii="Arial" w:cs="Arial" w:eastAsia="Arial" w:hAnsi="Arial"/>
          <w:color w:val="8B0000"/>
          <w:sz w:val="20"/>
          <w:szCs w:val="20"/>
        </w:rPr>
        <w:t xml:space="preserve">Three votes in the original data appeared to have the result field reversed (listed as APPROVED despite receiving more NO than YES votes): Article 28 Main Motion (119–121), Article 31 Motion to Refer (101–134), and Article 34 Main Motion (63–169). These have been corrected to FAILED in this document.</w:t>
      </w:r>
    </w:p>
    <w:p>
      <w:pPr>
        <w:spacing w:after="300"/>
      </w:pPr>
    </w:p>
    <w:p>
      <w:pPr>
        <w:pBdr>
          <w:bottom w:val="single" w:color="4472C4" w:sz="6" w:space="1"/>
        </w:pBdr>
        <w:spacing w:after="300"/>
      </w:pPr>
    </w:p>
    <w:p>
      <w:pPr>
        <w:spacing w:after="120" w:before="200"/>
      </w:pPr>
      <w:r>
        <w:rPr>
          <w:rFonts w:ascii="Arial" w:cs="Arial" w:eastAsia="Arial" w:hAnsi="Arial"/>
          <w:b/>
          <w:bCs/>
          <w:color w:val="1F3864"/>
          <w:sz w:val="26"/>
          <w:szCs w:val="26"/>
        </w:rPr>
        <w:t xml:space="preserve">Second Special Town Meeting — Article 1: FY2023 Budget Amendment</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247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As in previous years, a brief Second Special Town Meeting was convened to address mid-year budget adjustments before the main Special Town Meeting began. This article amended the FY2023 budget to account for changes since the May annual meeting, including updated revenue projections and expenditure needs. It passed unanimously (247–0).</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Second Special Town Meeting — Article 3: Code Enforcement Budget Amendment</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198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241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budget amendment provided additional funding for code enforcement activities. Brookline’s code enforcement officers inspect buildings, enforce zoning and housing codes, and respond to complaints about property conditions. The additional funding may have reflected increased enforcement needs or staffing. It passed 241–4.</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3 — Opioid Settlement Stabilization Fund</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245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created an Opioid Settlement Stabilization Fund to receive and manage Brookline’s share of the national opioid settlement — the massive litigation against pharmaceutical companies and distributors for their role in the opioid crisis. Massachusetts communities received settlement payments over multiple years, and this fund ensures those dollars are set aside specifically for opioid-related prevention, treatment, and recovery services. It passed near-unanimously (245–1).</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4 — Fire Station Renovation</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253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appropriated funds for the fire station renovation project. Brookline’s fire stations serve a densely populated community and require periodic upgrades to meet modern safety standards, accommodate updated equipment, and improve working conditions for firefighters. The project received near-unanimous support (253–2).</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5 — Reducing Recommendation Requirements for Committees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176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Refer to Committee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162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11</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proposed amending Article 2.5 of the General By-Laws to reduce the number of recommendations required from Town boards and committees before a warrant article can come to Town Meeting. Supporters argued the current process is too burdensome and slows action on citizen petition articles. After debate, Town Meeting voted to refer it to a committee (162–79) for further development rather than acting on it immediately.</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6 — Easement at 51 Bartlett Crescent</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244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accepted an easement allowing access to 51 Bartlett Crescent. Easement votes are routine municipal housekeeping that formalize access arrangements needed for infrastructure, utilities, or property access. It passed 244–1.</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7 — Reducing Hard Copy Publication Requirements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193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152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amended the General By-Laws to reduce the need to publish and distribute hard copies of Town documents, moving toward digital-first distribution. Supporters cited cost savings, environmental benefits, and the fact that most residents now access documents online. Opponents worried about access for residents without reliable internet. It passed 152–88 — one of the wider margins of opposition, suggesting significant concerns about the digital transition.</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10 — Tree Preservation By-Law</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237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r>
    </w:tbl>
    <w:p>
      <w:pPr>
        <w:spacing w:after="60" w:before="140"/>
      </w:pPr>
      <w:r>
        <w:rPr>
          <w:rFonts w:ascii="Arial" w:cs="Arial" w:eastAsia="Arial" w:hAnsi="Arial"/>
          <w:b/>
          <w:bCs/>
          <w:color w:val="2E75B6"/>
          <w:sz w:val="21"/>
          <w:szCs w:val="21"/>
        </w:rPr>
        <w:t xml:space="preserve">What this was about:</w:t>
      </w:r>
    </w:p>
    <w:p>
      <w:pPr>
        <w:spacing w:after="120"/>
      </w:pPr>
      <w:r>
        <w:rPr>
          <w:rFonts w:ascii="Arial" w:cs="Arial" w:eastAsia="Arial" w:hAnsi="Arial"/>
          <w:sz w:val="21"/>
          <w:szCs w:val="21"/>
        </w:rPr>
        <w:t xml:space="preserve">This landmark article created Brookline’s first Tree Preservation By-Law (Article 8.39 of the General By-Laws), protecting significant private trees during construction and demolition. Under the new law, anyone demolishing or significantly altering a residential property must obtain a permit before removing “protected trees” — defined as trees with a diameter of six inches or more located within 20 feet of a property line. If a protected tree is removed, the owner must replant trees or pay into a Tree Preservation Fund.</w:t>
      </w:r>
    </w:p>
    <w:p>
      <w:pPr>
        <w:spacing w:after="300"/>
      </w:pPr>
      <w:r>
        <w:rPr>
          <w:rFonts w:ascii="Arial" w:cs="Arial" w:eastAsia="Arial" w:hAnsi="Arial"/>
          <w:sz w:val="21"/>
          <w:szCs w:val="21"/>
        </w:rPr>
        <w:t xml:space="preserve">The by-law grew out of the 2021 Brookline Urban Forest Climate Resiliency Master Plan, which documented the importance of tree canopy for cooling, carbon storage, stormwater management, and public health. Before this by-law, only publicly owned trees had any protection. It passed overwhelmingly (237–7) and took effect in November 2023 after Attorney General approval.</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8 — Alternatives to Newspaper Publication</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 with amendment.</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165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Amendment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130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15</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 (as amended)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219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Companion to Article 7, this article amended the General By-Laws to provide alternatives to publishing legal notices in a “newspaper of general circulation” — a requirement that was increasingly expensive and arguably ineffective as local newspaper readership declined. The amendment (passed 130–99) modified some details of the alternative publication methods. The final motion passed 219–8.</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9 — Strengthening Noise By-Law Enforcement</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167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12</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Amendment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159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15</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Substitute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140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 (as substituted)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224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amended Article 7.7 of the General By-Laws to strengthen and increase enforcement of Brookline’s noise regulations. Noise complaints are perennial in a densely built community, covering everything from construction hours to late-night parties. The updated by-law likely improved enforcement mechanisms and penalties. After multiple amendments and a substitute motion, the final version passed 224–19.</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14 — Annual PILOT Program Reporting</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No recommendation.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154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21</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amended Article 4.2.7 of the General By-Laws to require annual reporting on the Town’s Payment in Lieu of Tax (PILOT) program. PILOTs are voluntary payments made by tax-exempt institutions (such as hospitals, universities, and nonprofits) to help offset the cost of municipal services they use. Brookline hosts several large tax-exempt properties. The reporting requirement aimed to increase transparency about how much these institutions pay relative to what they would owe in property taxes. It passed 154–72 with 21 abstentions.</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23 — Community Choice Aggregation (Home Rule Petition)</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175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14</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13</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home rule petition sought state authority to enhance Brookline’s Community Choice Aggregation (CCA) program — the program through which the Town bulk-purchases electricity on behalf of residents with a higher percentage of renewable energy than the state default. Brookline’s program, known as Brookline Green Electricity, had already achieved 90% green electricity by 2023 and was on track for 100% in 2024. The petition sought additional tools beyond what state law currently allows to further leverage the program for climate goals. It passed 180–55.</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21 — Betterment Loans for Residential Electrification (Home Rule Petition)</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173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13</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190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home rule petition sought state authority for Brookline to offer “betterment loans” to help homeowners finance the conversion of heating systems from fossil fuels to electric alternatives (such as heat pumps). Betterment loans would be repaid through property tax bills, making upfront costs more manageable and allowing the improvement to transfer with the property if sold. This was part of Brookline’s broader effort to reach net-zero emissions by 2040. It passed 190–38.</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25 — Green Zoning (Home Rule Petition)</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165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15</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161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home rule petition sought state authority for Brookline to incorporate climate and environmental standards into its zoning regulations — for instance, requiring new construction to be fossil-fuel-free or meet enhanced energy efficiency standards beyond the state building code. Because state law limits what municipalities can require through zoning, a home rule petition was needed for authority to go further. It passed 161–72.</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15 — Limiting Storefront Marijuana Retailers to Four</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137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amended Article 8.37.4 of the General By-Laws to cap the number of storefront marijuana retailers in Brookline at four — the number that already existed. This vote was enabled by the fact that Brookline voters had overwhelmingly approved a ballot question in the May 2022 election supporting the cap. Before this by-law change, state law required both a Town Meeting vote and a ballot question to limit marijuana retailers in communities that voted to legalize recreational marijuana. It passed 137–105 — a closer vote than the ballot question, suggesting more ambivalence among Town Meeting members than the general electorate.</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Articles 11 &amp; 12 — Demolition Delay and Demolition Moratorium</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on Art. 11. Advisory Committee: Favorable Action on both.</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Art. 11 &amp; 12 Terminate Debate #1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139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Art. 11 &amp; 12 Terminate Debate #2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197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Art. 11 Amendment (demolition delay)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Art. 11 Main Motion (demolition delay)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172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Art. 12 Amendment (demolition moratorium)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16</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Art. 12 Main Motion (demolition moratorium)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w:t>
            </w:r>
          </w:p>
        </w:tc>
      </w:tr>
    </w:tbl>
    <w:p>
      <w:pPr>
        <w:spacing w:after="60" w:before="140"/>
      </w:pPr>
      <w:r>
        <w:rPr>
          <w:rFonts w:ascii="Arial" w:cs="Arial" w:eastAsia="Arial" w:hAnsi="Arial"/>
          <w:b/>
          <w:bCs/>
          <w:color w:val="2E75B6"/>
          <w:sz w:val="21"/>
          <w:szCs w:val="21"/>
        </w:rPr>
        <w:t xml:space="preserve">What this was about:</w:t>
      </w:r>
    </w:p>
    <w:p>
      <w:pPr>
        <w:spacing w:after="120"/>
      </w:pPr>
      <w:r>
        <w:rPr>
          <w:rFonts w:ascii="Arial" w:cs="Arial" w:eastAsia="Arial" w:hAnsi="Arial"/>
          <w:sz w:val="21"/>
          <w:szCs w:val="21"/>
        </w:rPr>
        <w:t xml:space="preserve">These companion articles addressed growing concerns about the demolition of older homes in Brookline’s residential neighborhoods, often to be replaced with significantly larger structures. Article 11 extended the existing demolition delay period under Article 5.3.9 of the General By-Laws, giving the Preservation Commission more time to explore alternatives before a historically or architecturally significant building is torn down.</w:t>
      </w:r>
    </w:p>
    <w:p>
      <w:pPr>
        <w:spacing w:after="300"/>
      </w:pPr>
      <w:r>
        <w:rPr>
          <w:rFonts w:ascii="Arial" w:cs="Arial" w:eastAsia="Arial" w:hAnsi="Arial"/>
          <w:sz w:val="21"/>
          <w:szCs w:val="21"/>
        </w:rPr>
        <w:t xml:space="preserve">Article 12 went further, creating a temporary demolition moratorium (new Section 4.14 of the Zoning By-Laws) for residential structures, providing a pause while the Town developed longer-term zoning regulations to address the trend. Both articles generated extended debate (the first terminate debate attempt failed). Both ultimately passed — Article 11 by 172–77 and Article 12 by 187–61.</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13 — Design Review After Demolition Delay</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196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Refer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159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Amendment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132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168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amended Section 5.09 of the Zoning By-Laws to require design review for any new construction that follows after a demolition delay expires. The intent was to ensure that when a significant building is demolished, whatever replaces it is subject to meaningful review rather than being built solely “by right.” A motion to refer to committee was decisively rejected (78–159), indicating members were ready to act. An amendment also failed (108–132). The main motion passed 168–71, requiring a two-thirds supermajority since it was a zoning change.</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39 — Golf Course Study and Use</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No Favorable Action. Advisory Committee: No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161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146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15</w:t>
            </w:r>
          </w:p>
        </w:tc>
      </w:tr>
    </w:tbl>
    <w:p>
      <w:pPr>
        <w:spacing w:after="60" w:before="140"/>
      </w:pPr>
      <w:r>
        <w:rPr>
          <w:rFonts w:ascii="Arial" w:cs="Arial" w:eastAsia="Arial" w:hAnsi="Arial"/>
          <w:b/>
          <w:bCs/>
          <w:color w:val="2E75B6"/>
          <w:sz w:val="21"/>
          <w:szCs w:val="21"/>
        </w:rPr>
        <w:t xml:space="preserve">What this was about:</w:t>
      </w:r>
    </w:p>
    <w:p>
      <w:pPr>
        <w:spacing w:after="120"/>
      </w:pPr>
      <w:r>
        <w:rPr>
          <w:rFonts w:ascii="Arial" w:cs="Arial" w:eastAsia="Arial" w:hAnsi="Arial"/>
          <w:sz w:val="21"/>
          <w:szCs w:val="21"/>
        </w:rPr>
        <w:t xml:space="preserve">This resolution, one of the most hotly debated of the meeting, proposed studying alternative uses for the 120-acre Robert T. Lynch Municipal Golf Course (Putterham Meadows), including the possibility of converting it from 18 holes to 9 holes to free up land for other public uses such as walking trails, bike paths, and expanded green space. Supporters argued that the course’s 120 acres serve a relatively small number of golfers while the land could benefit the broader community, and that the course’s pesticide use and environmental impact warranted reconsideration.</w:t>
      </w:r>
    </w:p>
    <w:p>
      <w:pPr>
        <w:spacing w:after="300"/>
      </w:pPr>
      <w:r>
        <w:rPr>
          <w:rFonts w:ascii="Arial" w:cs="Arial" w:eastAsia="Arial" w:hAnsi="Arial"/>
          <w:sz w:val="21"/>
          <w:szCs w:val="21"/>
        </w:rPr>
        <w:t xml:space="preserve">Opponents countered that the course is self-supporting (32,000–35,000 rounds played annually), that a master planning process was already underway, and that reducing the course would likely require taxpayer subsidies. Both the Select Board and Advisory Committee recommended against the article. It was defeated 84–146. The debate drew coverage from the Boston Globe and became one of the more divisive local issues of 2022.</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26 — Methane Emissions Surcharge (Home Rule Petition)</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Amendment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159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 (as amended)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134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112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home rule petition sought state authority for Brookline to impose a surcharge on methane (natural gas) emissions from buildings. It was part of a suite of climate articles petitioned by TMM Jesse Gray that aimed to use financial incentives and disincentives to accelerate the transition from fossil fuels. An amendment modified the details, and the final motion passed narrowly at 134–112 — reflecting significant concerns about costs to property owners and residents who rely on natural gas heating.</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2 — Collective Bargaining Agreements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217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approved funding for collective bargaining agreements between the Town and its employee unions, including contracts covering police officers, firefighters, and school traffic supervisors. The police contract provided retroactive cost-of-living raises of 8.5% plus an additional 4% for state POST (Peace Officer Standards and Training) certification. The fire department contract added 3% per year for fiscal years 2021–2023. It passed 217–1.</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28 — Emissions Reduction Fund (Home Rule Petition)</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No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119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121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r>
    </w:tbl>
    <w:p>
      <w:pPr>
        <w:spacing w:after="60" w:before="140"/>
      </w:pPr>
      <w:r>
        <w:rPr>
          <w:rFonts w:ascii="Arial" w:cs="Arial" w:eastAsia="Arial" w:hAnsi="Arial"/>
          <w:b/>
          <w:bCs/>
          <w:color w:val="2E75B6"/>
          <w:sz w:val="21"/>
          <w:szCs w:val="21"/>
        </w:rPr>
        <w:t xml:space="preserve">What this was about:</w:t>
      </w:r>
    </w:p>
    <w:p>
      <w:pPr>
        <w:spacing w:after="120"/>
      </w:pPr>
      <w:r>
        <w:rPr>
          <w:rFonts w:ascii="Arial" w:cs="Arial" w:eastAsia="Arial" w:hAnsi="Arial"/>
          <w:sz w:val="21"/>
          <w:szCs w:val="21"/>
        </w:rPr>
        <w:t xml:space="preserve">This home rule petition proposed creating an emissions reduction fund, another tool in the suite of climate-related financial mechanisms. The Advisory Committee recommended against it.</w:t>
      </w:r>
    </w:p>
    <w:p>
      <w:pPr>
        <w:spacing w:after="300"/>
      </w:pPr>
      <w:r>
        <w:rPr>
          <w:rFonts w:ascii="Arial" w:cs="Arial" w:eastAsia="Arial" w:hAnsi="Arial"/>
          <w:sz w:val="21"/>
          <w:szCs w:val="21"/>
        </w:rPr>
        <w:t xml:space="preserve">*Data note: The spreadsheet records this vote as “APPROVED” with 119 YES, 121 NO, and 8 abstentions. Since the NO votes exceeded the YES votes, this result has been corrected to FAILED.</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29 — Gasoline Vehicle Excise Surcharge (Home Rule Petition)</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No Favorable Action. Advisory Committee: No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 #1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156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 #2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174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118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125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home rule petition proposed an excise surcharge on gasoline-powered vehicles registered in Brookline, with the goal of incentivizing the switch to electric vehicles. Both the Select Board and Advisory Committee recommended against it. The article generated extended debate — two separate motions to end discussion failed to reach the required two-thirds majority — before the main motion was defeated 118–125.</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31 — Revising the Discrimination Complaint Process (CDICR)</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 #1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142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 #2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Refer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134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151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w:t>
            </w:r>
          </w:p>
        </w:tc>
      </w:tr>
    </w:tbl>
    <w:p>
      <w:pPr>
        <w:spacing w:after="60" w:before="140"/>
      </w:pPr>
      <w:r>
        <w:rPr>
          <w:rFonts w:ascii="Arial" w:cs="Arial" w:eastAsia="Arial" w:hAnsi="Arial"/>
          <w:b/>
          <w:bCs/>
          <w:color w:val="2E75B6"/>
          <w:sz w:val="21"/>
          <w:szCs w:val="21"/>
        </w:rPr>
        <w:t xml:space="preserve">What this was about:</w:t>
      </w:r>
    </w:p>
    <w:p>
      <w:pPr>
        <w:spacing w:after="120"/>
      </w:pPr>
      <w:r>
        <w:rPr>
          <w:rFonts w:ascii="Arial" w:cs="Arial" w:eastAsia="Arial" w:hAnsi="Arial"/>
          <w:sz w:val="21"/>
          <w:szCs w:val="21"/>
        </w:rPr>
        <w:t xml:space="preserve">This article proposed revising Article 3.14 of the General By-Laws governing the Commission for Diversity, Inclusion, and Community Relations (CDICR) and its discrimination complaint process — the same issue that had been referred to committee at both the May 2022 and previous Town Meetings. After extended debate (two failed terminate debate motions), a motion to refer to committee also failed, and the main motion was then defeated.</w:t>
      </w:r>
    </w:p>
    <w:p>
      <w:pPr>
        <w:spacing w:after="300"/>
      </w:pPr>
      <w:r>
        <w:rPr>
          <w:rFonts w:ascii="Arial" w:cs="Arial" w:eastAsia="Arial" w:hAnsi="Arial"/>
          <w:sz w:val="21"/>
          <w:szCs w:val="21"/>
        </w:rPr>
        <w:t xml:space="preserve">*Data note: The spreadsheet records the Motion to Refer as “APPROVED” with 101 YES and 134 NO. Since the NO votes exceeded the YES votes, this has been corrected to FAILED. The main motion (151–82) also failed despite having majority support; this may reflect a procedural or quorum issue, as a General By-Law change typically requires only a simple majority.</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33 — Beekeeping in Zoning By-Laws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176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amended Article 4.07 (Table of Use Regulations) of the Zoning By-Laws to permit beekeeping in Brookline. Backyard beekeeping has grown in popularity as awareness of pollinator declines has increased. The zoning change established regulations for keeping bees on residential properties. As a zoning change, it required a two-thirds supermajority and easily cleared that threshold at 185–36.</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Articles 34 &amp; 35 — Financial Interest Disclosure at Town Meeting</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No recommendation on both. Advisory Committee: No Favorable Action on both.</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Art. 34 &amp; 35 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177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Art. 34 Main Motion (require abstentions)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169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Art. 35 Main Motion (require disclosure)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148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r>
    </w:tbl>
    <w:p>
      <w:pPr>
        <w:spacing w:after="60" w:before="140"/>
      </w:pPr>
      <w:r>
        <w:rPr>
          <w:rFonts w:ascii="Arial" w:cs="Arial" w:eastAsia="Arial" w:hAnsi="Arial"/>
          <w:b/>
          <w:bCs/>
          <w:color w:val="2E75B6"/>
          <w:sz w:val="21"/>
          <w:szCs w:val="21"/>
        </w:rPr>
        <w:t xml:space="preserve">What this was about:</w:t>
      </w:r>
    </w:p>
    <w:p>
      <w:pPr>
        <w:spacing w:after="120"/>
      </w:pPr>
      <w:r>
        <w:rPr>
          <w:rFonts w:ascii="Arial" w:cs="Arial" w:eastAsia="Arial" w:hAnsi="Arial"/>
          <w:sz w:val="21"/>
          <w:szCs w:val="21"/>
        </w:rPr>
        <w:t xml:space="preserve">These companion articles proposed new ethics requirements for Town Meeting members. Article 34 would have required members with a financial interest in a warrant article to abstain from voting. Article 35 would have required speakers to disclose any financial interest in an article before speaking. Both the Select Board and Advisory Committee recommended against both articles.</w:t>
      </w:r>
    </w:p>
    <w:p>
      <w:pPr>
        <w:spacing w:after="120"/>
      </w:pPr>
      <w:r>
        <w:rPr>
          <w:rFonts w:ascii="Arial" w:cs="Arial" w:eastAsia="Arial" w:hAnsi="Arial"/>
          <w:sz w:val="21"/>
          <w:szCs w:val="21"/>
        </w:rPr>
        <w:t xml:space="preserve">Article 34 was defeated overwhelmingly (63–169), as members may have felt it would be difficult to define “financial interest” and could discourage informed participation. Article 35 (requiring disclosure when speaking) failed 148–83 — it had majority support but since it was a General By-Law change, the failure of Article 35 may have had a specific procedural reason.</w:t>
      </w:r>
    </w:p>
    <w:p>
      <w:pPr>
        <w:spacing w:after="300"/>
      </w:pPr>
      <w:r>
        <w:rPr>
          <w:rFonts w:ascii="Arial" w:cs="Arial" w:eastAsia="Arial" w:hAnsi="Arial"/>
          <w:sz w:val="21"/>
          <w:szCs w:val="21"/>
        </w:rPr>
        <w:t xml:space="preserve">*Data note: The spreadsheet records Article 34 as “APPROVED” with 63 YES and 169 NO. Since the NO votes far exceeded the YES votes, this has been corrected to FAILED.</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36 — PILOT Program Resolution</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152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resolution addressed Brookline’s Payment in Lieu of Tax (PILOT) program, complementing the reporting requirement in Article 14. PILOTs are voluntary payments from tax-exempt institutions. The resolution likely urged the Town to negotiate more aggressively or systematically with exempt institutions — an important revenue issue given that significant property in Brookline is exempt from property taxes. It passed 186–43.</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37 — School Department Budget Review</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No Favorable Action. Advisory Committee: No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168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178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resolution called for a budget review of the School Department. Both the Select Board and Advisory Committee recommended against it. Town Meeting members overwhelmingly agreed, defeating it 59–178. The defeat may reflect a sense that the existing budget process — including Advisory Committee review and School Committee oversight — already provides sufficient scrutiny, and that a separate review would be duplicative or intrusive on the School Committee’s authority.</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38 — Asian American &amp; Pacific Islander Heritage Month</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236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resolution called for the celebration of Asian American and Pacific Islander (AAPI) Heritage Month in Brookline, joining the national observance held every May. It passed unanimously (236–0), with 3 abstentions.</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40 — Outdoor Pool Feasibility Study</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209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212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resolution called for a feasibility study to explore the possibility of building an outdoor public swimming pool in Brookline. While Brookline has indoor pool facilities, the Town lacks a public outdoor pool. The study would examine potential locations, costs, and community demand. It passed 212–24.</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41 — Affordable Housing Overlay District (AHOD) Study Committee</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Amendment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137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14</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206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resolution created a study committee to explore the creation of an Affordable Housing Overlay District (AHOD) in Brookline. AHODs allow increased density for 100% affordable housing projects in designated areas, making it easier and cheaper to build affordable units by relaxing zoning restrictions for qualifying developments. Cambridge had adopted an AHOD in 2020, and several other Massachusetts communities were exploring similar approaches. An amendment was defeated (79–137), and the main motion passed 206–19.</w:t>
      </w:r>
    </w:p>
    <w:p>
      <w:pPr>
        <w:pBdr>
          <w:bottom w:val="single" w:color="CCCCCC" w:sz="1" w:space="1"/>
        </w:pBdr>
        <w:spacing w:after="200"/>
      </w:pPr>
    </w:p>
    <w:p>
      <w:pPr>
        <w:spacing w:before="300"/>
      </w:pPr>
      <w:r>
        <w:rPr>
          <w:rFonts w:ascii="Arial" w:cs="Arial" w:eastAsia="Arial" w:hAnsi="Arial"/>
          <w:i/>
          <w:iCs/>
          <w:color w:val="888888"/>
          <w:sz w:val="18"/>
          <w:szCs w:val="18"/>
        </w:rPr>
        <w:t xml:space="preserve">Source: Town of Brookline, MA — November 2022 Special Town Meeting Warrant, Combined Reports, and Electronic Voting Records. Board recommendation votes sourced from the Combined Reports and Supplements. Summaries prepared for general informational purposes.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2026-02-26T13:08:30.117Z</dcterms:created>
  <dcterms:modified xsi:type="dcterms:W3CDTF">2026-02-26T13:08:30.118Z</dcterms:modified>
</cp:coreProperties>
</file>

<file path=docProps/custom.xml><?xml version="1.0" encoding="utf-8"?>
<Properties xmlns="http://schemas.openxmlformats.org/officeDocument/2006/custom-properties" xmlns:vt="http://schemas.openxmlformats.org/officeDocument/2006/docPropsVTypes"/>
</file>