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Brookline Town Meeting Vote Summaries</w:t>
      </w:r>
    </w:p>
    <w:p>
      <w:pPr>
        <w:spacing w:after="120"/>
        <w:jc w:val="center"/>
      </w:pPr>
      <w:r>
        <w:rPr>
          <w:rFonts w:ascii="Arial" w:cs="Arial" w:eastAsia="Arial" w:hAnsi="Arial"/>
          <w:color w:val="4472C4"/>
          <w:sz w:val="26"/>
          <w:szCs w:val="26"/>
        </w:rPr>
        <w:t xml:space="preserve">November 2023 Special Town Meeting</w:t>
      </w:r>
    </w:p>
    <w:p>
      <w:pPr>
        <w:spacing w:after="400"/>
        <w:jc w:val="center"/>
      </w:pPr>
      <w:r>
        <w:rPr>
          <w:rFonts w:ascii="Arial" w:cs="Arial" w:eastAsia="Arial" w:hAnsi="Arial"/>
          <w:i/>
          <w:iCs/>
          <w:color w:val="666666"/>
          <w:sz w:val="20"/>
          <w:szCs w:val="20"/>
        </w:rPr>
        <w:t xml:space="preserve">Held in person at Brookline High School Auditorium over three nights: November 14–16, 2023</w:t>
      </w:r>
    </w:p>
    <w:p>
      <w:pPr>
        <w:spacing w:after="200"/>
      </w:pPr>
      <w:r>
        <w:rPr>
          <w:rFonts w:ascii="Arial" w:cs="Arial" w:eastAsia="Arial" w:hAnsi="Arial"/>
          <w:sz w:val="22"/>
          <w:szCs w:val="22"/>
        </w:rPr>
        <w:t xml:space="preserve">This document provides plain-language summaries of all 24 recorded votes from the November 2023 Special Town Meeting and its concurrent Second and Fourth Special Town Meetings. These votes covered 13 distinct articles across three nights. The meeting was held in person at Brookline High School Auditorium. Town Moderator Kate Poverman presided.</w:t>
      </w:r>
    </w:p>
    <w:p>
      <w:pPr>
        <w:spacing w:after="200"/>
      </w:pPr>
      <w:r>
        <w:rPr>
          <w:rFonts w:ascii="Arial" w:cs="Arial" w:eastAsia="Arial" w:hAnsi="Arial"/>
          <w:sz w:val="22"/>
          <w:szCs w:val="22"/>
        </w:rPr>
        <w:t xml:space="preserve">The dominant issue was housing. The MBTA Communities Act zoning compliance vote reshaped Harvard Street and was praised by the Boston Globe as a landmark moment. Meanwhile, the razor-thin rent stabilization vote (112–108) signaled a growing movement but uncertain future.</w:t>
      </w:r>
    </w:p>
    <w:p>
      <w:pPr>
        <w:spacing w:after="100"/>
      </w:pPr>
      <w:r>
        <w:rPr>
          <w:rFonts w:ascii="Arial" w:cs="Arial" w:eastAsia="Arial" w:hAnsi="Arial"/>
          <w:b/>
          <w:bCs/>
          <w:sz w:val="22"/>
          <w:szCs w:val="22"/>
        </w:rPr>
        <w:t xml:space="preserve">A quick guide to vote types:</w:t>
      </w:r>
    </w:p>
    <w:p>
      <w:pPr>
        <w:spacing w:after="60"/>
        <w:ind w:left="360"/>
      </w:pPr>
      <w:r>
        <w:rPr>
          <w:rFonts w:ascii="Arial" w:cs="Arial" w:eastAsia="Arial" w:hAnsi="Arial"/>
          <w:b/>
          <w:bCs/>
          <w:sz w:val="20"/>
          <w:szCs w:val="20"/>
        </w:rPr>
        <w:t xml:space="preserve">Main Motion:</w:t>
      </w:r>
      <w:r>
        <w:rPr>
          <w:rFonts w:ascii="Arial" w:cs="Arial" w:eastAsia="Arial" w:hAnsi="Arial"/>
          <w:sz w:val="20"/>
          <w:szCs w:val="20"/>
        </w:rPr>
        <w:t xml:space="preserve"> The actual vote on the article itself — this is the one that matters most.</w:t>
      </w:r>
    </w:p>
    <w:p>
      <w:pPr>
        <w:spacing w:after="60"/>
        <w:ind w:left="360"/>
      </w:pPr>
      <w:r>
        <w:rPr>
          <w:rFonts w:ascii="Arial" w:cs="Arial" w:eastAsia="Arial" w:hAnsi="Arial"/>
          <w:b/>
          <w:bCs/>
          <w:sz w:val="20"/>
          <w:szCs w:val="20"/>
        </w:rPr>
        <w:t xml:space="preserve">Motion to Terminate Debate:</w:t>
      </w:r>
      <w:r>
        <w:rPr>
          <w:rFonts w:ascii="Arial" w:cs="Arial" w:eastAsia="Arial" w:hAnsi="Arial"/>
          <w:sz w:val="20"/>
          <w:szCs w:val="20"/>
        </w:rPr>
        <w:t xml:space="preserve"> A procedural vote to end discussion and move to a vote. Requires a two-thirds majority.</w:t>
      </w:r>
    </w:p>
    <w:p>
      <w:pPr>
        <w:spacing w:after="60"/>
        <w:ind w:left="360"/>
      </w:pPr>
      <w:r>
        <w:rPr>
          <w:rFonts w:ascii="Arial" w:cs="Arial" w:eastAsia="Arial" w:hAnsi="Arial"/>
          <w:b/>
          <w:bCs/>
          <w:sz w:val="20"/>
          <w:szCs w:val="20"/>
        </w:rPr>
        <w:t xml:space="preserve">Motion to Refer:</w:t>
      </w:r>
      <w:r>
        <w:rPr>
          <w:rFonts w:ascii="Arial" w:cs="Arial" w:eastAsia="Arial" w:hAnsi="Arial"/>
          <w:sz w:val="20"/>
          <w:szCs w:val="20"/>
        </w:rPr>
        <w:t xml:space="preserve"> A proposal to send the article to a committee for further study instead of voting on it now.</w:t>
      </w:r>
    </w:p>
    <w:p>
      <w:pPr>
        <w:spacing w:after="60"/>
        <w:ind w:left="360"/>
      </w:pPr>
      <w:r>
        <w:rPr>
          <w:rFonts w:ascii="Arial" w:cs="Arial" w:eastAsia="Arial" w:hAnsi="Arial"/>
          <w:b/>
          <w:bCs/>
          <w:sz w:val="20"/>
          <w:szCs w:val="20"/>
        </w:rPr>
        <w:t xml:space="preserve">Amendment:</w:t>
      </w:r>
      <w:r>
        <w:rPr>
          <w:rFonts w:ascii="Arial" w:cs="Arial" w:eastAsia="Arial" w:hAnsi="Arial"/>
          <w:sz w:val="20"/>
          <w:szCs w:val="20"/>
        </w:rPr>
        <w:t xml:space="preserve"> A proposed modification to the original motion.</w:t>
      </w:r>
    </w:p>
    <w:p>
      <w:pPr>
        <w:spacing w:after="60"/>
        <w:ind w:left="360"/>
      </w:pPr>
      <w:r>
        <w:rPr>
          <w:rFonts w:ascii="Arial" w:cs="Arial" w:eastAsia="Arial" w:hAnsi="Arial"/>
          <w:b/>
          <w:bCs/>
          <w:sz w:val="20"/>
          <w:szCs w:val="20"/>
        </w:rPr>
        <w:t xml:space="preserve">Home Rule Petition:</w:t>
      </w:r>
      <w:r>
        <w:rPr>
          <w:rFonts w:ascii="Arial" w:cs="Arial" w:eastAsia="Arial" w:hAnsi="Arial"/>
          <w:sz w:val="20"/>
          <w:szCs w:val="20"/>
        </w:rPr>
        <w:t xml:space="preserve"> A request to the state legislature for authority to enact a specific law.</w:t>
      </w:r>
    </w:p>
    <w:p>
      <w:pPr>
        <w:spacing w:after="60"/>
        <w:ind w:left="360"/>
      </w:pPr>
      <w:r>
        <w:rPr>
          <w:rFonts w:ascii="Arial" w:cs="Arial" w:eastAsia="Arial" w:hAnsi="Arial"/>
          <w:b/>
          <w:bCs/>
          <w:sz w:val="20"/>
          <w:szCs w:val="20"/>
        </w:rPr>
        <w:t xml:space="preserve">Two-thirds requirement:</w:t>
      </w:r>
      <w:r>
        <w:rPr>
          <w:rFonts w:ascii="Arial" w:cs="Arial" w:eastAsia="Arial" w:hAnsi="Arial"/>
          <w:sz w:val="20"/>
          <w:szCs w:val="20"/>
        </w:rPr>
        <w:t xml:space="preserve"> Zoning changes require a two-thirds supermajority.</w:t>
      </w:r>
    </w:p>
    <w:p>
      <w:pPr>
        <w:spacing w:after="100"/>
      </w:pPr>
    </w:p>
    <w:p>
      <w:pPr>
        <w:spacing w:after="200"/>
      </w:pPr>
      <w:r>
        <w:rPr>
          <w:rFonts w:ascii="Arial" w:cs="Arial" w:eastAsia="Arial" w:hAnsi="Arial"/>
          <w:b/>
          <w:bCs/>
          <w:sz w:val="20"/>
          <w:szCs w:val="20"/>
        </w:rPr>
        <w:t xml:space="preserve">About Board Recommendations: </w:t>
      </w:r>
      <w:r>
        <w:rPr>
          <w:rFonts w:ascii="Arial" w:cs="Arial" w:eastAsia="Arial" w:hAnsi="Arial"/>
          <w:sz w:val="20"/>
          <w:szCs w:val="20"/>
        </w:rPr>
        <w:t xml:space="preserve">Before Town Meeting votes, the Select Board (Brookline’s elected executive board) and the Advisory Committee (an appointed citizen finance committee) each review every article and publish recommendations.</w:t>
      </w:r>
    </w:p>
    <w:p>
      <w:pPr>
        <w:spacing w:after="300"/>
      </w:pPr>
    </w:p>
    <w:p>
      <w:pPr>
        <w:pBdr>
          <w:bottom w:val="single" w:color="4472C4" w:sz="6" w:space="1"/>
        </w:pBdr>
        <w:spacing w:after="300"/>
      </w:pPr>
    </w:p>
    <w:p>
      <w:pPr>
        <w:spacing w:after="120" w:before="200"/>
      </w:pPr>
      <w:r>
        <w:rPr>
          <w:rFonts w:ascii="Arial" w:cs="Arial" w:eastAsia="Arial" w:hAnsi="Arial"/>
          <w:b/>
          <w:bCs/>
          <w:color w:val="1F3864"/>
          <w:sz w:val="26"/>
          <w:szCs w:val="26"/>
        </w:rPr>
        <w:t xml:space="preserve">Second Special Town Meeting — Article 1: FY2024 Budget Amendment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The brief Second Special Town Meeting handled a routine mid-year amendment to the FY2024 budget. It passed unanimously (231–0).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Fourth Special Town Meeting — Article 1: MBTA Communities Act Compliance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(5–0).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was the most significant vote of the meeting and one of the most consequential zoning changes in Brookline’s history. The MBTA Communities Act, passed by the state legislature in 2021, required municipalities served by the MBTA to rezone areas near transit to allow multifamily housing by right (without a special permit). Brookline had a December 2023 deadline to comply or risk losing access to state grants and potential lawsuits.</w:t>
      </w:r>
    </w:p>
    <w:p>
      <w:pPr>
        <w:spacing w:after="120"/>
      </w:pPr>
      <w:r>
        <w:rPr>
          <w:rFonts w:ascii="Arial" w:cs="Arial" w:eastAsia="Arial" w:hAnsi="Arial"/>
          <w:sz w:val="21"/>
          <w:szCs w:val="21"/>
        </w:rPr>
        <w:t xml:space="preserve">The “Consensus Plan” — brokered by Select Board Member Paul Warren between the pro-housing “Yes in Brookline” coalition and the more cautious “Brookline by Design” group — rezoned Harvard Street to allow four-story multifamily buildings by right, along with the Brookline Housing Authority’s Walnut-High Street property, the Emerald Island area, and existing multifamily housing within a half-mile of T stops. The plan was projected to enable approximately 800 new housing units, with 15% required to be deed-restricted affordable.</w:t>
      </w:r>
    </w:p>
    <w:p>
      <w:pPr>
        <w:spacing w:after="300"/>
      </w:pPr>
      <w:r>
        <w:rPr>
          <w:rFonts w:ascii="Arial" w:cs="Arial" w:eastAsia="Arial" w:hAnsi="Arial"/>
          <w:sz w:val="21"/>
          <w:szCs w:val="21"/>
        </w:rPr>
        <w:t xml:space="preserve">A motion to refer to committee was overwhelmingly rejected (59–187), signaling that members were ready to act. The plan then passed 209–33 with 8 abstentions — an 84% approval rate, well exceeding the two-thirds supermajority required for zoning changes. The Boston Globe editorial board praised Brookline for going beyond the bare minimum, and WBUR covered the vote as a landmark moment in the region’s housing debate.</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14 — Ban on Sale of Mammals, Birds, Reptiles, and Amphibians in Pet Shops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the General By-Laws to ban the sale of mammals, birds, reptiles, and amphibians in pet shops in Brookline. The by-law was intended to address animal welfare concerns associated with commercial pet breeding operations (sometimes called “puppy mills”) that supply pet stores. Exemptions were included for animal shelters and rescue organizations. The article was notably championed by a high school student. It passed 200–12, though the relatively high number of abstentions (21) may reflect some uncertainty about the practical effects.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15 — Prohibiting Wild Animals in Entertainment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(as amended)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companion to Article 14 amended the General By-Laws to prohibit the use of certain wild animals — including elephants, monkeys, big cats, bears, and other exotic species — in entertainment performances, exhibitions, and acts in Brookline. The by-law was aimed at traveling circuses and similar shows that use wild animals. An amendment refined the list of covered animals or activities, and the final motion passed 212–2.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6 — Rezoning Mason Terrace Lots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the Zoning By-Laws to change three lots on Mason Terrace from the SC-7 District (single-family/converted) to the M-1.5 District (multifamily). This rezoning would allow denser housing development on these specific parcels. It passed 172–46, exceeding the two-thirds supermajority required for zoning changes, though the 46 NO votes and 19 abstentions indicate some neighborhood concern.</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9 — Creating a Payroll Division in the Finance Department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3.11A of the General By-Laws to create a Payroll Division within the Finance Department. This organizational change formalized the payroll function, which handles compensation for all Town employees. It passed 201–1.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10 — Transfer of Unexpended Bond Proceeds and Rescissions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A routine financial housekeeping article transferring unexpended bond proceeds and rescinding unused bond authorizations. When capital projects come in under budget, the remaining authorized borrowing must be formally rescinded. It passed unanimously (226–0).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11 — Renaming the Community Preservation Committee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3.25 of the General By-Laws to change the name from “Community Preservation Committee” to “Community Preservation Act Committee,” aligning the name with the state Community Preservation Act under which the committee operates. It passed unanimously (226–0).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13 — Renaming the Heath School the “Roland Hayes School”</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School Committee: Favorable Action (unanimous).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article renamed the Heath Elementary School the “Roland Hayes School.” The renaming effort began in 2021 when the School Committee’s Ad Hoc Task Force on School Names discovered that John Heath, the school’s namesake, had enslaved five people. A student renaming committee proposed four candidates: internationally renowned Black tenor Roland Hayes, METCO founder Ruth Batson, sculptor John Woodrow Wilson, and abolitionists Ellen and William Craft. In a vote of 733 students, families, and staff, Roland Hayes was selected.</w:t>
      </w:r>
    </w:p>
    <w:p>
      <w:pPr>
        <w:spacing w:after="300"/>
      </w:pPr>
      <w:r>
        <w:rPr>
          <w:rFonts w:ascii="Arial" w:cs="Arial" w:eastAsia="Arial" w:hAnsi="Arial"/>
          <w:sz w:val="21"/>
          <w:szCs w:val="21"/>
        </w:rPr>
        <w:t xml:space="preserve">Hayes (1887–1977) was a pioneering Black classical tenor who lived on Allerton Street in Brookline for nearly 50 years. He almost singlehandedly paved the way for Black concert performers like Marian Anderson, Paul Robeson, and Leontyne Price. The Student Renaming Committee presented at Town Meeting on November 16, and the article passed 208–4 with 23 abstentions. This was the second Brookline school to be renamed — the former Devotion School had been renamed the Florida Ruffin Ridley School in 2021.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7 — Senior Discount Program for Water and Sewer Rates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Referred.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 to Committee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sought state legislation authorizing the Select Board to offer a senior discount program for water and sewer rates. Water and sewer costs can be a significant burden for seniors on fixed incomes. Rather than voting on the substance, Town Meeting referred it to a committee (134–88) for further study, likely to work out details of eligibility, funding, and implementation.</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16 — Rent Stabilization and Tenant Eviction Protections (Home Rule Petition)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No recommendation. Advisory Committee: No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8B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was the most contentious article of the meeting. The home rule petition sought state legislative authority for Brookline to implement rent stabilization — capping annual rent increases at a base rate of 3% plus inflation, to a maximum of 7% — and tenant eviction protections. Since Massachusetts banned rent control statewide in 1994, any local rent stabilization requires state legislative approval through a home rule petition.</w:t>
      </w:r>
    </w:p>
    <w:p>
      <w:pPr>
        <w:spacing w:after="120"/>
      </w:pPr>
      <w:r>
        <w:rPr>
          <w:rFonts w:ascii="Arial" w:cs="Arial" w:eastAsia="Arial" w:hAnsi="Arial"/>
          <w:sz w:val="21"/>
          <w:szCs w:val="21"/>
        </w:rPr>
        <w:t xml:space="preserve">The article was petitioned by residents Alec Lebovitz, Kimberley Richardson, and Johnathon Card, who argued that middle- and even upper-middle-income households were being displaced by rapidly rising rents. The Advisory Committee recommended against it, and the Select Board took no position. The first motion to terminate debate failed by the narrowest possible margin (107–110 — three votes short of a majority, far from the two-thirds required). After continued debate, the second terminate debate motion passed.</w:t>
      </w:r>
    </w:p>
    <w:p>
      <w:pPr>
        <w:spacing w:after="300"/>
      </w:pPr>
      <w:r>
        <w:rPr>
          <w:rFonts w:ascii="Arial" w:cs="Arial" w:eastAsia="Arial" w:hAnsi="Arial"/>
          <w:sz w:val="21"/>
          <w:szCs w:val="21"/>
        </w:rPr>
        <w:t xml:space="preserve">The main motion passed 112–108 with 14 abstentions — just a four-vote margin. Boston and Somerville were pursuing similar home rule petitions at the same time. The petition would require state legislative approval to take effect.</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17 — PFAS Resolution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addressed per- and polyfluoroalkyl substances (PFAS), often called “forever chemicals” because they persist in the environment and the human body. PFAS are found in many consumer products and have been linked to health problems. The resolution likely called on the Town to take steps to reduce PFAS exposure, support state and federal regulation, and/or test for PFAS in local water supplies. It passed 220–2.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18 — Moderator’s Committee on Forms of Municipal Government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resolution created a Moderator’s Committee to study different forms of municipal government. Brookline has operated under Representative Town Meeting since 1915, but some residents have raised questions about whether a different structure — such as a city council and mayor form — might better serve the community’s needs as it has grown. The committee would examine the pros and cons of various government structures.</w:t>
      </w:r>
    </w:p>
    <w:p>
      <w:pPr>
        <w:spacing w:after="300"/>
      </w:pPr>
      <w:r>
        <w:rPr>
          <w:rFonts w:ascii="Arial" w:cs="Arial" w:eastAsia="Arial" w:hAnsi="Arial"/>
          <w:sz w:val="21"/>
          <w:szCs w:val="21"/>
        </w:rPr>
        <w:t xml:space="preserve">The resolution passed 155–58, with the 58 NO votes reflecting significant attachment to the Town Meeting form of government. A subsequent effort to create a Charter Commission to potentially convert Brookline from a town to a city gathered momentum in 2024–2025.</w:t>
      </w:r>
    </w:p>
    <w:p>
      <w:pPr>
        <w:pBdr>
          <w:bottom w:val="single" w:color="CCCCCC" w:sz="1" w:space="1"/>
        </w:pBdr>
        <w:spacing w:after="200"/>
      </w:pPr>
    </w:p>
    <w:p>
      <w:pPr>
        <w:spacing w:before="300"/>
      </w:pPr>
      <w:r>
        <w:rPr>
          <w:rFonts w:ascii="Arial" w:cs="Arial" w:eastAsia="Arial" w:hAnsi="Arial"/>
          <w:i/>
          <w:iCs/>
          <w:color w:val="888888"/>
          <w:sz w:val="18"/>
          <w:szCs w:val="18"/>
        </w:rPr>
        <w:t xml:space="preserve">Source: Town of Brookline, MA — November 2023 Special Town Meeting Warrant, Combined Reports, and Electronic Voting Records. Board recommendation votes sourced from the Combined Reports and Supplements. Summaries prepared for general informational purposes.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2026-02-26T13:29:02.324Z</dcterms:created>
  <dcterms:modified xsi:type="dcterms:W3CDTF">2026-02-26T13:29:02.325Z</dcterms:modified>
</cp:coreProperties>
</file>

<file path=docProps/custom.xml><?xml version="1.0" encoding="utf-8"?>
<Properties xmlns="http://schemas.openxmlformats.org/officeDocument/2006/custom-properties" xmlns:vt="http://schemas.openxmlformats.org/officeDocument/2006/docPropsVTypes"/>
</file>