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Brookline Town Meeting Vote Summaries</w:t>
      </w:r>
    </w:p>
    <w:p>
      <w:pPr>
        <w:spacing w:after="120"/>
        <w:jc w:val="center"/>
      </w:pPr>
      <w:r>
        <w:rPr>
          <w:rFonts w:ascii="Arial" w:cs="Arial" w:eastAsia="Arial" w:hAnsi="Arial"/>
          <w:color w:val="4472C4"/>
          <w:sz w:val="26"/>
          <w:szCs w:val="26"/>
        </w:rPr>
        <w:t xml:space="preserve">November 2024 Special Town Meeting</w:t>
      </w:r>
    </w:p>
    <w:p>
      <w:pPr>
        <w:spacing w:after="400"/>
        <w:jc w:val="center"/>
      </w:pPr>
      <w:r>
        <w:rPr>
          <w:rFonts w:ascii="Arial" w:cs="Arial" w:eastAsia="Arial" w:hAnsi="Arial"/>
          <w:i/>
          <w:iCs/>
          <w:color w:val="666666"/>
          <w:sz w:val="20"/>
          <w:szCs w:val="20"/>
        </w:rPr>
        <w:t xml:space="preserve">Held in person at Brookline High School Auditorium over three nights: November 19–21, 2024</w:t>
      </w:r>
    </w:p>
    <w:p>
      <w:pPr>
        <w:spacing w:after="200"/>
      </w:pPr>
      <w:r>
        <w:rPr>
          <w:rFonts w:ascii="Arial" w:cs="Arial" w:eastAsia="Arial" w:hAnsi="Arial"/>
          <w:sz w:val="22"/>
          <w:szCs w:val="22"/>
        </w:rPr>
        <w:t xml:space="preserve">This document provides plain-language summaries of all 28 recorded votes from the November 2024 Special Town Meeting. These votes covered 18 distinct articles across three nights. Zoning dominated the agenda, with three major proposals referred back for further study and two others failing to achieve the required two-thirds supermajority.</w:t>
      </w:r>
    </w:p>
    <w:p>
      <w:pPr>
        <w:spacing w:after="100"/>
      </w:pPr>
      <w:r>
        <w:rPr>
          <w:rFonts w:ascii="Arial" w:cs="Arial" w:eastAsia="Arial" w:hAnsi="Arial"/>
          <w:b/>
          <w:bCs/>
          <w:sz w:val="22"/>
          <w:szCs w:val="22"/>
        </w:rPr>
        <w:t xml:space="preserve">A quick guide to vote types:</w:t>
      </w:r>
    </w:p>
    <w:p>
      <w:pPr>
        <w:spacing w:after="60"/>
        <w:ind w:left="360"/>
      </w:pPr>
      <w:r>
        <w:rPr>
          <w:rFonts w:ascii="Arial" w:cs="Arial" w:eastAsia="Arial" w:hAnsi="Arial"/>
          <w:b/>
          <w:bCs/>
          <w:sz w:val="20"/>
          <w:szCs w:val="20"/>
        </w:rPr>
        <w:t xml:space="preserve">Main Motion:</w:t>
      </w:r>
      <w:r>
        <w:rPr>
          <w:rFonts w:ascii="Arial" w:cs="Arial" w:eastAsia="Arial" w:hAnsi="Arial"/>
          <w:sz w:val="20"/>
          <w:szCs w:val="20"/>
        </w:rPr>
        <w:t xml:space="preserve"> The actual vote on the article itself — this is the one that matters most.</w:t>
      </w:r>
    </w:p>
    <w:p>
      <w:pPr>
        <w:spacing w:after="60"/>
        <w:ind w:left="360"/>
      </w:pPr>
      <w:r>
        <w:rPr>
          <w:rFonts w:ascii="Arial" w:cs="Arial" w:eastAsia="Arial" w:hAnsi="Arial"/>
          <w:b/>
          <w:bCs/>
          <w:sz w:val="20"/>
          <w:szCs w:val="20"/>
        </w:rPr>
        <w:t xml:space="preserve">Motion to Terminate Debate:</w:t>
      </w:r>
      <w:r>
        <w:rPr>
          <w:rFonts w:ascii="Arial" w:cs="Arial" w:eastAsia="Arial" w:hAnsi="Arial"/>
          <w:sz w:val="20"/>
          <w:szCs w:val="20"/>
        </w:rPr>
        <w:t xml:space="preserve"> A procedural vote to end discussion and move to a vote. Requires a two-thirds majority.</w:t>
      </w:r>
    </w:p>
    <w:p>
      <w:pPr>
        <w:spacing w:after="60"/>
        <w:ind w:left="360"/>
      </w:pPr>
      <w:r>
        <w:rPr>
          <w:rFonts w:ascii="Arial" w:cs="Arial" w:eastAsia="Arial" w:hAnsi="Arial"/>
          <w:b/>
          <w:bCs/>
          <w:sz w:val="20"/>
          <w:szCs w:val="20"/>
        </w:rPr>
        <w:t xml:space="preserve">Motion to Refer:</w:t>
      </w:r>
      <w:r>
        <w:rPr>
          <w:rFonts w:ascii="Arial" w:cs="Arial" w:eastAsia="Arial" w:hAnsi="Arial"/>
          <w:sz w:val="20"/>
          <w:szCs w:val="20"/>
        </w:rPr>
        <w:t xml:space="preserve"> A vote to send the article back to a committee for further study rather than voting on it. Effectively postpones the article.</w:t>
      </w:r>
    </w:p>
    <w:p>
      <w:pPr>
        <w:spacing w:after="60"/>
        <w:ind w:left="360"/>
      </w:pPr>
      <w:r>
        <w:rPr>
          <w:rFonts w:ascii="Arial" w:cs="Arial" w:eastAsia="Arial" w:hAnsi="Arial"/>
          <w:b/>
          <w:bCs/>
          <w:sz w:val="20"/>
          <w:szCs w:val="20"/>
        </w:rPr>
        <w:t xml:space="preserve">Motion to Lay on the Table:</w:t>
      </w:r>
      <w:r>
        <w:rPr>
          <w:rFonts w:ascii="Arial" w:cs="Arial" w:eastAsia="Arial" w:hAnsi="Arial"/>
          <w:sz w:val="20"/>
          <w:szCs w:val="20"/>
        </w:rPr>
        <w:t xml:space="preserve"> A procedural vote to shelve an article without debate or a vote on its substance.</w:t>
      </w:r>
    </w:p>
    <w:p>
      <w:pPr>
        <w:spacing w:after="60"/>
        <w:ind w:left="360"/>
      </w:pPr>
      <w:r>
        <w:rPr>
          <w:rFonts w:ascii="Arial" w:cs="Arial" w:eastAsia="Arial" w:hAnsi="Arial"/>
          <w:b/>
          <w:bCs/>
          <w:sz w:val="20"/>
          <w:szCs w:val="20"/>
        </w:rPr>
        <w:t xml:space="preserve">Home Rule Petition:</w:t>
      </w:r>
      <w:r>
        <w:rPr>
          <w:rFonts w:ascii="Arial" w:cs="Arial" w:eastAsia="Arial" w:hAnsi="Arial"/>
          <w:sz w:val="20"/>
          <w:szCs w:val="20"/>
        </w:rPr>
        <w:t xml:space="preserve"> A request to the state legislature for authority to enact a specific law.</w:t>
      </w:r>
    </w:p>
    <w:p>
      <w:pPr>
        <w:spacing w:after="60"/>
        <w:ind w:left="360"/>
      </w:pPr>
      <w:r>
        <w:rPr>
          <w:rFonts w:ascii="Arial" w:cs="Arial" w:eastAsia="Arial" w:hAnsi="Arial"/>
          <w:b/>
          <w:bCs/>
          <w:sz w:val="20"/>
          <w:szCs w:val="20"/>
        </w:rPr>
        <w:t xml:space="preserve">Two-thirds requirement:</w:t>
      </w:r>
      <w:r>
        <w:rPr>
          <w:rFonts w:ascii="Arial" w:cs="Arial" w:eastAsia="Arial" w:hAnsi="Arial"/>
          <w:sz w:val="20"/>
          <w:szCs w:val="20"/>
        </w:rPr>
        <w:t xml:space="preserve"> Zoning changes and certain other articles require a two-thirds supermajority to pass. An article can receive more yes than no votes but still fail if it doesn’t reach 66.7%.</w:t>
      </w:r>
    </w:p>
    <w:p>
      <w:pPr>
        <w:spacing w:after="100"/>
      </w:pPr>
    </w:p>
    <w:p>
      <w:pPr>
        <w:spacing w:after="200"/>
      </w:pPr>
      <w:r>
        <w:rPr>
          <w:rFonts w:ascii="Arial" w:cs="Arial" w:eastAsia="Arial" w:hAnsi="Arial"/>
          <w:b/>
          <w:bCs/>
          <w:sz w:val="20"/>
          <w:szCs w:val="20"/>
        </w:rPr>
        <w:t xml:space="preserve">About Board Recommendations: </w:t>
      </w:r>
      <w:r>
        <w:rPr>
          <w:rFonts w:ascii="Arial" w:cs="Arial" w:eastAsia="Arial" w:hAnsi="Arial"/>
          <w:sz w:val="20"/>
          <w:szCs w:val="20"/>
        </w:rPr>
        <w:t xml:space="preserve">Before Town Meeting votes, the Select Board (Brookline’s elected executive board) and the Advisory Committee (an appointed citizen finance committee) each review every article and publish recommendations.</w:t>
      </w:r>
    </w:p>
    <w:p>
      <w:pPr>
        <w:spacing w:after="300"/>
      </w:pPr>
    </w:p>
    <w:p>
      <w:pPr>
        <w:pBdr>
          <w:bottom w:val="single" w:color="4472C4" w:sz="6" w:space="1"/>
        </w:pBdr>
        <w:spacing w:after="300"/>
      </w:pPr>
    </w:p>
    <w:p>
      <w:pPr>
        <w:spacing w:after="120" w:before="200"/>
      </w:pPr>
      <w:r>
        <w:rPr>
          <w:rFonts w:ascii="Arial" w:cs="Arial" w:eastAsia="Arial" w:hAnsi="Arial"/>
          <w:b/>
          <w:bCs/>
          <w:color w:val="1F3864"/>
          <w:sz w:val="26"/>
          <w:szCs w:val="26"/>
        </w:rPr>
        <w:t xml:space="preserve">Article 3 — Transportation Network Company (TNC) Funds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appropriated funds collected from rideshare company fees (Uber, Lyft, etc.) for the Town’s infrastructure needs. Under state law, municipalities receive a portion of the per-ride assessment charged on transportation network company trips originating within their borders. This vote directed that revenue toward local transportation improvements. Passed unanimously (240–0).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4 — Veteran’s Tax Work-Off Program</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accepted Chapter 59, Section 5N of the General Laws, creating a Veteran’s Tax Work-Off Abatement Program. The program allows eligible veterans to perform volunteer work for the Town in exchange for a reduction in their property tax bill. This complements the expanded Senior Tax Work-Off program adopted in May 2024. Passed unanimously (241–0).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5 — Brookline Youth Council</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article created a Brookline Youth Council, a formal body within town government to represent the interests and perspectives of young people in local decision-making. The council consists of nine members between the ages of 14 and 18 who are Brookline residents or enrolled in a Brookline high school, appointed by the Select Board for one-year terms. It must hold at least nine meetings per year and can make recommendations to the Select Board and Town Meeting.</w:t>
      </w:r>
    </w:p>
    <w:p>
      <w:pPr>
        <w:spacing w:after="300"/>
      </w:pPr>
      <w:r>
        <w:rPr>
          <w:rFonts w:ascii="Arial" w:cs="Arial" w:eastAsia="Arial" w:hAnsi="Arial"/>
          <w:sz w:val="21"/>
          <w:szCs w:val="21"/>
        </w:rPr>
        <w:t xml:space="preserve">The article was petitioned by Brookline High School senior Kiran Bhatia. Both the Select Board and Advisory Committee recommended against it, arguing the need was unclear and the structure might not be practicable. Advisory Committee member Ben Birnbaum called the proposal “virtuous, hopeful and intelligent” but questioned whether it was “useful or practicable.” Town Meeting disagreed and passed it 130–108 — one of the closer votes of the meeting.</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6 — Hancock Village Restrictive Covenant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authorized the Town to accept a restrictive covenant from Chestnut Hill Realty, the developer of Hancock Village, prohibiting future construction of new buildings or paved surfaces on a parcel surrounding the new multifamily building in the southwest portion of Hancock Village. The covenant mirrors a similar restriction already in place for the Residences of South Brookline development. This protects green space in the Hancock Village area from further development. It passed 231–3.</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7 — 2.5-Story Height Cap in Residential Districts (REFERRED)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REFERRED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zoning article, proposed by the Planning Department, would have added a 2.5-story height cap to several single-family (S), single-family converted (SC), and two-family (T) zoning districts. The intent was to reinforce prevailing neighborhood character and encourage “adaptive reuse” of existing structures rather than demolition and replacement with oversized new construction. The article went along with existing numerical height limits but would have added a story-count restriction.</w:t>
      </w:r>
    </w:p>
    <w:p>
      <w:pPr>
        <w:spacing w:after="300"/>
      </w:pPr>
      <w:r>
        <w:rPr>
          <w:rFonts w:ascii="Arial" w:cs="Arial" w:eastAsia="Arial" w:hAnsi="Arial"/>
          <w:sz w:val="21"/>
          <w:szCs w:val="21"/>
        </w:rPr>
        <w:t xml:space="preserve">After debate was terminated, the article was referred to a study committee by the razor-thin margin of 124–122 — just two votes. This was one of three major zoning articles referred back for further study at this meeting, reflecting Town Meeting’s caution about making significant zoning changes without broader consensus.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8 — ZBA Minimum Lot Size Waiver for Conversions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article amended Section 5.05 of the Zoning By-Laws to allow the Zoning Board of Appeals (ZBA) to waive the minimum lot size requirement when a homeowner seeks a special permit to convert an existing structure to add dwelling units. By removing just four words from the zoning code, the change made it easier to add a unit to existing homes on small lots — for example, converting a single-family home on an undersized lot to a two-family home.</w:t>
      </w:r>
    </w:p>
    <w:p>
      <w:pPr>
        <w:spacing w:after="300"/>
      </w:pPr>
      <w:r>
        <w:rPr>
          <w:rFonts w:ascii="Arial" w:cs="Arial" w:eastAsia="Arial" w:hAnsi="Arial"/>
          <w:sz w:val="21"/>
          <w:szCs w:val="21"/>
        </w:rPr>
        <w:t xml:space="preserve">Sponsor Chi Chi Wu called it “a small, modest forward measure” that could create more housing while discouraging demolitions. A motion to refer failed 112–131, and the article then passed 149–92. This was the only one of the three contested zoning proposals that actually passed rather than being sent back for further study.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10 — Harvard Street Form-Based Zone Tweaks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made minor adjustments to Article XI of the Zoning By-Laws, the form-based zoning code for the Harvard Street corridor adopted under the MBTA Communities Act compliance in November 2023. The tweaks expanded the list of allowed exterior construction materials (for energy efficiency and aesthetics), added flexibility for childcare centers and educational services consistent with a 2024 Attorney General’s decision on Dover Amendment uses, and added personal services to the allowed use categories. These were largely technical refinements to the landmark Harvard Street rezoning. Passed unanimously (237–0).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9 — Third Unit in Two-Family (T) Districts (REFERRED)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Second 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REFERRED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was the most debated zoning article of the meeting, consuming much of Night 2. It proposed allowing homeowners in two-family (T) zoning districts to add a third dwelling unit by right — essentially converting Brookline’s two-family zones to three-family zones — without changing any other zoning parameters such as height, lot coverage, or floor area ratio.</w:t>
      </w:r>
    </w:p>
    <w:p>
      <w:pPr>
        <w:spacing w:after="120"/>
      </w:pPr>
      <w:r>
        <w:rPr>
          <w:rFonts w:ascii="Arial" w:cs="Arial" w:eastAsia="Arial" w:hAnsi="Arial"/>
          <w:sz w:val="21"/>
          <w:szCs w:val="21"/>
        </w:rPr>
        <w:t xml:space="preserve">Sponsor Katha Seidman argued that Brookline and the greater Boston area face an acute housing shortage and that this article would create a modest number of additional units while helping existing homeowners generate income or age in place. Select Board Chair Bernard Greene spoke in favor of referral, arguing the proposal needed more study.</w:t>
      </w:r>
    </w:p>
    <w:p>
      <w:pPr>
        <w:spacing w:after="120"/>
      </w:pPr>
      <w:r>
        <w:rPr>
          <w:rFonts w:ascii="Arial" w:cs="Arial" w:eastAsia="Arial" w:hAnsi="Arial"/>
          <w:sz w:val="21"/>
          <w:szCs w:val="21"/>
        </w:rPr>
        <w:t xml:space="preserve">The first motion to terminate debate failed despite getting more yes votes (142) than no votes (91), because motions to terminate debate require a two-thirds supermajority. A second attempt succeeded (189–51). The article was then referred to a study committee by a vote of 130–116.</w:t>
      </w:r>
    </w:p>
    <w:p>
      <w:pPr>
        <w:spacing w:after="300"/>
      </w:pPr>
      <w:r>
        <w:rPr>
          <w:rFonts w:ascii="Arial" w:cs="Arial" w:eastAsia="Arial" w:hAnsi="Arial"/>
          <w:sz w:val="21"/>
          <w:szCs w:val="21"/>
        </w:rPr>
        <w:t xml:space="preserve">*Note: The first motion to terminate debate received 142 yes and 91 no votes (60.9%) but failed because these motions require a two-thirds supermajority (66.7%).</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11 — Harvard Street: Planning Board Design Flexibility (FAILED)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article would have amended the Harvard Street form-based zoning code to allow the Planning Board to grant design flexibility during site plan and design review. Specifically, it would have let the Planning Board approve departures from the strict requirements of the form-based code’s massing, façade articulation, and architectural element standards, provided the overall design was “substantially consistent” with the code’s guiding principles. This was meant to give projects some room for creative design while maintaining the spirit of the new zoning.</w:t>
      </w:r>
    </w:p>
    <w:p>
      <w:pPr>
        <w:spacing w:after="120"/>
      </w:pPr>
      <w:r>
        <w:rPr>
          <w:rFonts w:ascii="Arial" w:cs="Arial" w:eastAsia="Arial" w:hAnsi="Arial"/>
          <w:sz w:val="21"/>
          <w:szCs w:val="21"/>
        </w:rPr>
        <w:t xml:space="preserve">Despite receiving 138 yes votes to only 98 no votes, the article failed because zoning changes require a two-thirds supermajority. At 58.5%, it fell short of the 66.7% threshold.</w:t>
      </w:r>
    </w:p>
    <w:p>
      <w:pPr>
        <w:spacing w:after="300"/>
      </w:pPr>
      <w:r>
        <w:rPr>
          <w:rFonts w:ascii="Arial" w:cs="Arial" w:eastAsia="Arial" w:hAnsi="Arial"/>
          <w:sz w:val="21"/>
          <w:szCs w:val="21"/>
        </w:rPr>
        <w:t xml:space="preserve">*Note: This article received more yes than no votes but failed because zoning amendments require a two-thirds supermajority under Massachusetts law.</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13 — Sign Regulations in Harvard Street District (FAILED)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proposed changes to Article VII of the Zoning By-Laws governing signs, illumination, and regulated façade alterations in the Harvard Street district. It would have allowed greater design flexibility for signage in the corridor. Both the Select Board and Advisory Committee recommended against it. It was soundly defeated 61–172.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14 — Condo Spacing in M-1.0 District (REFERRED)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REFERRED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would have given condominium properties in the M-1.0 (multifamily) zoning district the same ability that rental properties already have to obtain a special permit for reduced spacing between buildings on the same lot. Currently, this flexibility exists only for rental developments, creating an inequity for condo developments. The article was referred to committee for further study (157–74).</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12 — Outdoor Lighting Standards (REFERRED)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REFERRED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proposed adding outdoor lighting standards to the Zoning By-Law to reduce glare and light pollution. During debate earlier in the week, an error in the proposed language was uncovered. Town Meeting voted nearly unanimously (177–2) to refer it back to the Planning Department to correct the issue before bringing it back for a future vote.</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17 — Nuclear Weapons Contracting (Home Rule Petition) (FAILED)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home rule petition asked the state legislature to allow the Town to disqualify companies involved in the design, manufacturing, or maintenance of nuclear weapons from bidding on Town contracts. Proponents argued it would set a precedent for other municipalities and help advance nuclear disarmament.</w:t>
      </w:r>
    </w:p>
    <w:p>
      <w:pPr>
        <w:spacing w:after="300"/>
      </w:pPr>
      <w:r>
        <w:rPr>
          <w:rFonts w:ascii="Arial" w:cs="Arial" w:eastAsia="Arial" w:hAnsi="Arial"/>
          <w:sz w:val="21"/>
          <w:szCs w:val="21"/>
        </w:rPr>
        <w:t xml:space="preserve">Opponents, including a unanimous Select Board and the Advisory Committee, raised concerns about unintended consequences. Honeywell, whose HVAC products are widely used throughout Town buildings, was frequently cited as a contractor that would potentially be affected. Critics also questioned whether restricting maintenance of existing nuclear weapons was wise from a safety perspective. The article failed 93–133.</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18 — Rodenticide Restrictions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home rule petition asked the state legislature to allow Brookline to prohibit or restrict the use of second-generation anticoagulant rodenticides (SGARs) within Town borders. SGARs are highly toxic rat poisons that persist in the food chain, killing not just rodents but also the predators that eat them — including hawks, owls, bald eagles, and coyotes. Proponents argued that trash control is the most effective way to reduce rodent populations and that these poisons cause unnecessary harm to wildlife. The petition passed 233–7.</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16 — Tree Preservation By-Law Expansion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article significantly expanded Brookline’s Tree Preservation By-Law, originally passed in November 2022. The updates extended protections from residential property only to all private property, required tree protection plans when protected trees are within 30 feet of demolition, excavation, or construction activity (expanded from the previous 20-foot standard and limited trigger), and strengthened requirements around tree removal monitoring.</w:t>
      </w:r>
    </w:p>
    <w:p>
      <w:pPr>
        <w:spacing w:after="300"/>
      </w:pPr>
      <w:r>
        <w:rPr>
          <w:rFonts w:ascii="Arial" w:cs="Arial" w:eastAsia="Arial" w:hAnsi="Arial"/>
          <w:sz w:val="21"/>
          <w:szCs w:val="21"/>
        </w:rPr>
        <w:t xml:space="preserve">Proponents cited alarming data: between the 2015 and 2021 tree canopy surveys, Brookline lost roughly 71 acres of tree canopy (approximately eight Fenway Parks), with half of the loss occurring on one-to-three family lots — despite the Town planting 300–400 new trees per year. Town Counsel Joseph Callanan flagged potential legal issues with some provisions, but the Advisory Committee recommended passage, with members arguing the changes were “worth fighting for.” It passed 184–41.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15 — Accessory Dwelling Units (State Law Compliance)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Brookline’s zoning regulations for accessory dwelling units (ADUs) to comply with a new state law that made ADUs easier to build statewide. The article struck a balance between enabling new housing options and protecting neighborhood privacy and aesthetics while ensuring Brookline remained within state law. Advisory Committee member Kelly Hardebeck said the article “allows us to comply with state law while maintaining control over how ADUs are integrated into our neighborhoods.” It passed 238–1.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19 — Jewish American Heritage Month</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established May as Jewish American Heritage Month in Brookline, in recognition of the town’s large and historically significant Jewish community and its contributions to civic life. Similar resolutions have been passed in recent years for Martin Luther King Jr. Day, Indigenous People’s Day, and Asian American and Pacific Islander Heritage Month. Passed unanimously (230–0).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20 — Israel/Gaza Ceasefire Resolution (TABLED)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Advisory Committee: No recommendation.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Lay on the Table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TABLED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For the second time in 2024, Town Meeting voted to table a resolution calling for a ceasefire between Israel and Hamas without any debate or vote on its substance. The resolution called for “an immediate, permanent, bilateral ceasefire and unrestricted passage of humanitarian aid into Gaza” and “the immediate safe return of all Israeli hostages held in Gaza.”</w:t>
      </w:r>
    </w:p>
    <w:p>
      <w:pPr>
        <w:spacing w:after="300"/>
      </w:pPr>
      <w:r>
        <w:rPr>
          <w:rFonts w:ascii="Arial" w:cs="Arial" w:eastAsia="Arial" w:hAnsi="Arial"/>
          <w:sz w:val="21"/>
          <w:szCs w:val="21"/>
        </w:rPr>
        <w:t xml:space="preserve">Town Meeting member Shira Fischer filed the tabling motion with 70 co-signers, arguing that international affairs resolutions are not a productive use of Town Meeting’s time. Sponsors of the resolution, including Emma Nash, called the tabling “disappointing,” arguing that Town Meeting was avoiding its democratic responsibility. As in May, rallies both for and against the resolution took place outside Brookline High School before the meeting. The vote to table was 176–50, slightly narrower than the May vote (180–42).</w:t>
      </w:r>
    </w:p>
    <w:p>
      <w:pPr>
        <w:pBdr>
          <w:bottom w:val="single" w:color="CCCCCC" w:sz="1" w:space="1"/>
        </w:pBdr>
        <w:spacing w:after="200"/>
      </w:pPr>
    </w:p>
    <w:p>
      <w:pPr>
        <w:spacing w:before="300"/>
      </w:pPr>
      <w:r>
        <w:rPr>
          <w:rFonts w:ascii="Arial" w:cs="Arial" w:eastAsia="Arial" w:hAnsi="Arial"/>
          <w:i/>
          <w:iCs/>
          <w:color w:val="888888"/>
          <w:sz w:val="18"/>
          <w:szCs w:val="18"/>
        </w:rPr>
        <w:t xml:space="preserve">Source: Town of Brookline, MA — November 2024 Special Town Meeting Warrant, Combined Reports, Minutes, and Electronic Voting Records. Board recommendation votes sourced from the Combined Reports and Supplements. Summaries prepared for general informational purposes.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2026-02-26T13:40:47.666Z</dcterms:created>
  <dcterms:modified xsi:type="dcterms:W3CDTF">2026-02-26T13:40:47.668Z</dcterms:modified>
</cp:coreProperties>
</file>

<file path=docProps/custom.xml><?xml version="1.0" encoding="utf-8"?>
<Properties xmlns="http://schemas.openxmlformats.org/officeDocument/2006/custom-properties" xmlns:vt="http://schemas.openxmlformats.org/officeDocument/2006/docPropsVTypes"/>
</file>