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Brookline Town Meeting Vote Summaries</w:t>
      </w:r>
    </w:p>
    <w:p>
      <w:pPr>
        <w:spacing w:after="120"/>
        <w:jc w:val="center"/>
      </w:pPr>
      <w:r>
        <w:rPr>
          <w:rFonts w:ascii="Arial" w:cs="Arial" w:eastAsia="Arial" w:hAnsi="Arial"/>
          <w:color w:val="4472C4"/>
          <w:sz w:val="26"/>
          <w:szCs w:val="26"/>
        </w:rPr>
        <w:t xml:space="preserve">November 2025 Special Town Meeting</w:t>
      </w:r>
    </w:p>
    <w:p>
      <w:pPr>
        <w:spacing w:after="400"/>
        <w:jc w:val="center"/>
      </w:pPr>
      <w:r>
        <w:rPr>
          <w:rFonts w:ascii="Arial" w:cs="Arial" w:eastAsia="Arial" w:hAnsi="Arial"/>
          <w:i/>
          <w:iCs/>
          <w:color w:val="666666"/>
          <w:sz w:val="20"/>
          <w:szCs w:val="20"/>
        </w:rPr>
        <w:t xml:space="preserve">Held in person at Brookline High School Auditorium over two nights: November 18–19, 2025</w:t>
      </w:r>
    </w:p>
    <w:p>
      <w:pPr>
        <w:spacing w:after="200"/>
      </w:pPr>
      <w:r>
        <w:rPr>
          <w:rFonts w:ascii="Arial" w:cs="Arial" w:eastAsia="Arial" w:hAnsi="Arial"/>
          <w:sz w:val="22"/>
          <w:szCs w:val="22"/>
        </w:rPr>
        <w:t xml:space="preserve">This document provides plain-language summaries of all 19 recorded votes from the November 2025 Special Town Meeting. These votes covered 16 distinct articles across two nights. A resolution calling for Trump’s removal from office dominated headlines, while zoning, tenant protections, and community resolutions rounded out the agenda.</w:t>
      </w:r>
    </w:p>
    <w:p>
      <w:pPr>
        <w:spacing w:after="100"/>
      </w:pPr>
      <w:r>
        <w:rPr>
          <w:rFonts w:ascii="Arial" w:cs="Arial" w:eastAsia="Arial" w:hAnsi="Arial"/>
          <w:b/>
          <w:bCs/>
          <w:sz w:val="22"/>
          <w:szCs w:val="22"/>
        </w:rPr>
        <w:t xml:space="preserve">A quick guide to vote types:</w:t>
      </w:r>
    </w:p>
    <w:p>
      <w:pPr>
        <w:spacing w:after="60"/>
        <w:ind w:left="360"/>
      </w:pPr>
      <w:r>
        <w:rPr>
          <w:rFonts w:ascii="Arial" w:cs="Arial" w:eastAsia="Arial" w:hAnsi="Arial"/>
          <w:b/>
          <w:bCs/>
          <w:sz w:val="20"/>
          <w:szCs w:val="20"/>
        </w:rPr>
        <w:t xml:space="preserve">Main Motion:</w:t>
      </w:r>
      <w:r>
        <w:rPr>
          <w:rFonts w:ascii="Arial" w:cs="Arial" w:eastAsia="Arial" w:hAnsi="Arial"/>
          <w:sz w:val="20"/>
          <w:szCs w:val="20"/>
        </w:rPr>
        <w:t xml:space="preserve"> The actual vote on the article itself — this is the one that matters most.</w:t>
      </w:r>
    </w:p>
    <w:p>
      <w:pPr>
        <w:spacing w:after="60"/>
        <w:ind w:left="360"/>
      </w:pPr>
      <w:r>
        <w:rPr>
          <w:rFonts w:ascii="Arial" w:cs="Arial" w:eastAsia="Arial" w:hAnsi="Arial"/>
          <w:b/>
          <w:bCs/>
          <w:sz w:val="20"/>
          <w:szCs w:val="20"/>
        </w:rPr>
        <w:t xml:space="preserve">Motion to Terminate Debate:</w:t>
      </w:r>
      <w:r>
        <w:rPr>
          <w:rFonts w:ascii="Arial" w:cs="Arial" w:eastAsia="Arial" w:hAnsi="Arial"/>
          <w:sz w:val="20"/>
          <w:szCs w:val="20"/>
        </w:rPr>
        <w:t xml:space="preserve"> A procedural vote to end discussion and move to a vote. Requires a two-thirds majority.</w:t>
      </w:r>
    </w:p>
    <w:p>
      <w:pPr>
        <w:spacing w:after="60"/>
        <w:ind w:left="360"/>
      </w:pPr>
      <w:r>
        <w:rPr>
          <w:rFonts w:ascii="Arial" w:cs="Arial" w:eastAsia="Arial" w:hAnsi="Arial"/>
          <w:b/>
          <w:bCs/>
          <w:sz w:val="20"/>
          <w:szCs w:val="20"/>
        </w:rPr>
        <w:t xml:space="preserve">Motion to Refer:</w:t>
      </w:r>
      <w:r>
        <w:rPr>
          <w:rFonts w:ascii="Arial" w:cs="Arial" w:eastAsia="Arial" w:hAnsi="Arial"/>
          <w:sz w:val="20"/>
          <w:szCs w:val="20"/>
        </w:rPr>
        <w:t xml:space="preserve"> A vote to send the article back to a committee for further study rather than voting on it.</w:t>
      </w:r>
    </w:p>
    <w:p>
      <w:pPr>
        <w:spacing w:after="60"/>
        <w:ind w:left="360"/>
      </w:pPr>
      <w:r>
        <w:rPr>
          <w:rFonts w:ascii="Arial" w:cs="Arial" w:eastAsia="Arial" w:hAnsi="Arial"/>
          <w:b/>
          <w:bCs/>
          <w:sz w:val="20"/>
          <w:szCs w:val="20"/>
        </w:rPr>
        <w:t xml:space="preserve">Motion to Table:</w:t>
      </w:r>
      <w:r>
        <w:rPr>
          <w:rFonts w:ascii="Arial" w:cs="Arial" w:eastAsia="Arial" w:hAnsi="Arial"/>
          <w:sz w:val="20"/>
          <w:szCs w:val="20"/>
        </w:rPr>
        <w:t xml:space="preserve"> A procedural vote to shelve an article without debate or a vote on its substance. Requires a two-thirds majority.</w:t>
      </w:r>
    </w:p>
    <w:p>
      <w:pPr>
        <w:spacing w:after="60"/>
        <w:ind w:left="360"/>
      </w:pPr>
      <w:r>
        <w:rPr>
          <w:rFonts w:ascii="Arial" w:cs="Arial" w:eastAsia="Arial" w:hAnsi="Arial"/>
          <w:b/>
          <w:bCs/>
          <w:sz w:val="20"/>
          <w:szCs w:val="20"/>
        </w:rPr>
        <w:t xml:space="preserve">Resolution:</w:t>
      </w:r>
      <w:r>
        <w:rPr>
          <w:rFonts w:ascii="Arial" w:cs="Arial" w:eastAsia="Arial" w:hAnsi="Arial"/>
          <w:sz w:val="20"/>
          <w:szCs w:val="20"/>
        </w:rPr>
        <w:t xml:space="preserve"> A non-binding statement of Town Meeting’s position on an issue.</w:t>
      </w:r>
    </w:p>
    <w:p>
      <w:pPr>
        <w:spacing w:after="60"/>
        <w:ind w:left="360"/>
      </w:pPr>
      <w:r>
        <w:rPr>
          <w:rFonts w:ascii="Arial" w:cs="Arial" w:eastAsia="Arial" w:hAnsi="Arial"/>
          <w:b/>
          <w:bCs/>
          <w:sz w:val="20"/>
          <w:szCs w:val="20"/>
        </w:rPr>
        <w:t xml:space="preserve">Unrecorded vote:</w:t>
      </w:r>
      <w:r>
        <w:rPr>
          <w:rFonts w:ascii="Arial" w:cs="Arial" w:eastAsia="Arial" w:hAnsi="Arial"/>
          <w:sz w:val="20"/>
          <w:szCs w:val="20"/>
        </w:rPr>
        <w:t xml:space="preserve"> A standing vote counted by the Moderator rather than the usual electronic keypad vote.</w:t>
      </w:r>
    </w:p>
    <w:p>
      <w:pPr>
        <w:spacing w:after="100"/>
      </w:pPr>
    </w:p>
    <w:p>
      <w:pPr>
        <w:spacing w:after="200"/>
      </w:pPr>
      <w:r>
        <w:rPr>
          <w:rFonts w:ascii="Arial" w:cs="Arial" w:eastAsia="Arial" w:hAnsi="Arial"/>
          <w:b/>
          <w:bCs/>
          <w:sz w:val="20"/>
          <w:szCs w:val="20"/>
        </w:rPr>
        <w:t xml:space="preserve">About Board Recommendations: </w:t>
      </w:r>
      <w:r>
        <w:rPr>
          <w:rFonts w:ascii="Arial" w:cs="Arial" w:eastAsia="Arial" w:hAnsi="Arial"/>
          <w:sz w:val="20"/>
          <w:szCs w:val="20"/>
        </w:rPr>
        <w:t xml:space="preserve">Before Town Meeting votes, the Select Board (Brookline’s elected executive board) and the Advisory Committee (an appointed citizen finance committee) each review every article and publish recommendations.</w:t>
      </w:r>
    </w:p>
    <w:p>
      <w:pPr>
        <w:spacing w:after="300"/>
      </w:pPr>
    </w:p>
    <w:p>
      <w:pPr>
        <w:pBdr>
          <w:bottom w:val="single" w:color="4472C4" w:sz="6" w:space="1"/>
        </w:pBdr>
        <w:spacing w:after="300"/>
      </w:pPr>
    </w:p>
    <w:p>
      <w:pPr>
        <w:spacing w:after="120" w:before="200"/>
      </w:pPr>
      <w:r>
        <w:rPr>
          <w:rFonts w:ascii="Arial" w:cs="Arial" w:eastAsia="Arial" w:hAnsi="Arial"/>
          <w:b/>
          <w:bCs/>
          <w:color w:val="1F3864"/>
          <w:sz w:val="26"/>
          <w:szCs w:val="26"/>
        </w:rPr>
        <w:t xml:space="preserve">Article 2 — Collective Bargaining Agreements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approved funding for collective bargaining agreements between the Town and its employee unions. Passed 236–2.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3 — FY2026 Budget Amendment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A mid-year amendment to the FY2026 budget to account for changes since the spring. Passed unanimously (240–0).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4 — General By-Laws Update and Corrections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updated and corrected inconsistencies throughout the General By-Laws to provide a more accessible and accurate version of the document. This complemented the May 2025 vote (Art. 23) requiring the Town Clerk to timely update by-laws after amendments. Passed 239–1.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6 — Family Child Care Zoning Compliance</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amended Article IV of the Zoning By-Law to comply with M.G.L. Chapter 40A, Section 3 — the Dover Amendment — which was updated in the state’s fiscal 2025 budget to explicitly classify family child care homes and large family child care homes as an allowable land use that cannot be prohibited or regulated by local zoning. This was a mandatory compliance measure. Passed 240–2.</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7 — Clark Road Multi-Family Overlay District</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zoning article created a Clark Road Multi-Family Overlay District to allow the adaptive reuse of a former Maimonides School building at 2 Clark Road into approximately 33–35 rental units, with the possibility of four additional townhouses on a vacant portion of the parcel fronting Philbrick Road. The original building would be retained with only a small rooftop addition.</w:t>
      </w:r>
    </w:p>
    <w:p>
      <w:pPr>
        <w:spacing w:after="300"/>
      </w:pPr>
      <w:r>
        <w:rPr>
          <w:rFonts w:ascii="Arial" w:cs="Arial" w:eastAsia="Arial" w:hAnsi="Arial"/>
          <w:sz w:val="21"/>
          <w:szCs w:val="21"/>
        </w:rPr>
        <w:t xml:space="preserve">The development would restore a path from Clark Road to Philbrick Road and include plans for a play area for neighborhood children. Attorney Jeffrey Allen, who submitted the article, emphasized that the adaptive reuse approach minimized typical concerns about demolition and new construction. Neighborhood response was described as “very positive.” The property would also become tax-paying. Town Meeting members visited the site before the vote. It passed 238–1 — well above the two-thirds supermajority required for zoning changes.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8 — Nuisance Lighting By-Law (REFERRED)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Refer.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Terminate Debate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REFERRED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This article proposed a General By-Law to address excessive nighttime lighting in residential areas, providing residents a formal complaint process for nuisance lighting such as glare and light trespass. The article went through multiple rounds of revision before Town Meeting and continued to be amended by petitioners and others.</w:t>
      </w:r>
    </w:p>
    <w:p>
      <w:pPr>
        <w:spacing w:after="300"/>
      </w:pPr>
      <w:r>
        <w:rPr>
          <w:rFonts w:ascii="Arial" w:cs="Arial" w:eastAsia="Arial" w:hAnsi="Arial"/>
          <w:sz w:val="21"/>
          <w:szCs w:val="21"/>
        </w:rPr>
        <w:t xml:space="preserve">Town Counsel Joe Callanan argued the article would contradict existing regulations by addressing lighting through a General By-Law rather than a Zoning By-Law. Members were also concerned about unclear language and potential impacts on holiday lighting. While many members supported the article’s broader goals of reducing light pollution, the article was referred to a Moderator’s Committee for further review (145–96). This was the second time a lighting regulation had been referred — Article 12 at the November 2024 meeting was also sent back due to a drafting error.</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9 — Renter’s Handbook</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created a new section of the General By-Laws establishing a Renter’s Handbook — a resource containing tenant rights information — and a tenant notification program to combat housing instability in Brookline. The handbook would help renters understand their rights under state and local law. Passed 230–4.</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10 — Campagna Diamond at Warren Field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article named the baseball diamond at the northwest corner of Warren Field (133 Eliot Street) as “Campagna Diamond” in honor of Joseph Campagna, a Brookline native and beloved longtime varsity baseball coach at Brookline High School. During his over-three-decade coaching career, Campagna led the BHS baseball team to over 250 victories and was inducted into the Massachusetts Baseball Coaches Hall of Fame. He also served as BHS Assistant Athletic Director, a sports reporter for the Brookline TAB, and on the school’s Hall of Fame Committee. Campagna said of the honor: “I grew up in that park and played ball there as a kid and coached there for many years.” Passed unanimously (226–0).</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13 — Fisher Hill Property — Consider Older Population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asked the Town to consider the needs of Brookline’s older adult population when determining the use of the Fisher Hill property, the former Newbury College campus. The Town had proposed a recreation and community center for the site. Ruth Seidman, co-chair of the Brookline Community Aging Network, said the property “offers the potential for intergenerational activities and connections.” Members discussed possible uses including expanding the Brookline Senior Center with a recreational center and community pool. Passed 230–1.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17 — Tree Preservation Practices Resolution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aimed to protect trees in Brookline’s parks, open spaces, and playgrounds as part of the larger ongoing effort to restore the town’s tree canopy. It complemented the Tree Preservation By-Law expansions adopted in November 2022 and November 2024, which focused on private property. Passed 224–8.</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Articles 11 &amp; 12 — Advisory Committee Service on Building Committees (REFERRED)</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 on amendment.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 Amendment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Refer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FF8C00"/>
                <w:sz w:val="18"/>
                <w:szCs w:val="18"/>
              </w:rPr>
              <w:t xml:space="preserve">REFERRED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These two companion articles addressed Advisory Committee members’ ability to participate in town governance. Article 11 would have amended the General By-Laws to allow Advisory Committee members to serve on boards or committees related to the construction or reconstruction of specific Town buildings or properties. Article 12 would have clarified standing board and expenditure control language relative to Advisory Committee appointments.</w:t>
      </w:r>
    </w:p>
    <w:p>
      <w:pPr>
        <w:spacing w:after="300"/>
      </w:pPr>
      <w:r>
        <w:rPr>
          <w:rFonts w:ascii="Arial" w:cs="Arial" w:eastAsia="Arial" w:hAnsi="Arial"/>
          <w:sz w:val="21"/>
          <w:szCs w:val="21"/>
        </w:rPr>
        <w:t xml:space="preserve">An Advisory Committee amendment passed 205–14, but both articles were then referred nearly unanimously (229–1) to the Committee on Town Organization and Structure for further study.</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14 — Contact Information for Public Officials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advocated that the identities and contact information of all elected town officials be prominently listed on the Town’s website and made available at the Town Clerk’s office immediately upon request. The article was prompted by an incident in which the names and contact information of the Town’s constables were removed from the website without their knowledge. Four of the five petitioners were current constables. Passed 234–1.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15 — LGBTQIA+ Pride Month</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designated June as LGBTQIA+ Pride Month in Brookline. It encouraged government agencies, businesses, schools, and institutions to support the rights of LGBTQIA+ people and urged the Select Board to appropriate funding for Pride Month activities, celebrations, and education. It also called for recognizing dates including Transgender Day of Visibility, the International Day Against Homophobia, Biphobia and Transphobia, and the Stonewall Riots Anniversary. Over a dozen people waved signs outside BHS before Night 2 in support. Passed 222–3.</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16 — WNBA Franchise for Boston</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supported bringing a WNBA franchise to the Boston area. Celtics minority owner Steve Pagliuca had reached a $325 million deal to purchase the Connecticut Sun with plans to eventually relocate the team to Boston. Passed unanimously (213–0), though with 19 abstentions.</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18 — Recordings of Public Meetings</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Select Board: Favorable Action. 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bl>
    <w:p>
      <w:pPr>
        <w:spacing w:after="60" w:before="140"/>
      </w:pPr>
      <w:r>
        <w:rPr>
          <w:rFonts w:ascii="Arial" w:cs="Arial" w:eastAsia="Arial" w:hAnsi="Arial"/>
          <w:b/>
          <w:bCs/>
          <w:color w:val="2E75B6"/>
          <w:sz w:val="21"/>
          <w:szCs w:val="21"/>
        </w:rPr>
        <w:t xml:space="preserve">What this was about:</w:t>
      </w:r>
    </w:p>
    <w:p>
      <w:pPr>
        <w:spacing w:after="300"/>
      </w:pPr>
      <w:r>
        <w:rPr>
          <w:rFonts w:ascii="Arial" w:cs="Arial" w:eastAsia="Arial" w:hAnsi="Arial"/>
          <w:sz w:val="21"/>
          <w:szCs w:val="21"/>
        </w:rPr>
        <w:t xml:space="preserve">This resolution addressed the availability of recordings of public meetings, supporting transparency and public access to town governance proceedings. Passed 233–1.</w:t>
      </w:r>
    </w:p>
    <w:p>
      <w:pPr>
        <w:pBdr>
          <w:bottom w:val="single" w:color="CCCCCC" w:sz="1" w:space="1"/>
        </w:pBdr>
        <w:spacing w:after="200"/>
      </w:pPr>
    </w:p>
    <w:p>
      <w:pPr>
        <w:spacing w:after="120" w:before="200"/>
      </w:pPr>
      <w:r>
        <w:rPr>
          <w:rFonts w:ascii="Arial" w:cs="Arial" w:eastAsia="Arial" w:hAnsi="Arial"/>
          <w:b/>
          <w:bCs/>
          <w:color w:val="1F3864"/>
          <w:sz w:val="26"/>
          <w:szCs w:val="26"/>
        </w:rPr>
        <w:t xml:space="preserve">Article 19 — Resolution Calling for Removal of Donald Trump from Office</w:t>
      </w:r>
    </w:p>
    <w:p>
      <w:pPr>
        <w:spacing w:after="100"/>
      </w:pPr>
      <w:r>
        <w:rPr>
          <w:rFonts w:ascii="Arial" w:cs="Arial" w:eastAsia="Arial" w:hAnsi="Arial"/>
          <w:b/>
          <w:bCs/>
          <w:color w:val="595959"/>
          <w:sz w:val="19"/>
          <w:szCs w:val="19"/>
        </w:rPr>
        <w:t xml:space="preserve">Board Recommendations: </w:t>
      </w:r>
      <w:r>
        <w:rPr>
          <w:rFonts w:ascii="Arial" w:cs="Arial" w:eastAsia="Arial" w:hAnsi="Arial"/>
          <w:i/>
          <w:iCs/>
          <w:color w:val="595959"/>
          <w:sz w:val="19"/>
          <w:szCs w:val="19"/>
        </w:rPr>
        <w:t xml:space="preserve">Advisory Committee: Favorable Action.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700"/>
        <w:gridCol w:w="700"/>
        <w:gridCol w:w="700"/>
      </w:tblGrid>
      <w:tr>
        <w:tc>
          <w:tcPr>
            <w:tcW w:type="dxa" w:w="4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Vote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Result</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No</w:t>
            </w:r>
          </w:p>
        </w:tc>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18"/>
                <w:szCs w:val="18"/>
              </w:rPr>
              <w:t xml:space="preserve">Abst.</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Motion to Table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FAILED*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r>
      <w:tr>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Motion (unrecorded vote)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6400"/>
                <w:sz w:val="18"/>
                <w:szCs w:val="18"/>
              </w:rPr>
              <w:t xml:space="preserve">APPROVED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r>
    </w:tbl>
    <w:p>
      <w:pPr>
        <w:spacing w:after="60" w:before="140"/>
      </w:pPr>
      <w:r>
        <w:rPr>
          <w:rFonts w:ascii="Arial" w:cs="Arial" w:eastAsia="Arial" w:hAnsi="Arial"/>
          <w:b/>
          <w:bCs/>
          <w:color w:val="2E75B6"/>
          <w:sz w:val="21"/>
          <w:szCs w:val="21"/>
        </w:rPr>
        <w:t xml:space="preserve">What this was about:</w:t>
      </w:r>
    </w:p>
    <w:p>
      <w:pPr>
        <w:spacing w:after="120"/>
      </w:pPr>
      <w:r>
        <w:rPr>
          <w:rFonts w:ascii="Arial" w:cs="Arial" w:eastAsia="Arial" w:hAnsi="Arial"/>
          <w:sz w:val="21"/>
          <w:szCs w:val="21"/>
        </w:rPr>
        <w:t xml:space="preserve">The most nationally noticed article of the meeting. This resolution called for the removal of President Donald Trump from office, citing “increasingly frequent and serious violations of the Constitution” and what petitioners described as his “manifest inability to discharge the powers and duties of his office.” The resolution referenced the 25th Amendment as a mechanism for removal and cited specific incidents including the firing of the Bureau of Labor Statistics director and a Defense Intelligence Agency general after disagreements with the president.</w:t>
      </w:r>
    </w:p>
    <w:p>
      <w:pPr>
        <w:spacing w:after="120"/>
      </w:pPr>
      <w:r>
        <w:rPr>
          <w:rFonts w:ascii="Arial" w:cs="Arial" w:eastAsia="Arial" w:hAnsi="Arial"/>
          <w:sz w:val="21"/>
          <w:szCs w:val="21"/>
        </w:rPr>
        <w:t xml:space="preserve">Petitioner Jonathan Margolis, a Town Meeting member from Precinct 7, invoked Brookline’s revolutionary heritage: “I’m sure that some people said to them, ‘What can your puny company do against the British Empire?’ But they went anyway. I suggest to you that this is our time to stand up.”</w:t>
      </w:r>
    </w:p>
    <w:p>
      <w:pPr>
        <w:spacing w:after="120"/>
      </w:pPr>
      <w:r>
        <w:rPr>
          <w:rFonts w:ascii="Arial" w:cs="Arial" w:eastAsia="Arial" w:hAnsi="Arial"/>
          <w:sz w:val="21"/>
          <w:szCs w:val="21"/>
        </w:rPr>
        <w:t xml:space="preserve">A motion to table — which would have avoided debate entirely, as had happened twice with the ceasefire resolutions in 2024 — failed because it did not achieve the required two-thirds supermajority (146–78). Unlike those ceasefire votes, this time the tabling motion was defeated, allowing the resolution to be debated and voted upon.</w:t>
      </w:r>
    </w:p>
    <w:p>
      <w:pPr>
        <w:spacing w:after="120"/>
      </w:pPr>
      <w:r>
        <w:rPr>
          <w:rFonts w:ascii="Arial" w:cs="Arial" w:eastAsia="Arial" w:hAnsi="Arial"/>
          <w:sz w:val="21"/>
          <w:szCs w:val="21"/>
        </w:rPr>
        <w:t xml:space="preserve">The main motion was then taken by an unrecorded (standing) vote rather than the usual electronic vote. The Advisory Committee had recommended favorable action, noting Brookline’s “long tradition of adopting values-based resolutions.” The resolution passed 141–27 with 20 abstentions, garnering coverage from Boston.com and other outlets.</w:t>
      </w:r>
    </w:p>
    <w:p>
      <w:pPr>
        <w:spacing w:after="300"/>
      </w:pPr>
      <w:r>
        <w:rPr>
          <w:rFonts w:ascii="Arial" w:cs="Arial" w:eastAsia="Arial" w:hAnsi="Arial"/>
          <w:sz w:val="21"/>
          <w:szCs w:val="21"/>
        </w:rPr>
        <w:t xml:space="preserve">*Note: The motion to table received more yes than no votes but failed because tabling motions require a two-thirds supermajority. At 146 yes out of 224 voting (65.2%), it fell just short of the 66.7% threshold.</w:t>
      </w:r>
    </w:p>
    <w:p>
      <w:pPr>
        <w:pBdr>
          <w:bottom w:val="single" w:color="CCCCCC" w:sz="1" w:space="1"/>
        </w:pBdr>
        <w:spacing w:after="200"/>
      </w:pPr>
    </w:p>
    <w:p>
      <w:pPr>
        <w:spacing w:before="300"/>
      </w:pPr>
      <w:r>
        <w:rPr>
          <w:rFonts w:ascii="Arial" w:cs="Arial" w:eastAsia="Arial" w:hAnsi="Arial"/>
          <w:i/>
          <w:iCs/>
          <w:color w:val="888888"/>
          <w:sz w:val="18"/>
          <w:szCs w:val="18"/>
        </w:rPr>
        <w:t xml:space="preserve">Source: Town of Brookline, MA — November 2025 Special Town Meeting Warrant, Combined Reports, and Electronic/Standing Voting Records. Summaries prepared for general informational purposes.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2026-02-26T13:55:40.052Z</dcterms:created>
  <dcterms:modified xsi:type="dcterms:W3CDTF">2026-02-26T13:55:40.053Z</dcterms:modified>
</cp:coreProperties>
</file>

<file path=docProps/custom.xml><?xml version="1.0" encoding="utf-8"?>
<Properties xmlns="http://schemas.openxmlformats.org/officeDocument/2006/custom-properties" xmlns:vt="http://schemas.openxmlformats.org/officeDocument/2006/docPropsVTypes"/>
</file>