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555555"/>
          <w:sz w:val="28"/>
          <w:szCs w:val="28"/>
        </w:rPr>
        <w:t xml:space="preserve">REPLICATION PLAN</w:t>
      </w:r>
    </w:p>
    <w:p>
      <w:pPr>
        <w:spacing w:after="80"/>
      </w:pPr>
      <w:r>
        <w:rPr>
          <w:b/>
          <w:bCs/>
          <w:sz w:val="44"/>
          <w:szCs w:val="44"/>
        </w:rPr>
        <w:t xml:space="preserve">The Causal Effect of Debt on Interest Rates</w:t>
      </w:r>
    </w:p>
    <w:p>
      <w:pPr>
        <w:pBdr>
          <w:bottom w:val="single" w:color="888888" w:sz="8" w:space="8"/>
        </w:pBdr>
        <w:spacing w:after="40"/>
      </w:pPr>
      <w:r>
        <w:rPr>
          <w:i/>
          <w:iCs/>
          <w:sz w:val="22"/>
          <w:szCs w:val="22"/>
        </w:rPr>
        <w:t xml:space="preserve">Bhatt, Diercks, Eyal &amp; Skaperdas (2026) — Finance and Economics Discussion Series 2026-031</w:t>
      </w:r>
    </w:p>
    <w:p>
      <w:pPr>
        <w:spacing w:after="200"/>
      </w:pPr>
    </w:p>
    <w:p>
      <w:pPr>
        <w:spacing w:after="120" w:line="276"/>
      </w:pPr>
      <w:r>
        <w:rPr>
          <w:b w:val="false"/>
          <w:bCs w:val="false"/>
          <w:i w:val="false"/>
          <w:iCs w:val="false"/>
        </w:rPr>
        <w:t xml:space="preserve">Working protocol for a full replication in R, incorporating verified data-access constraints, </w:t>
      </w:r>
      <w:r>
        <w:rPr>
          <w:b w:val="false"/>
          <w:bCs w:val="false"/>
          <w:i w:val="false"/>
          <w:iCs w:val="false"/>
        </w:rPr>
        <w:t xml:space="preserve">fallback strategies where the original data are unobtainable, and a portfolio of proposed extensions.</w:t>
      </w:r>
    </w:p>
    <w:p>
      <w:pPr>
        <w:spacing w:after="120" w:line="276"/>
      </w:pPr>
      <w:r>
        <w:rPr>
          <w:b w:val="false"/>
          <w:bCs w:val="false"/>
          <w:i w:val="false"/>
          <w:iCs w:val="false"/>
        </w:rPr>
        <w:t xml:space="preserve">Prepared </w:t>
      </w:r>
      <w:r>
        <w:rPr>
          <w:b w:val="false"/>
          <w:bCs w:val="false"/>
          <w:i w:val="false"/>
          <w:iCs w:val="false"/>
        </w:rPr>
        <w:t xml:space="preserve">24 July 2026</w:t>
      </w:r>
      <w:r>
        <w:rPr>
          <w:b w:val="false"/>
          <w:bCs w:val="false"/>
          <w:i w:val="false"/>
          <w:iCs w:val="false"/>
        </w:rPr>
        <w:t xml:space="preserve">. DOI of source paper: 10.17016/FEDS.2026.031</w:t>
      </w:r>
    </w:p>
    <w:p>
      <w:pPr>
        <w:spacing w:after="200"/>
      </w:pPr>
    </w:p>
    <w:p>
      <w:pPr>
        <w:pStyle w:val="Heading1"/>
        <w:spacing w:after="160" w:before="360"/>
      </w:pPr>
      <w:r>
        <w:t xml:space="preserve">0. How to read this document</w:t>
      </w:r>
    </w:p>
    <w:p>
      <w:pPr>
        <w:spacing w:after="120" w:line="276"/>
      </w:pPr>
      <w:r>
        <w:rPr>
          <w:b w:val="false"/>
          <w:bCs w:val="false"/>
          <w:i w:val="false"/>
          <w:iCs w:val="false"/>
        </w:rPr>
        <w:t xml:space="preserve">Every task below is written in the same four-part shape so that you can hand any single section to whichever of you is working on it without reading the rest:</w:t>
      </w:r>
    </w:p>
    <w:p>
      <w:pPr>
        <w:pStyle w:val="ListParagraph"/>
        <w:numPr>
          <w:ilvl w:val="0"/>
          <w:numId w:val="2"/>
        </w:numPr>
        <w:spacing w:after="80" w:line="276"/>
      </w:pPr>
      <w:r>
        <w:rPr>
          <w:b/>
          <w:bCs/>
          <w:i w:val="false"/>
          <w:iCs w:val="false"/>
        </w:rPr>
        <w:t xml:space="preserve">INTUITION</w:t>
      </w:r>
      <w:r>
        <w:rPr>
          <w:b w:val="false"/>
          <w:bCs w:val="false"/>
          <w:i w:val="false"/>
          <w:iCs w:val="false"/>
        </w:rPr>
        <w:t xml:space="preserve"> — what the step is actually doing and why the paper wants it.</w:t>
      </w:r>
    </w:p>
    <w:p>
      <w:pPr>
        <w:pStyle w:val="ListParagraph"/>
        <w:numPr>
          <w:ilvl w:val="0"/>
          <w:numId w:val="2"/>
        </w:numPr>
        <w:spacing w:after="80" w:line="276"/>
      </w:pPr>
      <w:r>
        <w:rPr>
          <w:b/>
          <w:bCs/>
          <w:i w:val="false"/>
          <w:iCs w:val="false"/>
        </w:rPr>
        <w:t xml:space="preserve">PROCEDURE</w:t>
      </w:r>
      <w:r>
        <w:rPr>
          <w:b w:val="false"/>
          <w:bCs w:val="false"/>
          <w:i w:val="false"/>
          <w:iCs w:val="false"/>
        </w:rPr>
        <w:t xml:space="preserve"> — the estimator or calculation, stated as something you can code.</w:t>
      </w:r>
    </w:p>
    <w:p>
      <w:pPr>
        <w:pStyle w:val="ListParagraph"/>
        <w:numPr>
          <w:ilvl w:val="0"/>
          <w:numId w:val="2"/>
        </w:numPr>
        <w:spacing w:after="80" w:line="276"/>
      </w:pPr>
      <w:r>
        <w:rPr>
          <w:b/>
          <w:bCs/>
          <w:i w:val="false"/>
          <w:iCs w:val="false"/>
        </w:rPr>
        <w:t xml:space="preserve">DATA</w:t>
      </w:r>
      <w:r>
        <w:rPr>
          <w:b w:val="false"/>
          <w:bCs w:val="false"/>
          <w:i w:val="false"/>
          <w:iCs w:val="false"/>
        </w:rPr>
        <w:t xml:space="preserve"> — where the inputs come from and whether they are actually obtainable.</w:t>
      </w:r>
    </w:p>
    <w:p>
      <w:pPr>
        <w:pStyle w:val="ListParagraph"/>
        <w:numPr>
          <w:ilvl w:val="0"/>
          <w:numId w:val="2"/>
        </w:numPr>
        <w:spacing w:after="80" w:line="276"/>
      </w:pPr>
      <w:r>
        <w:rPr>
          <w:b/>
          <w:bCs/>
          <w:i w:val="false"/>
          <w:iCs w:val="false"/>
        </w:rPr>
        <w:t xml:space="preserve">FALLBACK</w:t>
      </w:r>
      <w:r>
        <w:rPr>
          <w:b w:val="false"/>
          <w:bCs w:val="false"/>
          <w:i w:val="false"/>
          <w:iCs w:val="false"/>
        </w:rPr>
        <w:t xml:space="preserve"> — what to do when they are not.</w:t>
      </w:r>
    </w:p>
    <w:p>
      <w:pPr>
        <w:spacing w:after="80"/>
      </w:pPr>
    </w:p>
    <w:p>
      <w:pPr>
        <w:spacing w:after="120" w:line="276"/>
      </w:pPr>
      <w:r>
        <w:rPr>
          <w:b w:val="false"/>
          <w:bCs w:val="false"/>
          <w:i w:val="false"/>
          <w:iCs w:val="false"/>
        </w:rPr>
        <w:t xml:space="preserve">Anywhere this plan departs from the paper — a substitution, an extension, an added test — the departure is flagged in a shaded box with an </w:t>
      </w:r>
      <w:r>
        <w:rPr>
          <w:b/>
          <w:bCs/>
          <w:i w:val="false"/>
          <w:iCs w:val="false"/>
        </w:rPr>
        <w:t xml:space="preserve">ALL-CAPITALS</w:t>
      </w:r>
      <w:r>
        <w:rPr>
          <w:b w:val="false"/>
          <w:bCs w:val="false"/>
          <w:i w:val="false"/>
          <w:iCs w:val="false"/>
        </w:rPr>
        <w:t xml:space="preserve"> headline. Those boxes are the raw material for your contribution. Nothing in them should be presented as replication; all of it should be presented as deliberate, documented deviation. A substitution you disclose is a robustness result. The same substitution undisclosed is a hole in your paper that the first question at your presentation will find.</w:t>
      </w:r>
    </w:p>
    <w:p>
      <w:pPr>
        <w:spacing w:after="120"/>
      </w:pPr>
    </w:p>
    <w:p>
      <w:pPr>
        <w:spacing w:after="120" w:line="276"/>
      </w:pPr>
      <w:r>
        <w:rPr>
          <w:b w:val="false"/>
          <w:bCs w:val="false"/>
          <w:i w:val="false"/>
          <w:iCs w:val="false"/>
        </w:rPr>
        <w:t xml:space="preserve">R stack assumed throughout: </w:t>
      </w:r>
      <w:r>
        <w:rPr>
          <w:rFonts w:ascii="Consolas" w:cs="Consolas" w:eastAsia="Consolas" w:hAnsi="Consolas"/>
          <w:b w:val="false"/>
          <w:bCs w:val="false"/>
          <w:i w:val="false"/>
          <w:iCs w:val="false"/>
          <w:sz w:val="18"/>
          <w:szCs w:val="18"/>
        </w:rPr>
        <w:t xml:space="preserve">tidyverse</w:t>
      </w:r>
      <w:r>
        <w:rPr>
          <w:b w:val="false"/>
          <w:bCs w:val="false"/>
          <w:i w:val="false"/>
          <w:iCs w:val="false"/>
        </w:rPr>
        <w:t xml:space="preserve">, </w:t>
      </w:r>
      <w:r>
        <w:rPr>
          <w:rFonts w:ascii="Consolas" w:cs="Consolas" w:eastAsia="Consolas" w:hAnsi="Consolas"/>
          <w:b w:val="false"/>
          <w:bCs w:val="false"/>
          <w:i w:val="false"/>
          <w:iCs w:val="false"/>
          <w:sz w:val="18"/>
          <w:szCs w:val="18"/>
        </w:rPr>
        <w:t xml:space="preserve">lubridate</w:t>
      </w:r>
      <w:r>
        <w:rPr>
          <w:b w:val="false"/>
          <w:bCs w:val="false"/>
          <w:i w:val="false"/>
          <w:iCs w:val="false"/>
        </w:rPr>
        <w:t xml:space="preserve">, </w:t>
      </w:r>
      <w:r>
        <w:rPr>
          <w:rFonts w:ascii="Consolas" w:cs="Consolas" w:eastAsia="Consolas" w:hAnsi="Consolas"/>
          <w:b w:val="false"/>
          <w:bCs w:val="false"/>
          <w:i w:val="false"/>
          <w:iCs w:val="false"/>
          <w:sz w:val="18"/>
          <w:szCs w:val="18"/>
        </w:rPr>
        <w:t xml:space="preserve">sandwich</w:t>
      </w:r>
      <w:r>
        <w:rPr>
          <w:b w:val="false"/>
          <w:bCs w:val="false"/>
          <w:i w:val="false"/>
          <w:iCs w:val="false"/>
        </w:rPr>
        <w:t xml:space="preserve">, </w:t>
      </w:r>
      <w:r>
        <w:rPr>
          <w:rFonts w:ascii="Consolas" w:cs="Consolas" w:eastAsia="Consolas" w:hAnsi="Consolas"/>
          <w:b w:val="false"/>
          <w:bCs w:val="false"/>
          <w:i w:val="false"/>
          <w:iCs w:val="false"/>
          <w:sz w:val="18"/>
          <w:szCs w:val="18"/>
        </w:rPr>
        <w:t xml:space="preserve">lmtest</w:t>
      </w:r>
      <w:r>
        <w:rPr>
          <w:b w:val="false"/>
          <w:bCs w:val="false"/>
          <w:i w:val="false"/>
          <w:iCs w:val="false"/>
        </w:rPr>
        <w:t xml:space="preserve">, </w:t>
      </w:r>
      <w:r>
        <w:rPr>
          <w:rFonts w:ascii="Consolas" w:cs="Consolas" w:eastAsia="Consolas" w:hAnsi="Consolas"/>
          <w:b w:val="false"/>
          <w:bCs w:val="false"/>
          <w:i w:val="false"/>
          <w:iCs w:val="false"/>
          <w:sz w:val="18"/>
          <w:szCs w:val="18"/>
        </w:rPr>
        <w:t xml:space="preserve">fixest</w:t>
      </w:r>
      <w:r>
        <w:rPr>
          <w:b w:val="false"/>
          <w:bCs w:val="false"/>
          <w:i w:val="false"/>
          <w:iCs w:val="false"/>
        </w:rPr>
        <w:t xml:space="preserve"> (optional), </w:t>
      </w:r>
      <w:r>
        <w:rPr>
          <w:rFonts w:ascii="Consolas" w:cs="Consolas" w:eastAsia="Consolas" w:hAnsi="Consolas"/>
          <w:b w:val="false"/>
          <w:bCs w:val="false"/>
          <w:i w:val="false"/>
          <w:iCs w:val="false"/>
          <w:sz w:val="18"/>
          <w:szCs w:val="18"/>
        </w:rPr>
        <w:t xml:space="preserve">strucchange</w:t>
      </w:r>
      <w:r>
        <w:rPr>
          <w:b w:val="false"/>
          <w:bCs w:val="false"/>
          <w:i w:val="false"/>
          <w:iCs w:val="false"/>
        </w:rPr>
        <w:t xml:space="preserve"> (for the break tests in Task A), </w:t>
      </w:r>
      <w:r>
        <w:rPr>
          <w:rFonts w:ascii="Consolas" w:cs="Consolas" w:eastAsia="Consolas" w:hAnsi="Consolas"/>
          <w:b w:val="false"/>
          <w:bCs w:val="false"/>
          <w:i w:val="false"/>
          <w:iCs w:val="false"/>
          <w:sz w:val="18"/>
          <w:szCs w:val="18"/>
        </w:rPr>
        <w:t xml:space="preserve">boot</w:t>
      </w:r>
      <w:r>
        <w:rPr>
          <w:b w:val="false"/>
          <w:bCs w:val="false"/>
          <w:i w:val="false"/>
          <w:iCs w:val="false"/>
        </w:rPr>
        <w:t xml:space="preserve"> or hand-rolled sampling for Task C. Use </w:t>
      </w:r>
      <w:r>
        <w:rPr>
          <w:rFonts w:ascii="Consolas" w:cs="Consolas" w:eastAsia="Consolas" w:hAnsi="Consolas"/>
          <w:b w:val="false"/>
          <w:bCs w:val="false"/>
          <w:i w:val="false"/>
          <w:iCs w:val="false"/>
          <w:sz w:val="18"/>
          <w:szCs w:val="18"/>
        </w:rPr>
        <w:t xml:space="preserve">renv</w:t>
      </w:r>
      <w:r>
        <w:rPr>
          <w:b w:val="false"/>
          <w:bCs w:val="false"/>
          <w:i w:val="false"/>
          <w:iCs w:val="false"/>
        </w:rPr>
        <w:t xml:space="preserve"> from day one and set a seed in every script that samples.</w:t>
      </w:r>
    </w:p>
    <w:p>
      <w:pPr>
        <w:pStyle w:val="Heading1"/>
        <w:spacing w:after="160" w:before="360"/>
      </w:pPr>
      <w:r>
        <w:t xml:space="preserve">1. What kind of object each headline number is</w:t>
      </w:r>
    </w:p>
    <w:p>
      <w:pPr>
        <w:spacing w:after="120" w:line="276"/>
      </w:pPr>
      <w:r>
        <w:rPr>
          <w:b w:val="false"/>
          <w:bCs w:val="false"/>
          <w:i w:val="false"/>
          <w:iCs w:val="false"/>
        </w:rPr>
        <w:t xml:space="preserve">This is the single most important thing to internalise before writing code, and it is easy to miss because the paper uses regression vocabulary throughout. Most of the headline numbers are not regressions. Two of the three exercises are scaled first differences evaluated on a single day, with significance supplied by a simulated null rather than by an asymptotic standard error. If you set out to write an lm() call for Table 1 you will waste a week.</w:t>
      </w:r>
    </w:p>
    <w:p>
      <w:pPr>
        <w:spacing w:after="60"/>
      </w:pP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00"/>
        <w:gridCol w:w="6260"/>
      </w:tblGrid>
      <w:tr>
        <w:trPr>
          <w:tblHeader/>
        </w:trPr>
        <w:tc>
          <w:tcPr>
            <w:tcW w:type="dxa" w:w="3100"/>
            <w:shd w:fill="E4E4E4" w:val="clear"/>
            <w:tcMar>
              <w:top w:type="dxa" w:w="80"/>
              <w:left w:type="dxa" w:w="120"/>
              <w:bottom w:type="dxa" w:w="80"/>
              <w:right w:type="dxa" w:w="120"/>
            </w:tcMar>
          </w:tcPr>
          <w:p>
            <w:pPr>
              <w:spacing w:after="0"/>
            </w:pPr>
            <w:r>
              <w:rPr>
                <w:b/>
                <w:bCs/>
                <w:sz w:val="19"/>
                <w:szCs w:val="19"/>
              </w:rPr>
              <w:t xml:space="preserve">The paper says</w:t>
            </w:r>
          </w:p>
        </w:tc>
        <w:tc>
          <w:tcPr>
            <w:tcW w:type="dxa" w:w="6260"/>
            <w:shd w:fill="E4E4E4" w:val="clear"/>
            <w:tcMar>
              <w:top w:type="dxa" w:w="80"/>
              <w:left w:type="dxa" w:w="120"/>
              <w:bottom w:type="dxa" w:w="80"/>
              <w:right w:type="dxa" w:w="120"/>
            </w:tcMar>
          </w:tcPr>
          <w:p>
            <w:pPr>
              <w:spacing w:after="0"/>
            </w:pPr>
            <w:r>
              <w:rPr>
                <w:b/>
                <w:bCs/>
                <w:sz w:val="19"/>
                <w:szCs w:val="19"/>
              </w:rPr>
              <w:t xml:space="preserve">It is actually</w:t>
            </w:r>
          </w:p>
        </w:tc>
      </w:tr>
      <w:tr>
        <w:tc>
          <w:tcPr>
            <w:tcW w:type="dxa" w:w="3100"/>
            <w:tcMar>
              <w:top w:type="dxa" w:w="80"/>
              <w:left w:type="dxa" w:w="120"/>
              <w:bottom w:type="dxa" w:w="80"/>
              <w:right w:type="dxa" w:w="120"/>
            </w:tcMar>
          </w:tcPr>
          <w:p>
            <w:pPr>
              <w:spacing w:after="0" w:line="240"/>
            </w:pPr>
            <w:r>
              <w:rPr>
                <w:sz w:val="19"/>
                <w:szCs w:val="19"/>
              </w:rPr>
              <w:t xml:space="preserve">"the elasticity of yields to debt supply"</w:t>
            </w:r>
          </w:p>
        </w:tc>
        <w:tc>
          <w:tcPr>
            <w:tcW w:type="dxa" w:w="6260"/>
            <w:tcMar>
              <w:top w:type="dxa" w:w="80"/>
              <w:left w:type="dxa" w:w="120"/>
              <w:bottom w:type="dxa" w:w="80"/>
              <w:right w:type="dxa" w:w="120"/>
            </w:tcMar>
          </w:tcPr>
          <w:p>
            <w:pPr>
              <w:spacing w:after="0" w:line="240"/>
            </w:pPr>
            <w:r>
              <w:rPr>
                <w:sz w:val="19"/>
                <w:szCs w:val="19"/>
              </w:rPr>
              <w:t xml:space="preserve">A semi-elasticity: basis points per 1 percentage point of debt/GDP. Not a log-log elasticity. Do not log anything.</w:t>
            </w:r>
          </w:p>
        </w:tc>
      </w:tr>
      <w:tr>
        <w:tc>
          <w:tcPr>
            <w:tcW w:type="dxa" w:w="3100"/>
            <w:tcMar>
              <w:top w:type="dxa" w:w="80"/>
              <w:left w:type="dxa" w:w="120"/>
              <w:bottom w:type="dxa" w:w="80"/>
              <w:right w:type="dxa" w:w="120"/>
            </w:tcMar>
          </w:tcPr>
          <w:p>
            <w:pPr>
              <w:spacing w:after="0" w:line="240"/>
            </w:pPr>
            <w:r>
              <w:rPr>
                <w:sz w:val="19"/>
                <w:szCs w:val="19"/>
              </w:rPr>
              <w:t xml:space="preserve">"a 1pp increase in debt/GDP leads to a 1–2bp increase in r*" (Table 1)</w:t>
            </w:r>
          </w:p>
        </w:tc>
        <w:tc>
          <w:tcPr>
            <w:tcW w:type="dxa" w:w="6260"/>
            <w:tcMar>
              <w:top w:type="dxa" w:w="80"/>
              <w:left w:type="dxa" w:w="120"/>
              <w:bottom w:type="dxa" w:w="80"/>
              <w:right w:type="dxa" w:w="120"/>
            </w:tcMar>
          </w:tcPr>
          <w:p>
            <w:pPr>
              <w:spacing w:after="0" w:line="240"/>
            </w:pPr>
            <w:r>
              <w:rPr>
                <w:sz w:val="19"/>
                <w:szCs w:val="19"/>
              </w:rPr>
              <w:t xml:space="preserve">A single differenced observation divided by a scalar. One subtraction. No estimator, no standard error.</w:t>
            </w:r>
          </w:p>
        </w:tc>
      </w:tr>
      <w:tr>
        <w:tc>
          <w:tcPr>
            <w:tcW w:type="dxa" w:w="3100"/>
            <w:tcMar>
              <w:top w:type="dxa" w:w="80"/>
              <w:left w:type="dxa" w:w="120"/>
              <w:bottom w:type="dxa" w:w="80"/>
              <w:right w:type="dxa" w:w="120"/>
            </w:tcMar>
          </w:tcPr>
          <w:p>
            <w:pPr>
              <w:spacing w:after="0" w:line="240"/>
            </w:pPr>
            <w:r>
              <w:rPr>
                <w:sz w:val="19"/>
                <w:szCs w:val="19"/>
              </w:rPr>
              <w:t xml:space="preserve">"significant at conventional levels" (Table 1)</w:t>
            </w:r>
          </w:p>
        </w:tc>
        <w:tc>
          <w:tcPr>
            <w:tcW w:type="dxa" w:w="6260"/>
            <w:tcMar>
              <w:top w:type="dxa" w:w="80"/>
              <w:left w:type="dxa" w:w="120"/>
              <w:bottom w:type="dxa" w:w="80"/>
              <w:right w:type="dxa" w:w="120"/>
            </w:tcMar>
          </w:tcPr>
          <w:p>
            <w:pPr>
              <w:spacing w:after="0" w:line="240"/>
            </w:pPr>
            <w:r>
              <w:rPr>
                <w:sz w:val="19"/>
                <w:szCs w:val="19"/>
              </w:rPr>
              <w:t xml:space="preserve">A p-value read off a placebo/randomisation distribution built from 10,000 draws, not from a sampling variance.</w:t>
            </w:r>
          </w:p>
        </w:tc>
      </w:tr>
      <w:tr>
        <w:tc>
          <w:tcPr>
            <w:tcW w:type="dxa" w:w="3100"/>
            <w:tcMar>
              <w:top w:type="dxa" w:w="80"/>
              <w:left w:type="dxa" w:w="120"/>
              <w:bottom w:type="dxa" w:w="80"/>
              <w:right w:type="dxa" w:w="120"/>
            </w:tcMar>
          </w:tcPr>
          <w:p>
            <w:pPr>
              <w:spacing w:after="0" w:line="240"/>
            </w:pPr>
            <w:r>
              <w:rPr>
                <w:sz w:val="19"/>
                <w:szCs w:val="19"/>
              </w:rPr>
              <w:t xml:space="preserve">"regressing daily changes on the probability of Democratic victory" (Table 2)</w:t>
            </w:r>
          </w:p>
        </w:tc>
        <w:tc>
          <w:tcPr>
            <w:tcW w:type="dxa" w:w="6260"/>
            <w:tcMar>
              <w:top w:type="dxa" w:w="80"/>
              <w:left w:type="dxa" w:w="120"/>
              <w:bottom w:type="dxa" w:w="80"/>
              <w:right w:type="dxa" w:w="120"/>
            </w:tcMar>
          </w:tcPr>
          <w:p>
            <w:pPr>
              <w:spacing w:after="0" w:line="240"/>
            </w:pPr>
            <w:r>
              <w:rPr>
                <w:sz w:val="19"/>
                <w:szCs w:val="19"/>
              </w:rPr>
              <w:t xml:space="preserve">OLS, N = 18, Newey–West standard errors.</w:t>
            </w:r>
          </w:p>
        </w:tc>
      </w:tr>
      <w:tr>
        <w:tc>
          <w:tcPr>
            <w:tcW w:type="dxa" w:w="3100"/>
            <w:tcMar>
              <w:top w:type="dxa" w:w="80"/>
              <w:left w:type="dxa" w:w="120"/>
              <w:bottom w:type="dxa" w:w="80"/>
              <w:right w:type="dxa" w:w="120"/>
            </w:tcMar>
          </w:tcPr>
          <w:p>
            <w:pPr>
              <w:spacing w:after="0" w:line="240"/>
            </w:pPr>
            <w:r>
              <w:rPr>
                <w:sz w:val="19"/>
                <w:szCs w:val="19"/>
              </w:rPr>
              <w:t xml:space="preserve">"relates long-term rates to long-run debt forecasts" (Table 3)</w:t>
            </w:r>
          </w:p>
        </w:tc>
        <w:tc>
          <w:tcPr>
            <w:tcW w:type="dxa" w:w="6260"/>
            <w:tcMar>
              <w:top w:type="dxa" w:w="80"/>
              <w:left w:type="dxa" w:w="120"/>
              <w:bottom w:type="dxa" w:w="80"/>
              <w:right w:type="dxa" w:w="120"/>
            </w:tcMar>
          </w:tcPr>
          <w:p>
            <w:pPr>
              <w:spacing w:after="0" w:line="240"/>
            </w:pPr>
            <w:r>
              <w:rPr>
                <w:sz w:val="19"/>
                <w:szCs w:val="19"/>
              </w:rPr>
              <w:t xml:space="preserve">OLS in first differences, semiannual, heteroskedasticity-robust standard errors. The only conventional regression in the paper.</w:t>
            </w:r>
          </w:p>
        </w:tc>
      </w:tr>
    </w:tbl>
    <w:p>
      <w:pPr>
        <w:spacing w:after="160"/>
      </w:pPr>
    </w:p>
    <w:p>
      <w:pPr>
        <w:spacing w:after="120" w:line="276"/>
      </w:pPr>
      <w:r>
        <w:rPr>
          <w:b w:val="false"/>
          <w:bCs w:val="false"/>
          <w:i w:val="false"/>
          <w:iCs w:val="false"/>
        </w:rPr>
        <w:t xml:space="preserve">A corollary worth stating in your write-up: because Table 1 rests on one day, the entire quantitative claim of the paper scales inversely with one hand-collected number (the assumed size of the fiscal shock). That is not a criticism so much as an invitation, and it becomes Novelty 3 below.</w:t>
      </w:r>
    </w:p>
    <w:p>
      <w:r>
        <w:br w:type="page"/>
      </w:r>
    </w:p>
    <w:p>
      <w:pPr>
        <w:pStyle w:val="Heading1"/>
        <w:spacing w:after="160" w:before="360"/>
      </w:pPr>
      <w:r>
        <w:t xml:space="preserve">2. Data manifest and verified access status</w:t>
      </w:r>
    </w:p>
    <w:p>
      <w:pPr>
        <w:spacing w:after="120" w:line="276"/>
      </w:pPr>
      <w:r>
        <w:rPr>
          <w:b w:val="false"/>
          <w:bCs w:val="false"/>
          <w:i w:val="false"/>
          <w:iCs w:val="false"/>
        </w:rPr>
        <w:t xml:space="preserve">Statuses below were checked directly. PUBLIC means downloadable today at no cost. WALLED means it exists but you cannot get it. Treat WALLED rows as design constraints, not as obstacles to be worked around quietly.</w:t>
      </w:r>
    </w:p>
    <w:p>
      <w:pPr>
        <w:spacing w:after="60"/>
      </w:pP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000"/>
        <w:gridCol w:w="3400"/>
        <w:gridCol w:w="1000"/>
        <w:gridCol w:w="1960"/>
      </w:tblGrid>
      <w:tr>
        <w:trPr>
          <w:tblHeader/>
        </w:trPr>
        <w:tc>
          <w:tcPr>
            <w:tcW w:type="dxa" w:w="3000"/>
            <w:shd w:fill="E4E4E4" w:val="clear"/>
            <w:tcMar>
              <w:top w:type="dxa" w:w="80"/>
              <w:left w:type="dxa" w:w="120"/>
              <w:bottom w:type="dxa" w:w="80"/>
              <w:right w:type="dxa" w:w="120"/>
            </w:tcMar>
          </w:tcPr>
          <w:p>
            <w:pPr>
              <w:spacing w:after="0"/>
            </w:pPr>
            <w:r>
              <w:rPr>
                <w:b/>
                <w:bCs/>
                <w:sz w:val="19"/>
                <w:szCs w:val="19"/>
              </w:rPr>
              <w:t xml:space="preserve">Series</w:t>
            </w:r>
          </w:p>
        </w:tc>
        <w:tc>
          <w:tcPr>
            <w:tcW w:type="dxa" w:w="3400"/>
            <w:shd w:fill="E4E4E4" w:val="clear"/>
            <w:tcMar>
              <w:top w:type="dxa" w:w="80"/>
              <w:left w:type="dxa" w:w="120"/>
              <w:bottom w:type="dxa" w:w="80"/>
              <w:right w:type="dxa" w:w="120"/>
            </w:tcMar>
          </w:tcPr>
          <w:p>
            <w:pPr>
              <w:spacing w:after="0"/>
            </w:pPr>
            <w:r>
              <w:rPr>
                <w:b/>
                <w:bCs/>
                <w:sz w:val="19"/>
                <w:szCs w:val="19"/>
              </w:rPr>
              <w:t xml:space="preserve">Source</w:t>
            </w:r>
          </w:p>
        </w:tc>
        <w:tc>
          <w:tcPr>
            <w:tcW w:type="dxa" w:w="1000"/>
            <w:shd w:fill="E4E4E4" w:val="clear"/>
            <w:tcMar>
              <w:top w:type="dxa" w:w="80"/>
              <w:left w:type="dxa" w:w="120"/>
              <w:bottom w:type="dxa" w:w="80"/>
              <w:right w:type="dxa" w:w="120"/>
            </w:tcMar>
          </w:tcPr>
          <w:p>
            <w:pPr>
              <w:spacing w:after="0"/>
            </w:pPr>
            <w:r>
              <w:rPr>
                <w:b/>
                <w:bCs/>
                <w:sz w:val="19"/>
                <w:szCs w:val="19"/>
              </w:rPr>
              <w:t xml:space="preserve">Freq.</w:t>
            </w:r>
          </w:p>
        </w:tc>
        <w:tc>
          <w:tcPr>
            <w:tcW w:type="dxa" w:w="1960"/>
            <w:shd w:fill="E4E4E4" w:val="clear"/>
            <w:tcMar>
              <w:top w:type="dxa" w:w="80"/>
              <w:left w:type="dxa" w:w="120"/>
              <w:bottom w:type="dxa" w:w="80"/>
              <w:right w:type="dxa" w:w="120"/>
            </w:tcMar>
          </w:tcPr>
          <w:p>
            <w:pPr>
              <w:spacing w:after="0"/>
            </w:pPr>
            <w:r>
              <w:rPr>
                <w:b/>
                <w:bCs/>
                <w:sz w:val="19"/>
                <w:szCs w:val="19"/>
              </w:rPr>
              <w:t xml:space="preserve">Status</w:t>
            </w:r>
          </w:p>
        </w:tc>
      </w:tr>
      <w:tr>
        <w:tc>
          <w:tcPr>
            <w:tcW w:type="dxa" w:w="3000"/>
            <w:tcMar>
              <w:top w:type="dxa" w:w="80"/>
              <w:left w:type="dxa" w:w="120"/>
              <w:bottom w:type="dxa" w:w="80"/>
              <w:right w:type="dxa" w:w="120"/>
            </w:tcMar>
          </w:tcPr>
          <w:p>
            <w:pPr>
              <w:spacing w:after="0" w:line="240"/>
            </w:pPr>
            <w:r>
              <w:rPr>
                <w:sz w:val="19"/>
                <w:szCs w:val="19"/>
              </w:rPr>
              <w:t xml:space="preserve">Nominal zero-coupon Treasury curve (5y, 10y, 15y)</w:t>
            </w:r>
          </w:p>
        </w:tc>
        <w:tc>
          <w:tcPr>
            <w:tcW w:type="dxa" w:w="3400"/>
            <w:tcMar>
              <w:top w:type="dxa" w:w="80"/>
              <w:left w:type="dxa" w:w="120"/>
              <w:bottom w:type="dxa" w:w="80"/>
              <w:right w:type="dxa" w:w="120"/>
            </w:tcMar>
          </w:tcPr>
          <w:p>
            <w:pPr>
              <w:spacing w:after="0" w:line="240"/>
            </w:pPr>
            <w:r>
              <w:rPr>
                <w:sz w:val="19"/>
                <w:szCs w:val="19"/>
              </w:rPr>
              <w:t xml:space="preserve">Gürkaynak–Sack–Wright, Fed Board file feds200628</w:t>
            </w:r>
          </w:p>
        </w:tc>
        <w:tc>
          <w:tcPr>
            <w:tcW w:type="dxa" w:w="1000"/>
            <w:tcMar>
              <w:top w:type="dxa" w:w="80"/>
              <w:left w:type="dxa" w:w="120"/>
              <w:bottom w:type="dxa" w:w="80"/>
              <w:right w:type="dxa" w:w="120"/>
            </w:tcMar>
          </w:tcPr>
          <w:p>
            <w:pPr>
              <w:spacing w:after="0" w:line="240"/>
            </w:pPr>
            <w:r>
              <w:rPr>
                <w:sz w:val="19"/>
                <w:szCs w:val="19"/>
              </w:rPr>
              <w:t xml:space="preserve">Daily</w:t>
            </w:r>
          </w:p>
        </w:tc>
        <w:tc>
          <w:tcPr>
            <w:tcW w:type="dxa" w:w="1960"/>
            <w:tcMar>
              <w:top w:type="dxa" w:w="80"/>
              <w:left w:type="dxa" w:w="120"/>
              <w:bottom w:type="dxa" w:w="80"/>
              <w:right w:type="dxa" w:w="120"/>
            </w:tcMar>
          </w:tcPr>
          <w:p>
            <w:pPr>
              <w:spacing w:after="0" w:line="240"/>
            </w:pPr>
            <w:r>
              <w:rPr>
                <w:sz w:val="19"/>
                <w:szCs w:val="19"/>
              </w:rPr>
              <w:t xml:space="preserve">PUBLIC</w:t>
            </w:r>
          </w:p>
        </w:tc>
      </w:tr>
      <w:tr>
        <w:tc>
          <w:tcPr>
            <w:tcW w:type="dxa" w:w="3000"/>
            <w:tcMar>
              <w:top w:type="dxa" w:w="80"/>
              <w:left w:type="dxa" w:w="120"/>
              <w:bottom w:type="dxa" w:w="80"/>
              <w:right w:type="dxa" w:w="120"/>
            </w:tcMar>
          </w:tcPr>
          <w:p>
            <w:pPr>
              <w:spacing w:after="0" w:line="240"/>
            </w:pPr>
            <w:r>
              <w:rPr>
                <w:sz w:val="19"/>
                <w:szCs w:val="19"/>
              </w:rPr>
              <w:t xml:space="preserve">TIPS zero-coupon curve (5y, 10y, 15y)</w:t>
            </w:r>
          </w:p>
        </w:tc>
        <w:tc>
          <w:tcPr>
            <w:tcW w:type="dxa" w:w="3400"/>
            <w:tcMar>
              <w:top w:type="dxa" w:w="80"/>
              <w:left w:type="dxa" w:w="120"/>
              <w:bottom w:type="dxa" w:w="80"/>
              <w:right w:type="dxa" w:w="120"/>
            </w:tcMar>
          </w:tcPr>
          <w:p>
            <w:pPr>
              <w:spacing w:after="0" w:line="240"/>
            </w:pPr>
            <w:r>
              <w:rPr>
                <w:sz w:val="19"/>
                <w:szCs w:val="19"/>
              </w:rPr>
              <w:t xml:space="preserve">Gürkaynak–Sack–Wright (2010), Fed Board file feds200805</w:t>
            </w:r>
          </w:p>
        </w:tc>
        <w:tc>
          <w:tcPr>
            <w:tcW w:type="dxa" w:w="1000"/>
            <w:tcMar>
              <w:top w:type="dxa" w:w="80"/>
              <w:left w:type="dxa" w:w="120"/>
              <w:bottom w:type="dxa" w:w="80"/>
              <w:right w:type="dxa" w:w="120"/>
            </w:tcMar>
          </w:tcPr>
          <w:p>
            <w:pPr>
              <w:spacing w:after="0" w:line="240"/>
            </w:pPr>
            <w:r>
              <w:rPr>
                <w:sz w:val="19"/>
                <w:szCs w:val="19"/>
              </w:rPr>
              <w:t xml:space="preserve">Daily</w:t>
            </w:r>
          </w:p>
        </w:tc>
        <w:tc>
          <w:tcPr>
            <w:tcW w:type="dxa" w:w="1960"/>
            <w:tcMar>
              <w:top w:type="dxa" w:w="80"/>
              <w:left w:type="dxa" w:w="120"/>
              <w:bottom w:type="dxa" w:w="80"/>
              <w:right w:type="dxa" w:w="120"/>
            </w:tcMar>
          </w:tcPr>
          <w:p>
            <w:pPr>
              <w:spacing w:after="0" w:line="240"/>
            </w:pPr>
            <w:r>
              <w:rPr>
                <w:sz w:val="19"/>
                <w:szCs w:val="19"/>
              </w:rPr>
              <w:t xml:space="preserve">PUBLIC</w:t>
            </w:r>
          </w:p>
        </w:tc>
      </w:tr>
      <w:tr>
        <w:tc>
          <w:tcPr>
            <w:tcW w:type="dxa" w:w="3000"/>
            <w:tcMar>
              <w:top w:type="dxa" w:w="80"/>
              <w:left w:type="dxa" w:w="120"/>
              <w:bottom w:type="dxa" w:w="80"/>
              <w:right w:type="dxa" w:w="120"/>
            </w:tcMar>
          </w:tcPr>
          <w:p>
            <w:pPr>
              <w:spacing w:after="0" w:line="240"/>
            </w:pPr>
            <w:r>
              <w:rPr>
                <w:sz w:val="19"/>
                <w:szCs w:val="19"/>
              </w:rPr>
              <w:t xml:space="preserve">DKW decomposition output (expected real short rate, real term premium, inflation expectation, inflation risk premium, TIPS liquidity premium)</w:t>
            </w:r>
          </w:p>
        </w:tc>
        <w:tc>
          <w:tcPr>
            <w:tcW w:type="dxa" w:w="3400"/>
            <w:tcMar>
              <w:top w:type="dxa" w:w="80"/>
              <w:left w:type="dxa" w:w="120"/>
              <w:bottom w:type="dxa" w:w="80"/>
              <w:right w:type="dxa" w:w="120"/>
            </w:tcMar>
          </w:tcPr>
          <w:p>
            <w:pPr>
              <w:spacing w:after="0" w:line="240"/>
            </w:pPr>
            <w:r>
              <w:rPr>
                <w:sz w:val="19"/>
                <w:szCs w:val="19"/>
              </w:rPr>
              <w:t xml:space="preserve">Fed Board, "Tips from TIPS: Update and Discussions" FEDS Note and accompanying data release</w:t>
            </w:r>
          </w:p>
        </w:tc>
        <w:tc>
          <w:tcPr>
            <w:tcW w:type="dxa" w:w="1000"/>
            <w:tcMar>
              <w:top w:type="dxa" w:w="80"/>
              <w:left w:type="dxa" w:w="120"/>
              <w:bottom w:type="dxa" w:w="80"/>
              <w:right w:type="dxa" w:w="120"/>
            </w:tcMar>
          </w:tcPr>
          <w:p>
            <w:pPr>
              <w:spacing w:after="0" w:line="240"/>
            </w:pPr>
            <w:r>
              <w:rPr>
                <w:sz w:val="19"/>
                <w:szCs w:val="19"/>
              </w:rPr>
              <w:t xml:space="preserve">Daily</w:t>
            </w:r>
          </w:p>
        </w:tc>
        <w:tc>
          <w:tcPr>
            <w:tcW w:type="dxa" w:w="1960"/>
            <w:tcMar>
              <w:top w:type="dxa" w:w="80"/>
              <w:left w:type="dxa" w:w="120"/>
              <w:bottom w:type="dxa" w:w="80"/>
              <w:right w:type="dxa" w:w="120"/>
            </w:tcMar>
          </w:tcPr>
          <w:p>
            <w:pPr>
              <w:spacing w:after="0" w:line="240"/>
            </w:pPr>
            <w:r>
              <w:rPr>
                <w:sz w:val="19"/>
                <w:szCs w:val="19"/>
              </w:rPr>
              <w:t xml:space="preserve">PUBLIC (output only)</w:t>
            </w:r>
          </w:p>
        </w:tc>
      </w:tr>
      <w:tr>
        <w:tc>
          <w:tcPr>
            <w:tcW w:type="dxa" w:w="3000"/>
            <w:tcMar>
              <w:top w:type="dxa" w:w="80"/>
              <w:left w:type="dxa" w:w="120"/>
              <w:bottom w:type="dxa" w:w="80"/>
              <w:right w:type="dxa" w:w="120"/>
            </w:tcMar>
          </w:tcPr>
          <w:p>
            <w:pPr>
              <w:spacing w:after="0" w:line="240"/>
            </w:pPr>
            <w:r>
              <w:rPr>
                <w:sz w:val="19"/>
                <w:szCs w:val="19"/>
              </w:rPr>
              <w:t xml:space="preserve">DKW model parameters and state-space setup</w:t>
            </w:r>
          </w:p>
        </w:tc>
        <w:tc>
          <w:tcPr>
            <w:tcW w:type="dxa" w:w="3400"/>
            <w:tcMar>
              <w:top w:type="dxa" w:w="80"/>
              <w:left w:type="dxa" w:w="120"/>
              <w:bottom w:type="dxa" w:w="80"/>
              <w:right w:type="dxa" w:w="120"/>
            </w:tcMar>
          </w:tcPr>
          <w:p>
            <w:pPr>
              <w:spacing w:after="0" w:line="240"/>
            </w:pPr>
            <w:r>
              <w:rPr>
                <w:sz w:val="19"/>
                <w:szCs w:val="19"/>
              </w:rPr>
              <w:t xml:space="preserve">Board internal</w:t>
            </w:r>
          </w:p>
        </w:tc>
        <w:tc>
          <w:tcPr>
            <w:tcW w:type="dxa" w:w="1000"/>
            <w:tcMar>
              <w:top w:type="dxa" w:w="80"/>
              <w:left w:type="dxa" w:w="120"/>
              <w:bottom w:type="dxa" w:w="80"/>
              <w:right w:type="dxa" w:w="120"/>
            </w:tcMar>
          </w:tcPr>
          <w:p>
            <w:pPr>
              <w:spacing w:after="0" w:line="240"/>
            </w:pPr>
            <w:r>
              <w:rPr>
                <w:sz w:val="19"/>
                <w:szCs w:val="19"/>
              </w:rPr>
              <w:t xml:space="preserve">—</w:t>
            </w:r>
          </w:p>
        </w:tc>
        <w:tc>
          <w:tcPr>
            <w:tcW w:type="dxa" w:w="1960"/>
            <w:tcMar>
              <w:top w:type="dxa" w:w="80"/>
              <w:left w:type="dxa" w:w="120"/>
              <w:bottom w:type="dxa" w:w="80"/>
              <w:right w:type="dxa" w:w="120"/>
            </w:tcMar>
          </w:tcPr>
          <w:p>
            <w:pPr>
              <w:spacing w:after="0" w:line="240"/>
            </w:pPr>
            <w:r>
              <w:rPr>
                <w:sz w:val="19"/>
                <w:szCs w:val="19"/>
              </w:rPr>
              <w:t xml:space="preserve">WALLED</w:t>
            </w:r>
          </w:p>
        </w:tc>
      </w:tr>
      <w:tr>
        <w:tc>
          <w:tcPr>
            <w:tcW w:type="dxa" w:w="3000"/>
            <w:tcMar>
              <w:top w:type="dxa" w:w="80"/>
              <w:left w:type="dxa" w:w="120"/>
              <w:bottom w:type="dxa" w:w="80"/>
              <w:right w:type="dxa" w:w="120"/>
            </w:tcMar>
          </w:tcPr>
          <w:p>
            <w:pPr>
              <w:spacing w:after="0" w:line="240"/>
            </w:pPr>
            <w:r>
              <w:rPr>
                <w:sz w:val="19"/>
                <w:szCs w:val="19"/>
              </w:rPr>
              <w:t xml:space="preserve">Intraday 5-minute Treasury yields</w:t>
            </w:r>
          </w:p>
        </w:tc>
        <w:tc>
          <w:tcPr>
            <w:tcW w:type="dxa" w:w="3400"/>
            <w:tcMar>
              <w:top w:type="dxa" w:w="80"/>
              <w:left w:type="dxa" w:w="120"/>
              <w:bottom w:type="dxa" w:w="80"/>
              <w:right w:type="dxa" w:w="120"/>
            </w:tcMar>
          </w:tcPr>
          <w:p>
            <w:pPr>
              <w:spacing w:after="0" w:line="240"/>
            </w:pPr>
            <w:r>
              <w:rPr>
                <w:sz w:val="19"/>
                <w:szCs w:val="19"/>
              </w:rPr>
              <w:t xml:space="preserve">Bloomberg (USGG10YR and curve tickers)</w:t>
            </w:r>
          </w:p>
        </w:tc>
        <w:tc>
          <w:tcPr>
            <w:tcW w:type="dxa" w:w="1000"/>
            <w:tcMar>
              <w:top w:type="dxa" w:w="80"/>
              <w:left w:type="dxa" w:w="120"/>
              <w:bottom w:type="dxa" w:w="80"/>
              <w:right w:type="dxa" w:w="120"/>
            </w:tcMar>
          </w:tcPr>
          <w:p>
            <w:pPr>
              <w:spacing w:after="0" w:line="240"/>
            </w:pPr>
            <w:r>
              <w:rPr>
                <w:sz w:val="19"/>
                <w:szCs w:val="19"/>
              </w:rPr>
              <w:t xml:space="preserve">5-min</w:t>
            </w:r>
          </w:p>
        </w:tc>
        <w:tc>
          <w:tcPr>
            <w:tcW w:type="dxa" w:w="1960"/>
            <w:tcMar>
              <w:top w:type="dxa" w:w="80"/>
              <w:left w:type="dxa" w:w="120"/>
              <w:bottom w:type="dxa" w:w="80"/>
              <w:right w:type="dxa" w:w="120"/>
            </w:tcMar>
          </w:tcPr>
          <w:p>
            <w:pPr>
              <w:spacing w:after="0" w:line="240"/>
            </w:pPr>
            <w:r>
              <w:rPr>
                <w:sz w:val="19"/>
                <w:szCs w:val="19"/>
              </w:rPr>
              <w:t xml:space="preserve">PAID / INSTITUTIONAL</w:t>
            </w:r>
          </w:p>
        </w:tc>
      </w:tr>
      <w:tr>
        <w:tc>
          <w:tcPr>
            <w:tcW w:type="dxa" w:w="3000"/>
            <w:tcMar>
              <w:top w:type="dxa" w:w="80"/>
              <w:left w:type="dxa" w:w="120"/>
              <w:bottom w:type="dxa" w:w="80"/>
              <w:right w:type="dxa" w:w="120"/>
            </w:tcMar>
          </w:tcPr>
          <w:p>
            <w:pPr>
              <w:spacing w:after="0" w:line="240"/>
            </w:pPr>
            <w:r>
              <w:rPr>
                <w:sz w:val="19"/>
                <w:szCs w:val="19"/>
              </w:rPr>
              <w:t xml:space="preserve">PredictIt prices, Georgia runoff markets</w:t>
            </w:r>
          </w:p>
        </w:tc>
        <w:tc>
          <w:tcPr>
            <w:tcW w:type="dxa" w:w="3400"/>
            <w:tcMar>
              <w:top w:type="dxa" w:w="80"/>
              <w:left w:type="dxa" w:w="120"/>
              <w:bottom w:type="dxa" w:w="80"/>
              <w:right w:type="dxa" w:w="120"/>
            </w:tcMar>
          </w:tcPr>
          <w:p>
            <w:pPr>
              <w:spacing w:after="0" w:line="240"/>
            </w:pPr>
            <w:r>
              <w:rPr>
                <w:sz w:val="19"/>
                <w:szCs w:val="19"/>
              </w:rPr>
              <w:t xml:space="preserve">PredictIt; public API discontinued</w:t>
            </w:r>
          </w:p>
        </w:tc>
        <w:tc>
          <w:tcPr>
            <w:tcW w:type="dxa" w:w="1000"/>
            <w:tcMar>
              <w:top w:type="dxa" w:w="80"/>
              <w:left w:type="dxa" w:w="120"/>
              <w:bottom w:type="dxa" w:w="80"/>
              <w:right w:type="dxa" w:w="120"/>
            </w:tcMar>
          </w:tcPr>
          <w:p>
            <w:pPr>
              <w:spacing w:after="0" w:line="240"/>
            </w:pPr>
            <w:r>
              <w:rPr>
                <w:sz w:val="19"/>
                <w:szCs w:val="19"/>
              </w:rPr>
              <w:t xml:space="preserve">Daily + intraday</w:t>
            </w:r>
          </w:p>
        </w:tc>
        <w:tc>
          <w:tcPr>
            <w:tcW w:type="dxa" w:w="1960"/>
            <w:tcMar>
              <w:top w:type="dxa" w:w="80"/>
              <w:left w:type="dxa" w:w="120"/>
              <w:bottom w:type="dxa" w:w="80"/>
              <w:right w:type="dxa" w:w="120"/>
            </w:tcMar>
          </w:tcPr>
          <w:p>
            <w:pPr>
              <w:spacing w:after="0" w:line="240"/>
            </w:pPr>
            <w:r>
              <w:rPr>
                <w:sz w:val="19"/>
                <w:szCs w:val="19"/>
              </w:rPr>
              <w:t xml:space="preserve">UNRELIABLE</w:t>
            </w:r>
          </w:p>
        </w:tc>
      </w:tr>
      <w:tr>
        <w:tc>
          <w:tcPr>
            <w:tcW w:type="dxa" w:w="3000"/>
            <w:tcMar>
              <w:top w:type="dxa" w:w="80"/>
              <w:left w:type="dxa" w:w="120"/>
              <w:bottom w:type="dxa" w:w="80"/>
              <w:right w:type="dxa" w:w="120"/>
            </w:tcMar>
          </w:tcPr>
          <w:p>
            <w:pPr>
              <w:spacing w:after="0" w:line="240"/>
            </w:pPr>
            <w:r>
              <w:rPr>
                <w:sz w:val="19"/>
                <w:szCs w:val="19"/>
              </w:rPr>
              <w:t xml:space="preserve">Investment-bank deficit forecast cross-section</w:t>
            </w:r>
          </w:p>
        </w:tc>
        <w:tc>
          <w:tcPr>
            <w:tcW w:type="dxa" w:w="3400"/>
            <w:tcMar>
              <w:top w:type="dxa" w:w="80"/>
              <w:left w:type="dxa" w:w="120"/>
              <w:bottom w:type="dxa" w:w="80"/>
              <w:right w:type="dxa" w:w="120"/>
            </w:tcMar>
          </w:tcPr>
          <w:p>
            <w:pPr>
              <w:spacing w:after="0" w:line="240"/>
            </w:pPr>
            <w:r>
              <w:rPr>
                <w:sz w:val="19"/>
                <w:szCs w:val="19"/>
              </w:rPr>
              <w:t xml:space="preserve">Hand-collected from sell-side notes by Hazell &amp; Hobler (2025)</w:t>
            </w:r>
          </w:p>
        </w:tc>
        <w:tc>
          <w:tcPr>
            <w:tcW w:type="dxa" w:w="1000"/>
            <w:tcMar>
              <w:top w:type="dxa" w:w="80"/>
              <w:left w:type="dxa" w:w="120"/>
              <w:bottom w:type="dxa" w:w="80"/>
              <w:right w:type="dxa" w:w="120"/>
            </w:tcMar>
          </w:tcPr>
          <w:p>
            <w:pPr>
              <w:spacing w:after="0" w:line="240"/>
            </w:pPr>
            <w:r>
              <w:rPr>
                <w:sz w:val="19"/>
                <w:szCs w:val="19"/>
              </w:rPr>
              <w:t xml:space="preserve">Cross-section</w:t>
            </w:r>
          </w:p>
        </w:tc>
        <w:tc>
          <w:tcPr>
            <w:tcW w:type="dxa" w:w="1960"/>
            <w:tcMar>
              <w:top w:type="dxa" w:w="80"/>
              <w:left w:type="dxa" w:w="120"/>
              <w:bottom w:type="dxa" w:w="80"/>
              <w:right w:type="dxa" w:w="120"/>
            </w:tcMar>
          </w:tcPr>
          <w:p>
            <w:pPr>
              <w:spacing w:after="0" w:line="240"/>
            </w:pPr>
            <w:r>
              <w:rPr>
                <w:sz w:val="19"/>
                <w:szCs w:val="19"/>
              </w:rPr>
              <w:t xml:space="preserve">WALLED (proprietary source documents)</w:t>
            </w:r>
          </w:p>
        </w:tc>
      </w:tr>
      <w:tr>
        <w:tc>
          <w:tcPr>
            <w:tcW w:type="dxa" w:w="3000"/>
            <w:tcMar>
              <w:top w:type="dxa" w:w="80"/>
              <w:left w:type="dxa" w:w="120"/>
              <w:bottom w:type="dxa" w:w="80"/>
              <w:right w:type="dxa" w:w="120"/>
            </w:tcMar>
          </w:tcPr>
          <w:p>
            <w:pPr>
              <w:spacing w:after="0" w:line="240"/>
            </w:pPr>
            <w:r>
              <w:rPr>
                <w:sz w:val="19"/>
                <w:szCs w:val="19"/>
              </w:rPr>
              <w:t xml:space="preserve">CBO five-year-ahead publicly-held debt projections, 1985–2025</w:t>
            </w:r>
          </w:p>
        </w:tc>
        <w:tc>
          <w:tcPr>
            <w:tcW w:type="dxa" w:w="3400"/>
            <w:tcMar>
              <w:top w:type="dxa" w:w="80"/>
              <w:left w:type="dxa" w:w="120"/>
              <w:bottom w:type="dxa" w:w="80"/>
              <w:right w:type="dxa" w:w="120"/>
            </w:tcMar>
          </w:tcPr>
          <w:p>
            <w:pPr>
              <w:spacing w:after="0" w:line="240"/>
            </w:pPr>
            <w:r>
              <w:rPr>
                <w:sz w:val="19"/>
                <w:szCs w:val="19"/>
              </w:rPr>
              <w:t xml:space="preserve">CBO Budget and Economic Outlook + summer Updates, archived</w:t>
            </w:r>
          </w:p>
        </w:tc>
        <w:tc>
          <w:tcPr>
            <w:tcW w:type="dxa" w:w="1000"/>
            <w:tcMar>
              <w:top w:type="dxa" w:w="80"/>
              <w:left w:type="dxa" w:w="120"/>
              <w:bottom w:type="dxa" w:w="80"/>
              <w:right w:type="dxa" w:w="120"/>
            </w:tcMar>
          </w:tcPr>
          <w:p>
            <w:pPr>
              <w:spacing w:after="0" w:line="240"/>
            </w:pPr>
            <w:r>
              <w:rPr>
                <w:sz w:val="19"/>
                <w:szCs w:val="19"/>
              </w:rPr>
              <w:t xml:space="preserve">Semiannual</w:t>
            </w:r>
          </w:p>
        </w:tc>
        <w:tc>
          <w:tcPr>
            <w:tcW w:type="dxa" w:w="1960"/>
            <w:tcMar>
              <w:top w:type="dxa" w:w="80"/>
              <w:left w:type="dxa" w:w="120"/>
              <w:bottom w:type="dxa" w:w="80"/>
              <w:right w:type="dxa" w:w="120"/>
            </w:tcMar>
          </w:tcPr>
          <w:p>
            <w:pPr>
              <w:spacing w:after="0" w:line="240"/>
            </w:pPr>
            <w:r>
              <w:rPr>
                <w:sz w:val="19"/>
                <w:szCs w:val="19"/>
              </w:rPr>
              <w:t xml:space="preserve">PUBLIC but hand-collection</w:t>
            </w:r>
          </w:p>
        </w:tc>
      </w:tr>
      <w:tr>
        <w:tc>
          <w:tcPr>
            <w:tcW w:type="dxa" w:w="3000"/>
            <w:tcMar>
              <w:top w:type="dxa" w:w="80"/>
              <w:left w:type="dxa" w:w="120"/>
              <w:bottom w:type="dxa" w:w="80"/>
              <w:right w:type="dxa" w:w="120"/>
            </w:tcMar>
          </w:tcPr>
          <w:p>
            <w:pPr>
              <w:spacing w:after="0" w:line="240"/>
            </w:pPr>
            <w:r>
              <w:rPr>
                <w:sz w:val="19"/>
                <w:szCs w:val="19"/>
              </w:rPr>
              <w:t xml:space="preserve">Federal Reserve Treasury holdings</w:t>
            </w:r>
          </w:p>
        </w:tc>
        <w:tc>
          <w:tcPr>
            <w:tcW w:type="dxa" w:w="3400"/>
            <w:tcMar>
              <w:top w:type="dxa" w:w="80"/>
              <w:left w:type="dxa" w:w="120"/>
              <w:bottom w:type="dxa" w:w="80"/>
              <w:right w:type="dxa" w:w="120"/>
            </w:tcMar>
          </w:tcPr>
          <w:p>
            <w:pPr>
              <w:spacing w:after="0" w:line="240"/>
            </w:pPr>
            <w:r>
              <w:rPr>
                <w:sz w:val="19"/>
                <w:szCs w:val="19"/>
              </w:rPr>
              <w:t xml:space="preserve">H.4.1; pre-2018Q2 from Fries (2018)</w:t>
            </w:r>
          </w:p>
        </w:tc>
        <w:tc>
          <w:tcPr>
            <w:tcW w:type="dxa" w:w="1000"/>
            <w:tcMar>
              <w:top w:type="dxa" w:w="80"/>
              <w:left w:type="dxa" w:w="120"/>
              <w:bottom w:type="dxa" w:w="80"/>
              <w:right w:type="dxa" w:w="120"/>
            </w:tcMar>
          </w:tcPr>
          <w:p>
            <w:pPr>
              <w:spacing w:after="0" w:line="240"/>
            </w:pPr>
            <w:r>
              <w:rPr>
                <w:sz w:val="19"/>
                <w:szCs w:val="19"/>
              </w:rPr>
              <w:t xml:space="preserve">Quarterly</w:t>
            </w:r>
          </w:p>
        </w:tc>
        <w:tc>
          <w:tcPr>
            <w:tcW w:type="dxa" w:w="1960"/>
            <w:tcMar>
              <w:top w:type="dxa" w:w="80"/>
              <w:left w:type="dxa" w:w="120"/>
              <w:bottom w:type="dxa" w:w="80"/>
              <w:right w:type="dxa" w:w="120"/>
            </w:tcMar>
          </w:tcPr>
          <w:p>
            <w:pPr>
              <w:spacing w:after="0" w:line="240"/>
            </w:pPr>
            <w:r>
              <w:rPr>
                <w:sz w:val="19"/>
                <w:szCs w:val="19"/>
              </w:rPr>
              <w:t xml:space="preserve">PUBLIC</w:t>
            </w:r>
          </w:p>
        </w:tc>
      </w:tr>
      <w:tr>
        <w:tc>
          <w:tcPr>
            <w:tcW w:type="dxa" w:w="3000"/>
            <w:tcMar>
              <w:top w:type="dxa" w:w="80"/>
              <w:left w:type="dxa" w:w="120"/>
              <w:bottom w:type="dxa" w:w="80"/>
              <w:right w:type="dxa" w:w="120"/>
            </w:tcMar>
          </w:tcPr>
          <w:p>
            <w:pPr>
              <w:spacing w:after="0" w:line="240"/>
            </w:pPr>
            <w:r>
              <w:rPr>
                <w:sz w:val="19"/>
                <w:szCs w:val="19"/>
              </w:rPr>
              <w:t xml:space="preserve">Foreign official Treasury holdings</w:t>
            </w:r>
          </w:p>
        </w:tc>
        <w:tc>
          <w:tcPr>
            <w:tcW w:type="dxa" w:w="3400"/>
            <w:tcMar>
              <w:top w:type="dxa" w:w="80"/>
              <w:left w:type="dxa" w:w="120"/>
              <w:bottom w:type="dxa" w:w="80"/>
              <w:right w:type="dxa" w:w="120"/>
            </w:tcMar>
          </w:tcPr>
          <w:p>
            <w:pPr>
              <w:spacing w:after="0" w:line="240"/>
            </w:pPr>
            <w:r>
              <w:rPr>
                <w:sz w:val="19"/>
                <w:szCs w:val="19"/>
              </w:rPr>
              <w:t xml:space="preserve">Financial Accounts Z.1, via FRED</w:t>
            </w:r>
          </w:p>
        </w:tc>
        <w:tc>
          <w:tcPr>
            <w:tcW w:type="dxa" w:w="1000"/>
            <w:tcMar>
              <w:top w:type="dxa" w:w="80"/>
              <w:left w:type="dxa" w:w="120"/>
              <w:bottom w:type="dxa" w:w="80"/>
              <w:right w:type="dxa" w:w="120"/>
            </w:tcMar>
          </w:tcPr>
          <w:p>
            <w:pPr>
              <w:spacing w:after="0" w:line="240"/>
            </w:pPr>
            <w:r>
              <w:rPr>
                <w:sz w:val="19"/>
                <w:szCs w:val="19"/>
              </w:rPr>
              <w:t xml:space="preserve">Quarterly</w:t>
            </w:r>
          </w:p>
        </w:tc>
        <w:tc>
          <w:tcPr>
            <w:tcW w:type="dxa" w:w="1960"/>
            <w:tcMar>
              <w:top w:type="dxa" w:w="80"/>
              <w:left w:type="dxa" w:w="120"/>
              <w:bottom w:type="dxa" w:w="80"/>
              <w:right w:type="dxa" w:w="120"/>
            </w:tcMar>
          </w:tcPr>
          <w:p>
            <w:pPr>
              <w:spacing w:after="0" w:line="240"/>
            </w:pPr>
            <w:r>
              <w:rPr>
                <w:sz w:val="19"/>
                <w:szCs w:val="19"/>
              </w:rPr>
              <w:t xml:space="preserve">PUBLIC</w:t>
            </w:r>
          </w:p>
        </w:tc>
      </w:tr>
      <w:tr>
        <w:tc>
          <w:tcPr>
            <w:tcW w:type="dxa" w:w="3000"/>
            <w:tcMar>
              <w:top w:type="dxa" w:w="80"/>
              <w:left w:type="dxa" w:w="120"/>
              <w:bottom w:type="dxa" w:w="80"/>
              <w:right w:type="dxa" w:w="120"/>
            </w:tcMar>
          </w:tcPr>
          <w:p>
            <w:pPr>
              <w:spacing w:after="0" w:line="240"/>
            </w:pPr>
            <w:r>
              <w:rPr>
                <w:sz w:val="19"/>
                <w:szCs w:val="19"/>
              </w:rPr>
              <w:t xml:space="preserve">10-year inflation expectations (PTR)</w:t>
            </w:r>
          </w:p>
        </w:tc>
        <w:tc>
          <w:tcPr>
            <w:tcW w:type="dxa" w:w="3400"/>
            <w:tcMar>
              <w:top w:type="dxa" w:w="80"/>
              <w:left w:type="dxa" w:w="120"/>
              <w:bottom w:type="dxa" w:w="80"/>
              <w:right w:type="dxa" w:w="120"/>
            </w:tcMar>
          </w:tcPr>
          <w:p>
            <w:pPr>
              <w:spacing w:after="0" w:line="240"/>
            </w:pPr>
            <w:r>
              <w:rPr>
                <w:sz w:val="19"/>
                <w:szCs w:val="19"/>
              </w:rPr>
              <w:t xml:space="preserve">FRB/US model database</w:t>
            </w:r>
          </w:p>
        </w:tc>
        <w:tc>
          <w:tcPr>
            <w:tcW w:type="dxa" w:w="1000"/>
            <w:tcMar>
              <w:top w:type="dxa" w:w="80"/>
              <w:left w:type="dxa" w:w="120"/>
              <w:bottom w:type="dxa" w:w="80"/>
              <w:right w:type="dxa" w:w="120"/>
            </w:tcMar>
          </w:tcPr>
          <w:p>
            <w:pPr>
              <w:spacing w:after="0" w:line="240"/>
            </w:pPr>
            <w:r>
              <w:rPr>
                <w:sz w:val="19"/>
                <w:szCs w:val="19"/>
              </w:rPr>
              <w:t xml:space="preserve">Quarterly</w:t>
            </w:r>
          </w:p>
        </w:tc>
        <w:tc>
          <w:tcPr>
            <w:tcW w:type="dxa" w:w="1960"/>
            <w:tcMar>
              <w:top w:type="dxa" w:w="80"/>
              <w:left w:type="dxa" w:w="120"/>
              <w:bottom w:type="dxa" w:w="80"/>
              <w:right w:type="dxa" w:w="120"/>
            </w:tcMar>
          </w:tcPr>
          <w:p>
            <w:pPr>
              <w:spacing w:after="0" w:line="240"/>
            </w:pPr>
            <w:r>
              <w:rPr>
                <w:sz w:val="19"/>
                <w:szCs w:val="19"/>
              </w:rPr>
              <w:t xml:space="preserve">PUBLIC</w:t>
            </w:r>
          </w:p>
        </w:tc>
      </w:tr>
      <w:tr>
        <w:tc>
          <w:tcPr>
            <w:tcW w:type="dxa" w:w="3000"/>
            <w:tcMar>
              <w:top w:type="dxa" w:w="80"/>
              <w:left w:type="dxa" w:w="120"/>
              <w:bottom w:type="dxa" w:w="80"/>
              <w:right w:type="dxa" w:w="120"/>
            </w:tcMar>
          </w:tcPr>
          <w:p>
            <w:pPr>
              <w:spacing w:after="0" w:line="240"/>
            </w:pPr>
            <w:r>
              <w:rPr>
                <w:sz w:val="19"/>
                <w:szCs w:val="19"/>
              </w:rPr>
              <w:t xml:space="preserve">Nominal GDP</w:t>
            </w:r>
          </w:p>
        </w:tc>
        <w:tc>
          <w:tcPr>
            <w:tcW w:type="dxa" w:w="3400"/>
            <w:tcMar>
              <w:top w:type="dxa" w:w="80"/>
              <w:left w:type="dxa" w:w="120"/>
              <w:bottom w:type="dxa" w:w="80"/>
              <w:right w:type="dxa" w:w="120"/>
            </w:tcMar>
          </w:tcPr>
          <w:p>
            <w:pPr>
              <w:spacing w:after="0" w:line="240"/>
            </w:pPr>
            <w:r>
              <w:rPr>
                <w:sz w:val="19"/>
                <w:szCs w:val="19"/>
              </w:rPr>
              <w:t xml:space="preserve">BEA via FRED</w:t>
            </w:r>
          </w:p>
        </w:tc>
        <w:tc>
          <w:tcPr>
            <w:tcW w:type="dxa" w:w="1000"/>
            <w:tcMar>
              <w:top w:type="dxa" w:w="80"/>
              <w:left w:type="dxa" w:w="120"/>
              <w:bottom w:type="dxa" w:w="80"/>
              <w:right w:type="dxa" w:w="120"/>
            </w:tcMar>
          </w:tcPr>
          <w:p>
            <w:pPr>
              <w:spacing w:after="0" w:line="240"/>
            </w:pPr>
            <w:r>
              <w:rPr>
                <w:sz w:val="19"/>
                <w:szCs w:val="19"/>
              </w:rPr>
              <w:t xml:space="preserve">Quarterly</w:t>
            </w:r>
          </w:p>
        </w:tc>
        <w:tc>
          <w:tcPr>
            <w:tcW w:type="dxa" w:w="1960"/>
            <w:tcMar>
              <w:top w:type="dxa" w:w="80"/>
              <w:left w:type="dxa" w:w="120"/>
              <w:bottom w:type="dxa" w:w="80"/>
              <w:right w:type="dxa" w:w="120"/>
            </w:tcMar>
          </w:tcPr>
          <w:p>
            <w:pPr>
              <w:spacing w:after="0" w:line="240"/>
            </w:pPr>
            <w:r>
              <w:rPr>
                <w:sz w:val="19"/>
                <w:szCs w:val="19"/>
              </w:rPr>
              <w:t xml:space="preserve">PUBLIC</w:t>
            </w:r>
          </w:p>
        </w:tc>
      </w:tr>
    </w:tbl>
    <w:p>
      <w:pPr>
        <w:spacing w:after="160"/>
      </w:pPr>
    </w:p>
    <w:p>
      <w:pPr>
        <w:pStyle w:val="Heading2"/>
        <w:spacing w:after="120" w:before="260"/>
      </w:pPr>
      <w:r>
        <w:t xml:space="preserve">2.1 On the paper's own replication package</w:t>
      </w:r>
    </w:p>
    <w:p>
      <w:pPr>
        <w:spacing w:after="120" w:line="276"/>
      </w:pPr>
      <w:r>
        <w:rPr>
          <w:b w:val="false"/>
          <w:bCs w:val="false"/>
          <w:i w:val="false"/>
          <w:iCs w:val="false"/>
        </w:rPr>
        <w:t xml:space="preserve">It does not exist publicly. This was checked directly: the FEDS landing page for 2026-031 lists exactly one file, the paper PDF, with no supplementary materials, code, or data links; the Fed in Print catalogue record likewise lists a single PDF described as full text; and Skaperdas's personal site lists the paper without hosting files.</w:t>
      </w:r>
    </w:p>
    <w:p>
      <w:pPr>
        <w:spacing w:after="120" w:line="276"/>
      </w:pPr>
      <w:r>
        <w:rPr>
          <w:b w:val="false"/>
          <w:bCs w:val="false"/>
          <w:i w:val="false"/>
          <w:iCs w:val="false"/>
        </w:rPr>
        <w:t xml:space="preserve">Be precise about what the paper actually promises. Footnote 6 says only that the 25th/75th-percentile sensitivity results are available in the replication package. That is the sole mention in the entire document. There is no data availability statement. FEDS is a working paper series with no binding deposit policy, unlike the AEA journals or the Review of Economics and Statistics — so "the replication package" here most plausibly denotes an internal Board artifact that may surface at journal publication, or may be available on request.</w:t>
      </w:r>
    </w:p>
    <w:p>
      <w:pPr>
        <w:spacing w:after="120" w:line="276"/>
      </w:pPr>
      <w:r>
        <w:rPr>
          <w:b w:val="false"/>
          <w:bCs w:val="false"/>
          <w:i w:val="false"/>
          <w:iCs w:val="false"/>
        </w:rPr>
        <w:t xml:space="preserve">Assume further that even if it were released it would not contain everything. Packages from Fed staff routinely ship code and derived series while stripping anything proprietary or internal. The two items you most need — DKW model internals and Bloomberg tick data — are exactly the items most likely to be excluded on licensing and internal-use grounds.</w:t>
      </w:r>
    </w:p>
    <w:p>
      <w:pPr>
        <w:pStyle w:val="Heading1"/>
        <w:spacing w:after="160" w:before="360"/>
      </w:pPr>
      <w:r>
        <w:t xml:space="preserve">3. Phase 0 — harvest the neighbouring replication packages</w:t>
      </w:r>
    </w:p>
    <w:p>
      <w:pPr>
        <w:spacing w:after="120" w:line="276"/>
      </w:pPr>
      <w:r>
        <w:rPr>
          <w:b/>
          <w:bCs/>
          <w:i w:val="false"/>
          <w:iCs w:val="false"/>
        </w:rPr>
        <w:t xml:space="preserve">INTUITION. </w:t>
      </w:r>
      <w:r>
        <w:rPr>
          <w:b w:val="false"/>
          <w:bCs w:val="false"/>
          <w:i w:val="false"/>
          <w:iCs w:val="false"/>
        </w:rPr>
        <w:t xml:space="preserve">This paper carries no data obligations, but the papers it builds on are published in venues that do. Rather than reconstructing forty years of CBO vintages by hand, inherit them from a deposit that a journal already forced someone else to make. Doing this first also gets you a working DKW-based pipeline before you touch the harder event-study material.</w:t>
      </w:r>
    </w:p>
    <w:p>
      <w:pPr>
        <w:spacing w:after="60"/>
      </w:pPr>
    </w:p>
    <w:p>
      <w:pPr>
        <w:pStyle w:val="Heading3"/>
        <w:spacing w:after="100" w:before="200"/>
      </w:pPr>
      <w:r>
        <w:t xml:space="preserve">Targets, in order of value</w:t>
      </w:r>
    </w:p>
    <w:p>
      <w:pPr>
        <w:pStyle w:val="ListParagraph"/>
        <w:numPr>
          <w:ilvl w:val="0"/>
          <w:numId w:val="3"/>
        </w:numPr>
        <w:spacing w:after="80" w:line="276"/>
      </w:pPr>
      <w:r>
        <w:rPr>
          <w:b/>
          <w:bCs/>
          <w:i w:val="false"/>
          <w:iCs w:val="false"/>
        </w:rPr>
        <w:t xml:space="preserve">Plante, Richter &amp; Zubairy (2026), Review of Economics and Statistics. </w:t>
      </w:r>
      <w:r>
        <w:rPr>
          <w:b w:val="false"/>
          <w:bCs w:val="false"/>
          <w:i w:val="false"/>
          <w:iCs w:val="false"/>
        </w:rPr>
        <w:t xml:space="preserve">ReStat mandates a full package on Harvard Dataverse. Their specification is the direct parent of the paper's equation (2), estimated in first differences on the same controls. The deposit should hand you the CBO five-year-ahead debt projection series, Federal Reserve and foreign official holdings, and PTR — that is most of the Table 3 dataset, pre-assembled. An NBER working paper version (w34018) also circulates and reports comparable magnitudes: roughly 2.4bp on the term premium against about 1bp on the expected real short rate per percentage point of debt/GDP. This is the single highest-value target in the entire project.</w:t>
      </w:r>
    </w:p>
    <w:p>
      <w:pPr>
        <w:pStyle w:val="ListParagraph"/>
        <w:numPr>
          <w:ilvl w:val="0"/>
          <w:numId w:val="3"/>
        </w:numPr>
        <w:spacing w:after="80" w:line="276"/>
      </w:pPr>
      <w:r>
        <w:rPr>
          <w:b/>
          <w:bCs/>
          <w:i w:val="false"/>
          <w:iCs w:val="false"/>
        </w:rPr>
        <w:t xml:space="preserve">Mian, Straub &amp; Sufi, AER (2025). </w:t>
      </w:r>
      <w:r>
        <w:rPr>
          <w:b w:val="false"/>
          <w:bCs w:val="false"/>
          <w:i w:val="false"/>
          <w:iCs w:val="false"/>
        </w:rPr>
        <w:t xml:space="preserve">Published, therefore packaged. Their online appendix covers the same Georgia runoff window and their calibration is what the paper benchmarks its elasticities against.</w:t>
      </w:r>
    </w:p>
    <w:p>
      <w:pPr>
        <w:pStyle w:val="ListParagraph"/>
        <w:numPr>
          <w:ilvl w:val="0"/>
          <w:numId w:val="3"/>
        </w:numPr>
        <w:spacing w:after="80" w:line="276"/>
      </w:pPr>
      <w:r>
        <w:rPr>
          <w:b/>
          <w:bCs/>
          <w:i w:val="false"/>
          <w:iCs w:val="false"/>
        </w:rPr>
        <w:t xml:space="preserve">Ehrlich, Kay &amp; Thapar, AER: Insights (accepted); also Dallas Fed WP 2539. </w:t>
      </w:r>
      <w:r>
        <w:rPr>
          <w:b w:val="false"/>
          <w:bCs w:val="false"/>
          <w:i w:val="false"/>
          <w:iCs w:val="false"/>
        </w:rPr>
        <w:t xml:space="preserve">Mandatory deposit. Gives you the international comparison the paper cites as finding slightly larger elasticities.</w:t>
      </w:r>
    </w:p>
    <w:p>
      <w:pPr>
        <w:pStyle w:val="ListParagraph"/>
        <w:numPr>
          <w:ilvl w:val="0"/>
          <w:numId w:val="3"/>
        </w:numPr>
        <w:spacing w:after="80" w:line="276"/>
      </w:pPr>
      <w:r>
        <w:rPr>
          <w:b/>
          <w:bCs/>
          <w:i w:val="false"/>
          <w:iCs w:val="false"/>
        </w:rPr>
        <w:t xml:space="preserve">Hazell &amp; Hobler (2025), LSE working paper. </w:t>
      </w:r>
      <w:r>
        <w:rPr>
          <w:b w:val="false"/>
          <w:bCs w:val="false"/>
          <w:i w:val="false"/>
          <w:iCs w:val="false"/>
        </w:rPr>
        <w:t xml:space="preserve">Not journal-bound, so no guarantee — but they are the origin of the investment-bank forecast cross-section and that hand-collected series is their central contribution. If anyone has posted it, it is them. This is the only realistic public route to the Task C input.</w:t>
      </w:r>
    </w:p>
    <w:p>
      <w:pPr>
        <w:spacing w:after="100"/>
      </w:pPr>
    </w:p>
    <w:p>
      <w:pPr>
        <w:spacing w:after="120" w:line="276"/>
      </w:pPr>
      <w:r>
        <w:rPr>
          <w:b w:val="false"/>
          <w:bCs w:val="false"/>
          <w:i w:val="false"/>
          <w:iCs w:val="false"/>
        </w:rPr>
        <w:t xml:space="preserve">Reconstructing Table 3 from the Plante–Richter–Zubairy deposit is a completely legitimate replication strategy. Cite it as your data source in the paper and say so plainly in a data section.</w:t>
      </w:r>
    </w:p>
    <w:p>
      <w:pPr>
        <w:pStyle w:val="Heading3"/>
        <w:spacing w:after="100" w:before="200"/>
      </w:pPr>
      <w:r>
        <w:t xml:space="preserve">Correspondence with the authors</w:t>
      </w:r>
    </w:p>
    <w:p>
      <w:pPr>
        <w:spacing w:after="120" w:line="276"/>
      </w:pPr>
      <w:r>
        <w:rPr>
          <w:b w:val="false"/>
          <w:bCs w:val="false"/>
          <w:i w:val="false"/>
          <w:iCs w:val="false"/>
        </w:rPr>
        <w:t xml:space="preserve">Both corresponding addresses are printed in the paper and on Skaperdas's site. Federal Reserve staff answer student replication requests more often than you would expect; working-paper authors generally want the scrutiny. The determining factor is how narrow the ask is. Broad requests for "the replication package" get filed; four specific questions get answered. Send exactly these:</w:t>
      </w:r>
    </w:p>
    <w:p>
      <w:pPr>
        <w:pStyle w:val="ListParagraph"/>
        <w:numPr>
          <w:ilvl w:val="0"/>
          <w:numId w:val="2"/>
        </w:numPr>
        <w:spacing w:after="80" w:line="276"/>
      </w:pPr>
      <w:r>
        <w:rPr>
          <w:b w:val="false"/>
          <w:bCs w:val="false"/>
          <w:i w:val="false"/>
          <w:iCs w:val="false"/>
        </w:rPr>
        <w:t xml:space="preserve">The daily DKW component series for the five-year-forward ten-year horizon around January 2021 (expected real short rate, real term premium, TIPS liquidity premium).</w:t>
      </w:r>
    </w:p>
    <w:p>
      <w:pPr>
        <w:pStyle w:val="ListParagraph"/>
        <w:numPr>
          <w:ilvl w:val="0"/>
          <w:numId w:val="2"/>
        </w:numPr>
        <w:spacing w:after="80" w:line="276"/>
      </w:pPr>
      <w:r>
        <w:rPr>
          <w:b w:val="false"/>
          <w:bCs w:val="false"/>
          <w:i w:val="false"/>
          <w:iCs w:val="false"/>
        </w:rPr>
        <w:t xml:space="preserve">The exact nominal GDP denominator used to convert $450bn into percentage points of GDP — the introduction says about 2.1 per cent, while footnote 7 implies exactly 2.0.</w:t>
      </w:r>
    </w:p>
    <w:p>
      <w:pPr>
        <w:pStyle w:val="ListParagraph"/>
        <w:numPr>
          <w:ilvl w:val="0"/>
          <w:numId w:val="2"/>
        </w:numPr>
        <w:spacing w:after="80" w:line="276"/>
      </w:pPr>
      <w:r>
        <w:rPr>
          <w:b w:val="false"/>
          <w:bCs w:val="false"/>
          <w:i w:val="false"/>
          <w:iCs w:val="false"/>
        </w:rPr>
        <w:t xml:space="preserve">The Newey–West lag length in Table 2, and confirmation of whether equation (1) is estimated in levels or first differences.</w:t>
      </w:r>
    </w:p>
    <w:p>
      <w:pPr>
        <w:pStyle w:val="ListParagraph"/>
        <w:numPr>
          <w:ilvl w:val="0"/>
          <w:numId w:val="2"/>
        </w:numPr>
        <w:spacing w:after="80" w:line="276"/>
      </w:pPr>
      <w:r>
        <w:rPr>
          <w:b w:val="false"/>
          <w:bCs w:val="false"/>
          <w:i w:val="false"/>
          <w:iCs w:val="false"/>
        </w:rPr>
        <w:t xml:space="preserve">The list of CBO vintages constituting the 84 observations in Table 3.</w:t>
      </w:r>
    </w:p>
    <w:p>
      <w:pPr>
        <w:spacing w:after="80"/>
      </w:pPr>
    </w:p>
    <w:p>
      <w:pPr>
        <w:spacing w:after="120" w:line="276"/>
      </w:pPr>
      <w:r>
        <w:rPr>
          <w:b w:val="false"/>
          <w:bCs w:val="false"/>
          <w:i w:val="false"/>
          <w:iCs w:val="false"/>
        </w:rPr>
        <w:t xml:space="preserve">Give them three weeks and build Table 3 from Dataverse in the meantime. Log whatever they send in an appendix; correspondence with original authors is itself a creditable part of a replication report.</w:t>
      </w:r>
    </w:p>
    <w:p>
      <w:r>
        <w:br w:type="page"/>
      </w:r>
    </w:p>
    <w:p>
      <w:pPr>
        <w:pStyle w:val="Heading1"/>
        <w:spacing w:after="160" w:before="360"/>
      </w:pPr>
      <w:r>
        <w:t xml:space="preserve">4. Constructed variables</w:t>
      </w:r>
    </w:p>
    <w:p>
      <w:pPr>
        <w:pStyle w:val="Heading2"/>
        <w:spacing w:after="120" w:before="260"/>
      </w:pPr>
      <w:r>
        <w:t xml:space="preserve">4.1 The five-year-forward ten-year rate</w:t>
      </w:r>
    </w:p>
    <w:p>
      <w:pPr>
        <w:spacing w:after="120" w:line="276"/>
      </w:pPr>
      <w:r>
        <w:rPr>
          <w:b/>
          <w:bCs/>
          <w:i w:val="false"/>
          <w:iCs w:val="false"/>
        </w:rPr>
        <w:t xml:space="preserve">INTUITION. </w:t>
      </w:r>
      <w:r>
        <w:rPr>
          <w:b w:val="false"/>
          <w:bCs w:val="false"/>
          <w:i w:val="false"/>
          <w:iCs w:val="false"/>
        </w:rPr>
        <w:t xml:space="preserve">The paper wants a rate that starts far enough in the future that near-term cyclical conditions and monetary policy expectations have washed out, leaving something driven by slow-moving structural forces — of which debt supply is one. Five years forward achieves that; the ten-year tenor then carries enough duration risk to make the term premium visible.</w:t>
      </w:r>
    </w:p>
    <w:p>
      <w:pPr>
        <w:spacing w:after="120" w:line="276"/>
      </w:pPr>
      <w:r>
        <w:rPr>
          <w:b w:val="false"/>
          <w:bCs w:val="false"/>
          <w:i w:val="false"/>
          <w:iCs w:val="false"/>
        </w:rPr>
        <w:t xml:space="preserve">The formula is exact only for continuously compounded zero-coupon yields, which is precisely what the GSW curves supply. Apply it identically to the nominal curve, the TIPS curve, and every DKW component series.</w:t>
      </w:r>
    </w:p>
    <w:tbl>
      <w:tblPr>
        <w:tblW w:type="dxa" w:w="9360"/>
        <w:tblBorders>
          <w:top w:val="single" w:color="BFBFBF" w:sz="4"/>
          <w:left w:val="single" w:color="BFBFBF" w:sz="4"/>
          <w:bottom w:val="single" w:color="BFBFBF" w:sz="4"/>
          <w:right w:val="single" w:color="BFBFBF" w:sz="4"/>
          <w:insideH w:val="none"/>
          <w:insideV w:val="none"/>
        </w:tblBorders>
      </w:tblPr>
      <w:tblGrid>
        <w:gridCol w:w="9360"/>
      </w:tblGrid>
      <w:tr>
        <w:tc>
          <w:tcPr>
            <w:tcW w:type="dxa" w:w="9360"/>
            <w:shd w:fill="F7F7F7" w:val="clear"/>
            <w:tcMar>
              <w:top w:type="dxa" w:w="100"/>
              <w:left w:type="dxa" w:w="140"/>
              <w:bottom w:type="dxa" w:w="100"/>
              <w:right w:type="dxa" w:w="140"/>
            </w:tcMar>
          </w:tcPr>
          <w:p>
            <w:pPr>
              <w:spacing w:after="0" w:line="240"/>
            </w:pPr>
            <w:r>
              <w:rPr>
                <w:rFonts w:ascii="Consolas" w:cs="Consolas" w:eastAsia="Consolas" w:hAnsi="Consolas"/>
                <w:sz w:val="18"/>
                <w:szCs w:val="18"/>
              </w:rPr>
              <w:t xml:space="preserve">y_5f10 &lt;- (15 * y15 - 5 * y5) / 10</w:t>
            </w:r>
          </w:p>
        </w:tc>
      </w:tr>
    </w:tbl>
    <w:p>
      <w:pPr>
        <w:spacing w:after="140"/>
      </w:pPr>
    </w:p>
    <w:p>
      <w:pPr>
        <w:pStyle w:val="Heading2"/>
        <w:spacing w:after="120" w:before="260"/>
      </w:pPr>
      <w:r>
        <w:t xml:space="preserve">4.2 Shock size</w:t>
      </w:r>
    </w:p>
    <w:p>
      <w:pPr>
        <w:spacing w:after="120" w:line="276"/>
      </w:pPr>
      <w:r>
        <w:rPr>
          <w:b/>
          <w:bCs/>
          <w:i w:val="false"/>
          <w:iCs w:val="false"/>
        </w:rPr>
        <w:t xml:space="preserve">INTUITION. </w:t>
      </w:r>
      <w:r>
        <w:rPr>
          <w:b w:val="false"/>
          <w:bCs w:val="false"/>
          <w:i w:val="false"/>
          <w:iCs w:val="false"/>
        </w:rPr>
        <w:t xml:space="preserve">Prediction markets put a dual Democratic victory at roughly even odds on the eve of the runoff, and investment banks assessed that victory would unlock about $900bn of stimulus against zero under divided government. Resolution therefore moved the expected fiscal impulse from half of $900bn to all of it — a surprise of $450bn. Everything in Table 1 is a yield change divided by this number expressed in points of GDP.</w:t>
      </w:r>
    </w:p>
    <w:tbl>
      <w:tblPr>
        <w:tblW w:type="dxa" w:w="9360"/>
        <w:tblBorders>
          <w:top w:val="single" w:color="BFBFBF" w:sz="4"/>
          <w:left w:val="single" w:color="BFBFBF" w:sz="4"/>
          <w:bottom w:val="single" w:color="BFBFBF" w:sz="4"/>
          <w:right w:val="single" w:color="BFBFBF" w:sz="4"/>
          <w:insideH w:val="none"/>
          <w:insideV w:val="none"/>
        </w:tblBorders>
      </w:tblPr>
      <w:tblGrid>
        <w:gridCol w:w="9360"/>
      </w:tblGrid>
      <w:tr>
        <w:tc>
          <w:tcPr>
            <w:tcW w:type="dxa" w:w="9360"/>
            <w:shd w:fill="F7F7F7" w:val="clear"/>
            <w:tcMar>
              <w:top w:type="dxa" w:w="100"/>
              <w:left w:type="dxa" w:w="140"/>
              <w:bottom w:type="dxa" w:w="100"/>
              <w:right w:type="dxa" w:w="140"/>
            </w:tcMar>
          </w:tcPr>
          <w:p>
            <w:pPr>
              <w:spacing w:after="0" w:line="240"/>
            </w:pPr>
            <w:r>
              <w:rPr>
                <w:rFonts w:ascii="Consolas" w:cs="Consolas" w:eastAsia="Consolas" w:hAnsi="Consolas"/>
                <w:sz w:val="18"/>
                <w:szCs w:val="18"/>
              </w:rPr>
              <w:t xml:space="preserve">shock_pp &lt;- 0.5 * 900 / NGDP_2021Q1 * 100   # ~2 percentage points of GDP</w:t>
            </w:r>
          </w:p>
        </w:tc>
      </w:tr>
    </w:tbl>
    <w:p>
      <w:pPr>
        <w:spacing w:after="100"/>
      </w:pPr>
    </w:p>
    <w:p>
      <w:pPr>
        <w:spacing w:after="120" w:line="276"/>
      </w:pPr>
      <w:r>
        <w:rPr>
          <w:b w:val="false"/>
          <w:bCs w:val="false"/>
          <w:i w:val="false"/>
          <w:iCs w:val="false"/>
        </w:rPr>
        <w:t xml:space="preserve">The divisor is ambiguous in the source. The introduction says about 2.1 per cent of GDP; section 2.2 says around 2 per cent; footnote 7 maps a 100 per cent victory probability to a 4 percentage point rise in expected debt/GDP, which implies $900bn = 4pp and therefore exactly 2.0 for the shock. Choosing 2.0 versus 2.1 moves every number in Table 1 by about five per cent. Pick one, state it, and carry the alternative through as a sensitivity.</w:t>
      </w:r>
    </w:p>
    <w:p>
      <w:pPr>
        <w:spacing w:after="100"/>
      </w:pPr>
    </w:p>
    <w:p>
      <w:pPr>
        <w:pStyle w:val="Heading2"/>
        <w:spacing w:after="120" w:before="260"/>
      </w:pPr>
      <w:r>
        <w:t xml:space="preserve">4.3 Rescaling for the probability regression</w:t>
      </w:r>
    </w:p>
    <w:p>
      <w:pPr>
        <w:spacing w:after="120" w:line="276"/>
      </w:pPr>
      <w:r>
        <w:rPr>
          <w:b w:val="false"/>
          <w:bCs w:val="false"/>
          <w:i w:val="false"/>
          <w:iCs w:val="false"/>
        </w:rPr>
        <w:t xml:space="preserve">Footnote 7 gives the mapping. With probability on [0,1], construct the regressor as 4 × probability so that the slope coefficient reads directly in basis points per percentage point of debt/GDP. Note the internal consistency check this provides: 50 per cent × 4pp = 2pp, exactly the event-study divisor. If your two exercises disagree on scaling, one of them is wrong.</w:t>
      </w:r>
    </w:p>
    <w:p>
      <w:r>
        <w:br w:type="page"/>
      </w:r>
    </w:p>
    <w:p>
      <w:pPr>
        <w:pStyle w:val="Heading1"/>
        <w:spacing w:after="160" w:before="360"/>
      </w:pPr>
      <w:r>
        <w:t xml:space="preserve">5. Task A — Table 3, the projection-based regression</w:t>
      </w:r>
    </w:p>
    <w:p>
      <w:pPr>
        <w:spacing w:after="120" w:line="276"/>
      </w:pPr>
      <w:r>
        <w:rPr>
          <w:b/>
          <w:bCs/>
          <w:i w:val="false"/>
          <w:iCs w:val="false"/>
        </w:rPr>
        <w:t xml:space="preserve">Do this first.</w:t>
      </w:r>
      <w:r>
        <w:rPr>
          <w:b w:val="false"/>
          <w:bCs w:val="false"/>
          <w:i w:val="false"/>
          <w:iCs w:val="false"/>
        </w:rPr>
        <w:t xml:space="preserve"> It is the only fully public, fully conventional exercise in the paper, and completing it gives you a validated DKW data pipeline before you need it for the harder tasks.</w:t>
      </w:r>
    </w:p>
    <w:p>
      <w:pPr>
        <w:spacing w:after="120" w:line="276"/>
      </w:pPr>
      <w:r>
        <w:rPr>
          <w:b/>
          <w:bCs/>
          <w:i w:val="false"/>
          <w:iCs w:val="false"/>
        </w:rPr>
        <w:t xml:space="preserve">INTUITION. </w:t>
      </w:r>
      <w:r>
        <w:rPr>
          <w:b w:val="false"/>
          <w:bCs w:val="false"/>
          <w:i w:val="false"/>
          <w:iCs w:val="false"/>
        </w:rPr>
        <w:t xml:space="preserve">You cannot regress interest rates on current debt and call it causal, because governments borrow most when the economy is weakest and rates are falling for unrelated reasons. Laubach's (2009) fix is to use projections five years ahead: what CBO expects the debt ratio to be in 2030 is far less contaminated by whether 2025 happens to be a recession. The exclusion restriction still fails — projected debt correlates with expected productivity growth and demographics, which move rates independently — but the contamination is milder. The paper's purpose in running it is to show that its clean single-day causal estimate lands in the same place as this dirty forty-year regression, which retroactively lends credibility to a large existing literature.</w:t>
      </w:r>
    </w:p>
    <w:p>
      <w:pPr>
        <w:pStyle w:val="Heading3"/>
        <w:spacing w:after="100" w:before="200"/>
      </w:pPr>
      <w:r>
        <w:t xml:space="preserve">PROCEDURE</w:t>
      </w:r>
    </w:p>
    <w:p>
      <w:pPr>
        <w:spacing w:after="120" w:line="276"/>
      </w:pPr>
      <w:r>
        <w:rPr>
          <w:b w:val="false"/>
          <w:bCs w:val="false"/>
          <w:i w:val="false"/>
          <w:iCs w:val="false"/>
        </w:rPr>
        <w:t xml:space="preserve">Three separate OLS regressions in first differences, one per dependent variable, with heteroskedasticity-robust standard errors. First differences follow Plante, Richter &amp; Zubairy, who found non-stationary residuals in levels on updated data.</w:t>
      </w:r>
    </w:p>
    <w:tbl>
      <w:tblPr>
        <w:tblW w:type="dxa" w:w="9360"/>
        <w:tblBorders>
          <w:top w:val="single" w:color="BFBFBF" w:sz="4"/>
          <w:left w:val="single" w:color="BFBFBF" w:sz="4"/>
          <w:bottom w:val="single" w:color="BFBFBF" w:sz="4"/>
          <w:right w:val="single" w:color="BFBFBF" w:sz="4"/>
          <w:insideH w:val="none"/>
          <w:insideV w:val="none"/>
        </w:tblBorders>
      </w:tblPr>
      <w:tblGrid>
        <w:gridCol w:w="9360"/>
      </w:tblGrid>
      <w:tr>
        <w:tc>
          <w:tcPr>
            <w:tcW w:type="dxa" w:w="9360"/>
            <w:shd w:fill="F7F7F7" w:val="clear"/>
            <w:tcMar>
              <w:top w:type="dxa" w:w="100"/>
              <w:left w:type="dxa" w:w="140"/>
              <w:bottom w:type="dxa" w:w="100"/>
              <w:right w:type="dxa" w:w="140"/>
            </w:tcMar>
          </w:tcPr>
          <w:p>
            <w:pPr>
              <w:spacing w:after="0" w:line="240"/>
            </w:pPr>
            <w:r>
              <w:rPr>
                <w:rFonts w:ascii="Consolas" w:cs="Consolas" w:eastAsia="Consolas" w:hAnsi="Consolas"/>
                <w:sz w:val="18"/>
                <w:szCs w:val="18"/>
              </w:rPr>
              <w:t xml:space="preserve">m1 &lt;- lm(d_y5f10_nominal ~ d_cbo_debt5 + d_fed_hold + d_foreign_hold + d_pi10, data = semi)</w:t>
            </w:r>
          </w:p>
          <w:p>
            <w:pPr>
              <w:spacing w:after="0" w:line="240"/>
            </w:pPr>
            <w:r>
              <w:rPr>
                <w:rFonts w:ascii="Consolas" w:cs="Consolas" w:eastAsia="Consolas" w:hAnsi="Consolas"/>
                <w:sz w:val="18"/>
                <w:szCs w:val="18"/>
              </w:rPr>
              <w:t xml:space="preserve">m2 &lt;- lm(d_rstar_5f10    ~ d_cbo_debt5 + d_fed_hold + d_foreign_hold + d_pi10, data = semi)</w:t>
            </w:r>
          </w:p>
          <w:p>
            <w:pPr>
              <w:spacing w:after="0" w:line="240"/>
            </w:pPr>
            <w:r>
              <w:rPr>
                <w:rFonts w:ascii="Consolas" w:cs="Consolas" w:eastAsia="Consolas" w:hAnsi="Consolas"/>
                <w:sz w:val="18"/>
                <w:szCs w:val="18"/>
              </w:rPr>
              <w:t xml:space="preserve">m3 &lt;- lm(d_realtp_5f10   ~ d_cbo_debt5 + d_fed_hold + d_foreign_hold + d_pi10, data = semi)</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lmtest::coeftest(m1, vcov = sandwich::vcovHC(m1, type = "HC1"))</w:t>
            </w:r>
          </w:p>
        </w:tc>
      </w:tr>
    </w:tbl>
    <w:p>
      <w:pPr>
        <w:spacing w:after="100"/>
      </w:pPr>
    </w:p>
    <w:p>
      <w:pPr>
        <w:spacing w:after="120" w:line="276"/>
      </w:pPr>
      <w:r>
        <w:rPr>
          <w:b w:val="false"/>
          <w:bCs w:val="false"/>
          <w:i w:val="false"/>
          <w:iCs w:val="false"/>
        </w:rPr>
        <w:t xml:space="preserve">Alignment rules, stated explicitly in the paper: </w:t>
      </w:r>
      <w:r>
        <w:rPr>
          <w:b w:val="false"/>
          <w:bCs w:val="false"/>
          <w:i w:val="false"/>
          <w:iCs w:val="false"/>
        </w:rPr>
        <w:t xml:space="preserve">quarterly variables (Fed holdings, foreign holdings, PTR) are matched to the quarter in which each CBO forecast is released; the yield is the monthly average of the 5f10y in the month of the CBO release; all balance-sheet variables enter as shares of GDP; the dependent variable is in basis points and the debt regressor in percentage points.</w:t>
      </w:r>
    </w:p>
    <w:p>
      <w:pPr>
        <w:pStyle w:val="Heading3"/>
        <w:spacing w:after="100" w:before="200"/>
      </w:pPr>
      <w:r>
        <w:t xml:space="preserve">DATA</w:t>
      </w:r>
    </w:p>
    <w:p>
      <w:pPr>
        <w:spacing w:after="120" w:line="276"/>
      </w:pPr>
      <w:r>
        <w:rPr>
          <w:b w:val="false"/>
          <w:bCs w:val="false"/>
          <w:i w:val="false"/>
          <w:iCs w:val="false"/>
        </w:rPr>
        <w:t xml:space="preserve">Entirely public. Fastest route is the Plante–Richter–Zubairy Dataverse deposit (Phase 0); the slow route is hand-collecting CBO vintages from the archive. Fed holdings need Fries (2018) for the pre-2018Q2 stretch. PTR comes from the FRB/US database.</w:t>
      </w:r>
    </w:p>
    <w:p>
      <w:pPr>
        <w:pStyle w:val="Heading3"/>
        <w:spacing w:after="100" w:before="200"/>
      </w:pPr>
      <w:r>
        <w:t xml:space="preserve">CHECKS BEFORE YOU BELIEVE ANYTHING</w:t>
      </w:r>
    </w:p>
    <w:p>
      <w:pPr>
        <w:pStyle w:val="ListParagraph"/>
        <w:numPr>
          <w:ilvl w:val="0"/>
          <w:numId w:val="2"/>
        </w:numPr>
        <w:spacing w:after="80" w:line="276"/>
      </w:pPr>
      <w:r>
        <w:rPr>
          <w:b w:val="false"/>
          <w:bCs w:val="false"/>
          <w:i w:val="false"/>
          <w:iCs w:val="false"/>
        </w:rPr>
        <w:t xml:space="preserve">Target: about 3.95bp on the nominal 5f10y yield, 1.24 on expected r*, 1.74 on the real term premium.</w:t>
      </w:r>
    </w:p>
    <w:p>
      <w:pPr>
        <w:pStyle w:val="ListParagraph"/>
        <w:numPr>
          <w:ilvl w:val="0"/>
          <w:numId w:val="2"/>
        </w:numPr>
        <w:spacing w:after="80" w:line="276"/>
      </w:pPr>
      <w:r>
        <w:rPr>
          <w:b w:val="false"/>
          <w:bCs w:val="false"/>
          <w:i w:val="false"/>
          <w:iCs w:val="false"/>
        </w:rPr>
        <w:t xml:space="preserve">The components do not sum to the total, and should not: 1.24 + 1.74 = 2.98 against 3.95. The residual is the response of expected inflation and the inflation risk premium, which the paper suppresses.</w:t>
      </w:r>
    </w:p>
    <w:p>
      <w:pPr>
        <w:pStyle w:val="ListParagraph"/>
        <w:numPr>
          <w:ilvl w:val="0"/>
          <w:numId w:val="2"/>
        </w:numPr>
        <w:spacing w:after="80" w:line="276"/>
      </w:pPr>
      <w:r>
        <w:rPr>
          <w:b w:val="false"/>
          <w:bCs w:val="false"/>
          <w:i w:val="false"/>
          <w:iCs w:val="false"/>
        </w:rPr>
        <w:t xml:space="preserve">N = 84 over February 1985 to January 2025 implies roughly 85 raw releases across 40 years, slightly more than two per year. You will probably land on a different count. Document exactly which vintages you use — this is the most likely source of a small numerical discrepancy and it is entirely defensible as long as it is disclosed.</w:t>
      </w:r>
    </w:p>
    <w:p>
      <w:pPr>
        <w:pStyle w:val="ListParagraph"/>
        <w:numPr>
          <w:ilvl w:val="0"/>
          <w:numId w:val="2"/>
        </w:numPr>
        <w:spacing w:after="80" w:line="276"/>
      </w:pPr>
      <w:r>
        <w:rPr>
          <w:b w:val="false"/>
          <w:bCs w:val="false"/>
          <w:i w:val="false"/>
          <w:iCs w:val="false"/>
        </w:rPr>
        <w:t xml:space="preserve">The robust standard error type is unstated. HC0 through HC3 differ meaningfully at N = 84. Report your choice and show the others in a footnote.</w:t>
      </w:r>
    </w:p>
    <w:p>
      <w:pPr>
        <w:spacing w:after="120"/>
      </w:pPr>
    </w:p>
    <w:tbl>
      <w:tblPr>
        <w:tblW w:type="dxa" w:w="9360"/>
        <w:tblBorders>
          <w:top w:val="single" w:color="444444" w:sz="6"/>
          <w:left w:val="single" w:color="444444" w:sz="18"/>
          <w:bottom w:val="single" w:color="444444" w:sz="6"/>
          <w:right w:val="single" w:color="444444" w:sz="6"/>
          <w:insideH w:val="none"/>
          <w:insideV w:val="none"/>
        </w:tblBorders>
      </w:tblPr>
      <w:tblGrid>
        <w:gridCol w:w="9360"/>
      </w:tblGrid>
      <w:tr>
        <w:tc>
          <w:tcPr>
            <w:tcW w:type="dxa" w:w="9360"/>
            <w:shd w:fill="F2F2F2" w:val="clear"/>
            <w:tcMar>
              <w:top w:type="dxa" w:w="120"/>
              <w:left w:type="dxa" w:w="160"/>
              <w:bottom w:type="dxa" w:w="120"/>
              <w:right w:type="dxa" w:w="160"/>
            </w:tcMar>
          </w:tcPr>
          <w:p>
            <w:pPr>
              <w:spacing w:after="60" w:before="60" w:line="276"/>
            </w:pPr>
            <w:r>
              <w:rPr>
                <w:b/>
                <w:bCs/>
              </w:rPr>
              <w:t xml:space="preserve">NOVELTY 1 — EXTEND THE SAMPLE THROUGH 2026 AND TEST FOR A STRUCTURAL BREAK IN THE DEBT COEFFICIENT.</w:t>
            </w:r>
          </w:p>
          <w:p>
            <w:pPr>
              <w:spacing w:after="60" w:line="276"/>
            </w:pPr>
            <w:r>
              <w:t xml:space="preserve">The authors hand you this one. In section 2.5 they concede that their time-series evidence reflects the fiscal and macroeconomic environment of the past few decades and therefore does not exclude the possibility that investors would demand higher compensation for holding government debt under a regime of weaker perceived fiscal discipline. Their sample stops in January 2025. Adding the vintages since then and testing whether the slope is stable — a Chow test at a candidate break, plus rolling and recursive estimates of the debt coefficient — speaks directly to a limitation the authors themselves flag, uses only public data, and is arithmetically simple. If the coefficient has risen, that is a genuinely publishable observation for a course paper. If it has not, that is also informative and you report it as such.</w:t>
            </w:r>
          </w:p>
        </w:tc>
      </w:tr>
    </w:tbl>
    <w:p>
      <w:pPr>
        <w:spacing w:after="120"/>
      </w:pPr>
    </w:p>
    <w:tbl>
      <w:tblPr>
        <w:tblW w:type="dxa" w:w="9360"/>
        <w:tblBorders>
          <w:top w:val="single" w:color="444444" w:sz="6"/>
          <w:left w:val="single" w:color="444444" w:sz="18"/>
          <w:bottom w:val="single" w:color="444444" w:sz="6"/>
          <w:right w:val="single" w:color="444444" w:sz="6"/>
          <w:insideH w:val="none"/>
          <w:insideV w:val="none"/>
        </w:tblBorders>
      </w:tblPr>
      <w:tblGrid>
        <w:gridCol w:w="9360"/>
      </w:tblGrid>
      <w:tr>
        <w:tc>
          <w:tcPr>
            <w:tcW w:type="dxa" w:w="9360"/>
            <w:shd w:fill="F2F2F2" w:val="clear"/>
            <w:tcMar>
              <w:top w:type="dxa" w:w="120"/>
              <w:left w:type="dxa" w:w="160"/>
              <w:bottom w:type="dxa" w:w="120"/>
              <w:right w:type="dxa" w:w="160"/>
            </w:tcMar>
          </w:tcPr>
          <w:p>
            <w:pPr>
              <w:spacing w:after="60" w:before="60" w:line="276"/>
            </w:pPr>
            <w:r>
              <w:rPr>
                <w:b/>
                <w:bCs/>
              </w:rPr>
              <w:t xml:space="preserve">NOVELTY 2 — RECOVER THE TWO COLUMNS THE PAPER DELETED.</w:t>
            </w:r>
          </w:p>
          <w:p>
            <w:pPr>
              <w:spacing w:after="60" w:line="276"/>
            </w:pPr>
            <w:r>
              <w:t xml:space="preserve">The paper reports the expected real short rate and the real term premium but suppresses the expected-inflation and inflation-risk-premium responses, deferring to Hazell &amp; Hobler on inflation. Since the DKW output gives you all four components, running the same regression on the two missing ones costs nothing and closes the decomposition arithmetically — you can then show that the four components sum to the nominal response. This doubles as a diagnostic: if they do not sum, your DKW data are misaligned.</w:t>
            </w:r>
          </w:p>
        </w:tc>
      </w:tr>
    </w:tbl>
    <w:p>
      <w:r>
        <w:br w:type="page"/>
      </w:r>
    </w:p>
    <w:p>
      <w:pPr>
        <w:pStyle w:val="Heading1"/>
        <w:spacing w:after="160" w:before="360"/>
      </w:pPr>
      <w:r>
        <w:t xml:space="preserve">6. Task B — Table 1, the one-day event study</w:t>
      </w:r>
    </w:p>
    <w:p>
      <w:pPr>
        <w:spacing w:after="120" w:line="276"/>
      </w:pPr>
      <w:r>
        <w:rPr>
          <w:b/>
          <w:bCs/>
          <w:i w:val="false"/>
          <w:iCs w:val="false"/>
        </w:rPr>
        <w:t xml:space="preserve">INTUITION. </w:t>
      </w:r>
      <w:r>
        <w:rPr>
          <w:b w:val="false"/>
          <w:bCs w:val="false"/>
          <w:i w:val="false"/>
          <w:iCs w:val="false"/>
        </w:rPr>
        <w:t xml:space="preserve">The Georgia runoff is a rare clean experiment. The presidency and House were settled in November 2020 and already priced; the filibuster meant a bare Senate majority could not pass much beyond budget reconciliation; so the runoff isolated almost exactly one question — will there be another large debt-financed transfer programme? Prediction markets had it at a coin flip the night before. When it resolved, expected deficits jumped and essentially nothing else about the macroeconomic outlook changed. Any yield move overnight is therefore attributable to the fiscal channel.</w:t>
      </w:r>
    </w:p>
    <w:p>
      <w:pPr>
        <w:pStyle w:val="Heading3"/>
        <w:spacing w:after="100" w:before="200"/>
      </w:pPr>
      <w:r>
        <w:t xml:space="preserve">PROCEDURE</w:t>
      </w:r>
    </w:p>
    <w:p>
      <w:pPr>
        <w:pStyle w:val="ListParagraph"/>
        <w:numPr>
          <w:ilvl w:val="0"/>
          <w:numId w:val="3"/>
        </w:numPr>
        <w:spacing w:after="80" w:line="276"/>
      </w:pPr>
      <w:r>
        <w:rPr>
          <w:b w:val="false"/>
          <w:bCs w:val="false"/>
          <w:i w:val="false"/>
          <w:iCs w:val="false"/>
        </w:rPr>
        <w:t xml:space="preserve">For each of six series — 10y TIPS, 10y expected r*, 10y real term premium, and the three 5f10y analogues — compute the change from the January 5 close to the January 6 close, in basis points.</w:t>
      </w:r>
    </w:p>
    <w:p>
      <w:pPr>
        <w:pStyle w:val="ListParagraph"/>
        <w:numPr>
          <w:ilvl w:val="0"/>
          <w:numId w:val="3"/>
        </w:numPr>
        <w:spacing w:after="80" w:line="276"/>
      </w:pPr>
      <w:r>
        <w:rPr>
          <w:b w:val="false"/>
          <w:bCs w:val="false"/>
          <w:i w:val="false"/>
          <w:iCs w:val="false"/>
        </w:rPr>
        <w:t xml:space="preserve">Divide each by the shock size from section 4.2.</w:t>
      </w:r>
    </w:p>
    <w:p>
      <w:pPr>
        <w:pStyle w:val="ListParagraph"/>
        <w:numPr>
          <w:ilvl w:val="0"/>
          <w:numId w:val="3"/>
        </w:numPr>
        <w:spacing w:after="80" w:line="276"/>
      </w:pPr>
      <w:r>
        <w:rPr>
          <w:b w:val="false"/>
          <w:bCs w:val="false"/>
          <w:i w:val="false"/>
          <w:iCs w:val="false"/>
        </w:rPr>
        <w:t xml:space="preserve">That is the whole of Table 1, row 1. Six numbers from six subtractions.</w:t>
      </w:r>
    </w:p>
    <w:p>
      <w:pPr>
        <w:pStyle w:val="Heading3"/>
        <w:spacing w:after="100" w:before="200"/>
      </w:pPr>
      <w:r>
        <w:t xml:space="preserve">DATA</w:t>
      </w:r>
    </w:p>
    <w:p>
      <w:pPr>
        <w:spacing w:after="120" w:line="276"/>
      </w:pPr>
      <w:r>
        <w:rPr>
          <w:b w:val="false"/>
          <w:bCs w:val="false"/>
          <w:i w:val="false"/>
          <w:iCs w:val="false"/>
        </w:rPr>
        <w:t xml:space="preserve">Public. GSW TIPS curve plus daily DKW output. No walls here.</w:t>
      </w:r>
    </w:p>
    <w:p>
      <w:pPr>
        <w:pStyle w:val="Heading3"/>
        <w:spacing w:after="100" w:before="200"/>
      </w:pPr>
      <w:r>
        <w:t xml:space="preserve">CHECKS</w:t>
      </w:r>
    </w:p>
    <w:p>
      <w:pPr>
        <w:pStyle w:val="ListParagraph"/>
        <w:numPr>
          <w:ilvl w:val="0"/>
          <w:numId w:val="2"/>
        </w:numPr>
        <w:spacing w:after="80" w:line="276"/>
      </w:pPr>
      <w:r>
        <w:rPr>
          <w:b w:val="false"/>
          <w:bCs w:val="false"/>
          <w:i w:val="false"/>
          <w:iCs w:val="false"/>
        </w:rPr>
        <w:t xml:space="preserve">The paper states the ten-year nominal yield rose about 10bp on the day. Table 1 reports 2.58 for the ten-year real TIPS yield, implying a raw real move near 5.3bp — so roughly half the nominal move was inflation compensation. If your raw numbers do not land near this, stop and fix the data before going further.</w:t>
      </w:r>
    </w:p>
    <w:p>
      <w:pPr>
        <w:pStyle w:val="ListParagraph"/>
        <w:numPr>
          <w:ilvl w:val="0"/>
          <w:numId w:val="2"/>
        </w:numPr>
        <w:spacing w:after="80" w:line="276"/>
      </w:pPr>
      <w:r>
        <w:rPr>
          <w:b w:val="false"/>
          <w:bCs w:val="false"/>
          <w:i w:val="false"/>
          <w:iCs w:val="false"/>
        </w:rPr>
        <w:t xml:space="preserve">Components again fail to sum, correctly: 1.64 + 2.61 = 4.25 against a TIPS response of 3.96. The gap is the TIPS liquidity premium. Verify that your DKW pull satisfies TIPS yield ≈ expected real short rate + real term premium + liquidity premium. If it does, you have loaded the right series.</w:t>
      </w:r>
    </w:p>
    <w:p>
      <w:pPr>
        <w:pStyle w:val="ListParagraph"/>
        <w:numPr>
          <w:ilvl w:val="0"/>
          <w:numId w:val="2"/>
        </w:numPr>
        <w:spacing w:after="80" w:line="276"/>
      </w:pPr>
      <w:r>
        <w:rPr>
          <w:b w:val="false"/>
          <w:bCs w:val="false"/>
          <w:i w:val="false"/>
          <w:iCs w:val="false"/>
        </w:rPr>
        <w:t xml:space="preserve">Note that the one-day ten-year TIPS estimate (2.58, p = 0.11) is not significant. The abstract reports only the components that are. Worth a sentence in your write-up.</w:t>
      </w:r>
    </w:p>
    <w:p>
      <w:pPr>
        <w:spacing w:after="120"/>
      </w:pPr>
    </w:p>
    <w:tbl>
      <w:tblPr>
        <w:tblW w:type="dxa" w:w="9360"/>
        <w:tblBorders>
          <w:top w:val="single" w:color="444444" w:sz="6"/>
          <w:left w:val="single" w:color="444444" w:sz="18"/>
          <w:bottom w:val="single" w:color="444444" w:sz="6"/>
          <w:right w:val="single" w:color="444444" w:sz="6"/>
          <w:insideH w:val="none"/>
          <w:insideV w:val="none"/>
        </w:tblBorders>
      </w:tblPr>
      <w:tblGrid>
        <w:gridCol w:w="9360"/>
      </w:tblGrid>
      <w:tr>
        <w:tc>
          <w:tcPr>
            <w:tcW w:type="dxa" w:w="9360"/>
            <w:shd w:fill="F2F2F2" w:val="clear"/>
            <w:tcMar>
              <w:top w:type="dxa" w:w="120"/>
              <w:left w:type="dxa" w:w="160"/>
              <w:bottom w:type="dxa" w:w="120"/>
              <w:right w:type="dxa" w:w="160"/>
            </w:tcMar>
          </w:tcPr>
          <w:p>
            <w:pPr>
              <w:spacing w:after="60" w:before="60" w:line="276"/>
            </w:pPr>
            <w:r>
              <w:rPr>
                <w:b/>
                <w:bCs/>
              </w:rPr>
              <w:t xml:space="preserve">NOVELTY 3 — REPLACE THE POINT SHOCK WITH A BAND OF DEFENSIBLE SHOCK SIZES.</w:t>
            </w:r>
          </w:p>
          <w:p>
            <w:pPr>
              <w:spacing w:after="60" w:line="276"/>
            </w:pPr>
            <w:r>
              <w:t xml:space="preserve">Every number in Table 1 is a yield change divided by one hand-collected scalar. The paper acknowledges this only through a 25th/75th-percentile sensitivity whose results are not shown. Since the underlying cross-section may be unobtainable anyway (Task C), turn the constraint into the contribution: bound the shock from independently observable objects — the $2,000-versus-$600 cheque differential times the eligible population, the ex-post outlay of the American Rescue Plan, and the CBO score of the March 2021 bill — and report elasticities across the resulting range rather than at a single point. This is more informative than the original and it is honest about where the fragility lies.</w:t>
            </w:r>
          </w:p>
        </w:tc>
      </w:tr>
    </w:tbl>
    <w:p>
      <w:r>
        <w:br w:type="page"/>
      </w:r>
    </w:p>
    <w:p>
      <w:pPr>
        <w:pStyle w:val="Heading1"/>
        <w:spacing w:after="160" w:before="360"/>
      </w:pPr>
      <w:r>
        <w:t xml:space="preserve">7. Task C — the placebo bootstrap behind the p-values</w:t>
      </w:r>
    </w:p>
    <w:p>
      <w:pPr>
        <w:spacing w:after="120" w:line="276"/>
      </w:pPr>
      <w:r>
        <w:rPr>
          <w:b/>
          <w:bCs/>
          <w:i w:val="false"/>
          <w:iCs w:val="false"/>
        </w:rPr>
        <w:t xml:space="preserve">INTUITION. </w:t>
      </w:r>
      <w:r>
        <w:rPr>
          <w:b w:val="false"/>
          <w:bCs w:val="false"/>
          <w:i w:val="false"/>
          <w:iCs w:val="false"/>
        </w:rPr>
        <w:t xml:space="preserve">You have one observation, so there is no sampling variance to appeal to. Instead you ask a randomisation question: if I had run this same calculation on an arbitrary ordinary day between 2016 and the eve of the runoff, how often would I have got something this large by chance? The answer is the p-value. Randomising the assumed shock size as well as the date acknowledges that the denominator is itself uncertain.</w:t>
      </w:r>
    </w:p>
    <w:p>
      <w:pPr>
        <w:pStyle w:val="Heading3"/>
        <w:spacing w:after="100" w:before="200"/>
      </w:pPr>
      <w:r>
        <w:t xml:space="preserve">PROCEDURE</w:t>
      </w:r>
    </w:p>
    <w:tbl>
      <w:tblPr>
        <w:tblW w:type="dxa" w:w="9360"/>
        <w:tblBorders>
          <w:top w:val="single" w:color="BFBFBF" w:sz="4"/>
          <w:left w:val="single" w:color="BFBFBF" w:sz="4"/>
          <w:bottom w:val="single" w:color="BFBFBF" w:sz="4"/>
          <w:right w:val="single" w:color="BFBFBF" w:sz="4"/>
          <w:insideH w:val="none"/>
          <w:insideV w:val="none"/>
        </w:tblBorders>
      </w:tblPr>
      <w:tblGrid>
        <w:gridCol w:w="9360"/>
      </w:tblGrid>
      <w:tr>
        <w:tc>
          <w:tcPr>
            <w:tcW w:type="dxa" w:w="9360"/>
            <w:shd w:fill="F7F7F7" w:val="clear"/>
            <w:tcMar>
              <w:top w:type="dxa" w:w="100"/>
              <w:left w:type="dxa" w:w="140"/>
              <w:bottom w:type="dxa" w:w="100"/>
              <w:right w:type="dxa" w:w="140"/>
            </w:tcMar>
          </w:tcPr>
          <w:p>
            <w:pPr>
              <w:spacing w:after="0" w:line="240"/>
            </w:pPr>
            <w:r>
              <w:rPr>
                <w:rFonts w:ascii="Consolas" w:cs="Consolas" w:eastAsia="Consolas" w:hAnsi="Consolas"/>
                <w:sz w:val="18"/>
                <w:szCs w:val="18"/>
              </w:rPr>
              <w:t xml:space="preserve">set.seed(20210106)</w:t>
            </w:r>
          </w:p>
          <w:p>
            <w:pPr>
              <w:spacing w:after="0" w:line="240"/>
            </w:pPr>
            <w:r>
              <w:rPr>
                <w:rFonts w:ascii="Consolas" w:cs="Consolas" w:eastAsia="Consolas" w:hAnsi="Consolas"/>
                <w:sz w:val="18"/>
                <w:szCs w:val="18"/>
              </w:rPr>
              <w:t xml:space="preserve">for (b in 1:10000) {</w:t>
            </w:r>
          </w:p>
          <w:p>
            <w:pPr>
              <w:spacing w:after="0" w:line="240"/>
            </w:pPr>
            <w:r>
              <w:rPr>
                <w:rFonts w:ascii="Consolas" w:cs="Consolas" w:eastAsia="Consolas" w:hAnsi="Consolas"/>
                <w:sz w:val="18"/>
                <w:szCs w:val="18"/>
              </w:rPr>
              <w:t xml:space="preserve">  d &lt;- sample(business_days_2016_to_20210104, 1)      # with replacement</w:t>
            </w:r>
          </w:p>
          <w:p>
            <w:pPr>
              <w:spacing w:after="0" w:line="240"/>
            </w:pPr>
            <w:r>
              <w:rPr>
                <w:rFonts w:ascii="Consolas" w:cs="Consolas" w:eastAsia="Consolas" w:hAnsi="Consolas"/>
                <w:sz w:val="18"/>
                <w:szCs w:val="18"/>
              </w:rPr>
              <w:t xml:space="preserve">  D &lt;- sample(ib_deficit_forecasts, 1)                # conditional on Dem victory</w:t>
            </w:r>
          </w:p>
          <w:p>
            <w:pPr>
              <w:spacing w:after="0" w:line="240"/>
            </w:pPr>
            <w:r>
              <w:rPr>
                <w:rFonts w:ascii="Consolas" w:cs="Consolas" w:eastAsia="Consolas" w:hAnsi="Consolas"/>
                <w:sz w:val="18"/>
                <w:szCs w:val="18"/>
              </w:rPr>
              <w:t xml:space="preserve">  shock_b &lt;- 0.5 * D / NGDP * 100</w:t>
            </w:r>
          </w:p>
          <w:p>
            <w:pPr>
              <w:spacing w:after="0" w:line="240"/>
            </w:pPr>
            <w:r>
              <w:rPr>
                <w:rFonts w:ascii="Consolas" w:cs="Consolas" w:eastAsia="Consolas" w:hAnsi="Consolas"/>
                <w:sz w:val="18"/>
                <w:szCs w:val="18"/>
              </w:rPr>
              <w:t xml:space="preserve">  theta_b &lt;- (series[d] - series[d - 1]) / shock_b</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 = share of theta_b at least as extreme as the January 6 estimate</w:t>
            </w:r>
          </w:p>
        </w:tc>
      </w:tr>
    </w:tbl>
    <w:p>
      <w:pPr>
        <w:spacing w:after="100"/>
      </w:pPr>
    </w:p>
    <w:p>
      <w:pPr>
        <w:spacing w:after="120" w:line="276"/>
      </w:pPr>
      <w:r>
        <w:rPr>
          <w:b w:val="false"/>
          <w:bCs w:val="false"/>
          <w:i w:val="false"/>
          <w:iCs w:val="false"/>
        </w:rPr>
        <w:t xml:space="preserve">Two decisions the paper leaves open. First, one-sided versus two-sided: the asterisk pattern (1.20 at p = 0.06, 1.71 at p = 0.02) is consistent with either, so run both and report both. Second, whether the placebo shock carries the 0.5 factor. This only rescales the dispersion of the null, but rescaling the null does move p-values, so document it as a sensitivity.</w:t>
      </w:r>
    </w:p>
    <w:p>
      <w:pPr>
        <w:spacing w:after="120" w:line="276"/>
      </w:pPr>
      <w:r>
        <w:rPr>
          <w:b w:val="false"/>
          <w:bCs w:val="false"/>
          <w:i w:val="false"/>
          <w:iCs w:val="false"/>
        </w:rPr>
        <w:t xml:space="preserve">Conceptually, once you strip the scaling away, this test asks whether the January 6 move is extreme relative to the 2016–2021 distribution of one-day moves in the same series. Nothing more.</w:t>
      </w:r>
    </w:p>
    <w:p>
      <w:pPr>
        <w:pStyle w:val="Heading3"/>
        <w:spacing w:after="100" w:before="200"/>
      </w:pPr>
      <w:r>
        <w:t xml:space="preserve">DATA — this is the wall</w:t>
      </w:r>
    </w:p>
    <w:p>
      <w:pPr>
        <w:spacing w:after="120" w:line="276"/>
      </w:pPr>
      <w:r>
        <w:rPr>
          <w:b w:val="false"/>
          <w:bCs w:val="false"/>
          <w:i w:val="false"/>
          <w:iCs w:val="false"/>
        </w:rPr>
        <w:t xml:space="preserve">The Hazell–Hobler investment-bank cross-section is hand-collected from sell-side research notes issued between roughly 28 December 2020 and 5 January 2021. Those documents are proprietary, are not publicly archived, and are generally not redistributable even inside replication packages. You need the full distribution, not the $900bn median, because the bootstrap draws from it and the 25th/75th sensitivity depends on it.</w:t>
      </w:r>
    </w:p>
    <w:p>
      <w:pPr>
        <w:pStyle w:val="Heading3"/>
        <w:spacing w:after="100" w:before="200"/>
      </w:pPr>
      <w:r>
        <w:t xml:space="preserve">FALLBACK</w:t>
      </w:r>
    </w:p>
    <w:p>
      <w:pPr>
        <w:pStyle w:val="ListParagraph"/>
        <w:numPr>
          <w:ilvl w:val="0"/>
          <w:numId w:val="3"/>
        </w:numPr>
        <w:spacing w:after="80" w:line="276"/>
      </w:pPr>
      <w:r>
        <w:rPr>
          <w:b w:val="false"/>
          <w:bCs w:val="false"/>
          <w:i w:val="false"/>
          <w:iCs w:val="false"/>
        </w:rPr>
        <w:t xml:space="preserve">Check the Hazell–Hobler LSE working-paper files first, then email Hazell. This is the only clean route.</w:t>
      </w:r>
    </w:p>
    <w:p>
      <w:pPr>
        <w:pStyle w:val="ListParagraph"/>
        <w:numPr>
          <w:ilvl w:val="0"/>
          <w:numId w:val="3"/>
        </w:numPr>
        <w:spacing w:after="80" w:line="276"/>
      </w:pPr>
      <w:r>
        <w:rPr>
          <w:b w:val="false"/>
          <w:bCs w:val="false"/>
          <w:i w:val="false"/>
          <w:iCs w:val="false"/>
        </w:rPr>
        <w:t xml:space="preserve">If refused, degrade gracefully: fix the shock at the median and randomise only the date. The null then becomes a simple distribution of scaled one-day changes. This is a weaker test — it drops the denominator uncertainty — and you must say so.</w:t>
      </w:r>
    </w:p>
    <w:p>
      <w:pPr>
        <w:pStyle w:val="ListParagraph"/>
        <w:numPr>
          <w:ilvl w:val="0"/>
          <w:numId w:val="3"/>
        </w:numPr>
        <w:spacing w:after="80" w:line="276"/>
      </w:pPr>
      <w:r>
        <w:rPr>
          <w:b w:val="false"/>
          <w:bCs w:val="false"/>
          <w:i w:val="false"/>
          <w:iCs w:val="false"/>
        </w:rPr>
        <w:t xml:space="preserve">Reconstruct a synthetic dispersion from public forecast sources (Blue Chip Financial Forecasts, contemporaneous press summaries of bank estimates) and use that as the sampling distribution, disclosing that it is a proxy.</w:t>
      </w:r>
    </w:p>
    <w:p>
      <w:pPr>
        <w:spacing w:after="120"/>
      </w:pPr>
    </w:p>
    <w:tbl>
      <w:tblPr>
        <w:tblW w:type="dxa" w:w="9360"/>
        <w:tblBorders>
          <w:top w:val="single" w:color="444444" w:sz="6"/>
          <w:left w:val="single" w:color="444444" w:sz="18"/>
          <w:bottom w:val="single" w:color="444444" w:sz="6"/>
          <w:right w:val="single" w:color="444444" w:sz="6"/>
          <w:insideH w:val="none"/>
          <w:insideV w:val="none"/>
        </w:tblBorders>
      </w:tblPr>
      <w:tblGrid>
        <w:gridCol w:w="9360"/>
      </w:tblGrid>
      <w:tr>
        <w:tc>
          <w:tcPr>
            <w:tcW w:type="dxa" w:w="9360"/>
            <w:shd w:fill="F2F2F2" w:val="clear"/>
            <w:tcMar>
              <w:top w:type="dxa" w:w="120"/>
              <w:left w:type="dxa" w:w="160"/>
              <w:bottom w:type="dxa" w:w="120"/>
              <w:right w:type="dxa" w:w="160"/>
            </w:tcMar>
          </w:tcPr>
          <w:p>
            <w:pPr>
              <w:spacing w:after="60" w:before="60" w:line="276"/>
            </w:pPr>
            <w:r>
              <w:rPr>
                <w:b/>
                <w:bCs/>
              </w:rPr>
              <w:t xml:space="preserve">NOVELTY 4 — REPORT A BLOCK-BOOTSTRAP VARIANT ALONGSIDE THE IID DATE DRAW.</w:t>
            </w:r>
          </w:p>
          <w:p>
            <w:pPr>
              <w:spacing w:after="60" w:line="276"/>
            </w:pPr>
            <w:r>
              <w:t xml:space="preserve">Daily yield changes are not independent — volatility clusters, and the 2016–2021 window contains the March 2020 pandemic disruption, which fattens the null enormously and mechanically makes it harder to reject. Two cheap additions: draw overlapping blocks of days rather than single days, and re-run the null excluding a COVID-volatility window. Showing how the p-values move under these alternatives is a real robustness contribution and requires no data you do not already have.</w:t>
            </w:r>
          </w:p>
        </w:tc>
      </w:tr>
    </w:tbl>
    <w:p>
      <w:r>
        <w:br w:type="page"/>
      </w:r>
    </w:p>
    <w:p>
      <w:pPr>
        <w:pStyle w:val="Heading1"/>
        <w:spacing w:after="160" w:before="360"/>
      </w:pPr>
      <w:r>
        <w:t xml:space="preserve">8. Task D — the intraday narrow window</w:t>
      </w:r>
    </w:p>
    <w:p>
      <w:pPr>
        <w:spacing w:after="120" w:line="276"/>
      </w:pPr>
      <w:r>
        <w:rPr>
          <w:b/>
          <w:bCs/>
          <w:i w:val="false"/>
          <w:iCs w:val="false"/>
        </w:rPr>
        <w:t xml:space="preserve">INTUITION. </w:t>
      </w:r>
      <w:r>
        <w:rPr>
          <w:b w:val="false"/>
          <w:bCs w:val="false"/>
          <w:i w:val="false"/>
          <w:iCs w:val="false"/>
        </w:rPr>
        <w:t xml:space="preserve">The one-day window has an obvious problem: the Capitol riot occurred on the afternoon of 6 January, and yields partially retraced before the close. If the riot moved rates, the daily change conflates two shocks. The fix is to end the window at 12:50pm, before the riot was reported, which still captures the overnight repricing on the election result. The authors note that yields barely moved between the open and 12:50, which is itself evidence that the overnight jump is the whole story.</w:t>
      </w:r>
    </w:p>
    <w:p>
      <w:pPr>
        <w:pStyle w:val="Heading3"/>
        <w:spacing w:after="100" w:before="200"/>
      </w:pPr>
      <w:r>
        <w:t xml:space="preserve">PROCEDURE</w:t>
      </w:r>
    </w:p>
    <w:p>
      <w:pPr>
        <w:spacing w:after="120" w:line="276"/>
      </w:pPr>
      <w:r>
        <w:rPr>
          <w:b w:val="false"/>
          <w:bCs w:val="false"/>
          <w:i w:val="false"/>
          <w:iCs w:val="false"/>
        </w:rPr>
        <w:t xml:space="preserve">Take the DKW parameter estimates as fixed, treat five-minute yields as new measurements, invert the model's measurement equation — the affine no-arbitrage loadings — to back out factor changes, then map factors into r* and the real term premium. Window: 5 January close to 6 January 12:50pm Eastern.</w:t>
      </w:r>
    </w:p>
    <w:p>
      <w:pPr>
        <w:pStyle w:val="Heading3"/>
        <w:spacing w:after="100" w:before="200"/>
      </w:pPr>
      <w:r>
        <w:t xml:space="preserve">DATA — the binding constraint on the whole project</w:t>
      </w:r>
    </w:p>
    <w:p>
      <w:pPr>
        <w:spacing w:after="120" w:line="276"/>
      </w:pPr>
      <w:r>
        <w:rPr>
          <w:b w:val="false"/>
          <w:bCs w:val="false"/>
          <w:i w:val="false"/>
          <w:iCs w:val="false"/>
        </w:rPr>
        <w:t xml:space="preserve">Two independent walls stack here. The published DKW output is daily only; the parameters and state-space setup needed to filter at five-minute frequency are Board-internal and are not in the public release. Separately, GSW curves are daily, so intraday work requires Bloomberg tick data or an intraday curve you construct yourself. Note that the paper reports no p-values for this row, so you only need point estimates — which lowers the bar considerably.</w:t>
      </w:r>
    </w:p>
    <w:p>
      <w:pPr>
        <w:pStyle w:val="Heading3"/>
        <w:spacing w:after="100" w:before="200"/>
      </w:pPr>
      <w:r>
        <w:t xml:space="preserve">FALLBACK, in descending order of fidelity</w:t>
      </w:r>
    </w:p>
    <w:p>
      <w:pPr>
        <w:pStyle w:val="ListParagraph"/>
        <w:numPr>
          <w:ilvl w:val="0"/>
          <w:numId w:val="3"/>
        </w:numPr>
        <w:spacing w:after="80" w:line="276"/>
      </w:pPr>
      <w:r>
        <w:rPr>
          <w:b w:val="false"/>
          <w:bCs w:val="false"/>
          <w:i w:val="false"/>
          <w:iCs w:val="false"/>
        </w:rPr>
        <w:t xml:space="preserve">Ask the authors for the parameters (Phase 0 correspondence). Costs nothing, occasionally works.</w:t>
      </w:r>
    </w:p>
    <w:p>
      <w:pPr>
        <w:pStyle w:val="ListParagraph"/>
        <w:numPr>
          <w:ilvl w:val="0"/>
          <w:numId w:val="3"/>
        </w:numPr>
        <w:spacing w:after="80" w:line="276"/>
      </w:pPr>
      <w:r>
        <w:rPr>
          <w:b w:val="false"/>
          <w:bCs w:val="false"/>
          <w:i w:val="false"/>
          <w:iCs w:val="false"/>
        </w:rPr>
        <w:t xml:space="preserve">Substitute a publicly replicable affine term structure model. See Novelty 5.</w:t>
      </w:r>
    </w:p>
    <w:p>
      <w:pPr>
        <w:pStyle w:val="ListParagraph"/>
        <w:numPr>
          <w:ilvl w:val="0"/>
          <w:numId w:val="3"/>
        </w:numPr>
        <w:spacing w:after="80" w:line="276"/>
      </w:pPr>
      <w:r>
        <w:rPr>
          <w:b w:val="false"/>
          <w:bCs w:val="false"/>
          <w:i w:val="false"/>
          <w:iCs w:val="false"/>
        </w:rPr>
        <w:t xml:space="preserve">Substitute Treasury futures for cash Treasuries. See Novelty 6.</w:t>
      </w:r>
    </w:p>
    <w:p>
      <w:pPr>
        <w:pStyle w:val="ListParagraph"/>
        <w:numPr>
          <w:ilvl w:val="0"/>
          <w:numId w:val="3"/>
        </w:numPr>
        <w:spacing w:after="80" w:line="276"/>
      </w:pPr>
      <w:r>
        <w:rPr>
          <w:b w:val="false"/>
          <w:bCs w:val="false"/>
          <w:i w:val="false"/>
          <w:iCs w:val="false"/>
        </w:rPr>
        <w:t xml:space="preserve">Declare the row non-replicable, replicate rows 1 and 2, and write a short section explaining precisely which artefact is missing and why. For a course project this is a perfectly respectable outcome, and it is a more useful contribution than a fudged number.</w:t>
      </w:r>
    </w:p>
    <w:p>
      <w:pPr>
        <w:spacing w:after="120"/>
      </w:pPr>
    </w:p>
    <w:tbl>
      <w:tblPr>
        <w:tblW w:type="dxa" w:w="9360"/>
        <w:tblBorders>
          <w:top w:val="single" w:color="444444" w:sz="6"/>
          <w:left w:val="single" w:color="444444" w:sz="18"/>
          <w:bottom w:val="single" w:color="444444" w:sz="6"/>
          <w:right w:val="single" w:color="444444" w:sz="6"/>
          <w:insideH w:val="none"/>
          <w:insideV w:val="none"/>
        </w:tblBorders>
      </w:tblPr>
      <w:tblGrid>
        <w:gridCol w:w="9360"/>
      </w:tblGrid>
      <w:tr>
        <w:tc>
          <w:tcPr>
            <w:tcW w:type="dxa" w:w="9360"/>
            <w:shd w:fill="F2F2F2" w:val="clear"/>
            <w:tcMar>
              <w:top w:type="dxa" w:w="120"/>
              <w:left w:type="dxa" w:w="160"/>
              <w:bottom w:type="dxa" w:w="120"/>
              <w:right w:type="dxa" w:w="160"/>
            </w:tcMar>
          </w:tcPr>
          <w:p>
            <w:pPr>
              <w:spacing w:after="60" w:before="60" w:line="276"/>
            </w:pPr>
            <w:r>
              <w:rPr>
                <w:b/>
                <w:bCs/>
              </w:rPr>
              <w:t xml:space="preserve">NOVELTY 5 — SUBSTITUTE ADRIAN–CRUMP–MOENCH FOR DKW AND ASK WHETHER THE HEADLINE RESULT IS MODEL-DEPENDENT.</w:t>
            </w:r>
          </w:p>
          <w:p>
            <w:pPr>
              <w:spacing w:after="60" w:line="276"/>
            </w:pPr>
            <w:r>
              <w:t xml:space="preserve">This is the strongest extension available to you, and the data constraint forces it anyway. The paper's central claim is a decomposition claim: that the effect of debt supply loads on the term premium rather than on r*, which is what licenses the conclusion about imperfect asset substitutability and about central-bank balance-sheet policy retaining traction at the lower bound. That claim is only as robust as the model doing the decomposing, and the paper never tests it against an alternative. Adrian–Crump–Moench is estimated from public data with published code; Kim–Wright is posted by the Board; Christensen–Lopez–Rudebusch is replicable. Re-run Tasks A and B under a second model and report whether the term-premium share survives. State clearly that the ACM decomposition is nominal-only, so you are decomposing the nominal rather than the real 5f10y — a difference to disclose, not to paper over.</w:t>
            </w:r>
          </w:p>
        </w:tc>
      </w:tr>
    </w:tbl>
    <w:p>
      <w:pPr>
        <w:spacing w:after="120"/>
      </w:pPr>
    </w:p>
    <w:tbl>
      <w:tblPr>
        <w:tblW w:type="dxa" w:w="9360"/>
        <w:tblBorders>
          <w:top w:val="single" w:color="444444" w:sz="6"/>
          <w:left w:val="single" w:color="444444" w:sz="18"/>
          <w:bottom w:val="single" w:color="444444" w:sz="6"/>
          <w:right w:val="single" w:color="444444" w:sz="6"/>
          <w:insideH w:val="none"/>
          <w:insideV w:val="none"/>
        </w:tblBorders>
      </w:tblPr>
      <w:tblGrid>
        <w:gridCol w:w="9360"/>
      </w:tblGrid>
      <w:tr>
        <w:tc>
          <w:tcPr>
            <w:tcW w:type="dxa" w:w="9360"/>
            <w:shd w:fill="F2F2F2" w:val="clear"/>
            <w:tcMar>
              <w:top w:type="dxa" w:w="120"/>
              <w:left w:type="dxa" w:w="160"/>
              <w:bottom w:type="dxa" w:w="120"/>
              <w:right w:type="dxa" w:w="160"/>
            </w:tcMar>
          </w:tcPr>
          <w:p>
            <w:pPr>
              <w:spacing w:after="60" w:before="60" w:line="276"/>
            </w:pPr>
            <w:r>
              <w:rPr>
                <w:b/>
                <w:bCs/>
              </w:rPr>
              <w:t xml:space="preserve">NOVELTY 6 — USE CME TREASURY FUTURES (ZN, ZB) FOR THE INTRADAY WINDOW INSTEAD OF CASH YIELDS.</w:t>
            </w:r>
          </w:p>
          <w:p>
            <w:pPr>
              <w:spacing w:after="60" w:line="276"/>
            </w:pPr>
            <w:r>
              <w:t xml:space="preserve">Futures tick data is obtainable where Bloomberg cash tick data may not be, and it is the standard instrument in the high-frequency macro-finance literature — the convention Gürkaynak, Sack and Swanson established. This is defensible on its own merits rather than as a grudging substitute, and it lets you say something the paper cannot: whether the measured response differs between the cash and futures markets over the same minutes.</w:t>
            </w:r>
          </w:p>
        </w:tc>
      </w:tr>
    </w:tbl>
    <w:p>
      <w:r>
        <w:br w:type="page"/>
      </w:r>
    </w:p>
    <w:p>
      <w:pPr>
        <w:pStyle w:val="Heading1"/>
        <w:spacing w:after="160" w:before="360"/>
      </w:pPr>
      <w:r>
        <w:t xml:space="preserve">9. Task E — Table 2, the daily probability regression</w:t>
      </w:r>
    </w:p>
    <w:p>
      <w:pPr>
        <w:spacing w:after="120" w:line="276"/>
      </w:pPr>
      <w:r>
        <w:rPr>
          <w:b/>
          <w:bCs/>
          <w:i w:val="false"/>
          <w:iCs w:val="false"/>
        </w:rPr>
        <w:t xml:space="preserve">INTUITION. </w:t>
      </w:r>
      <w:r>
        <w:rPr>
          <w:b w:val="false"/>
          <w:bCs w:val="false"/>
          <w:i w:val="false"/>
          <w:iCs w:val="false"/>
        </w:rPr>
        <w:t xml:space="preserve">The event study rests on one observation, which is uncomfortable. This specification spreads the identification across the month before the runoff: as the betting-market probability of Democratic control drifted up and down, expected deficits drifted with it, and yields should have tracked. If the slope recovered this way matches the single-day jump, the two approaches corroborate each other.</w:t>
      </w:r>
    </w:p>
    <w:p>
      <w:pPr>
        <w:pStyle w:val="Heading3"/>
        <w:spacing w:after="100" w:before="200"/>
      </w:pPr>
      <w:r>
        <w:t xml:space="preserve">PROCEDURE</w:t>
      </w:r>
    </w:p>
    <w:tbl>
      <w:tblPr>
        <w:tblW w:type="dxa" w:w="9360"/>
        <w:tblBorders>
          <w:top w:val="single" w:color="BFBFBF" w:sz="4"/>
          <w:left w:val="single" w:color="BFBFBF" w:sz="4"/>
          <w:bottom w:val="single" w:color="BFBFBF" w:sz="4"/>
          <w:right w:val="single" w:color="BFBFBF" w:sz="4"/>
          <w:insideH w:val="none"/>
          <w:insideV w:val="none"/>
        </w:tblBorders>
      </w:tblPr>
      <w:tblGrid>
        <w:gridCol w:w="9360"/>
      </w:tblGrid>
      <w:tr>
        <w:tc>
          <w:tcPr>
            <w:tcW w:type="dxa" w:w="9360"/>
            <w:shd w:fill="F7F7F7" w:val="clear"/>
            <w:tcMar>
              <w:top w:type="dxa" w:w="100"/>
              <w:left w:type="dxa" w:w="140"/>
              <w:bottom w:type="dxa" w:w="100"/>
              <w:right w:type="dxa" w:w="140"/>
            </w:tcMar>
          </w:tcPr>
          <w:p>
            <w:pPr>
              <w:spacing w:after="0" w:line="240"/>
            </w:pPr>
            <w:r>
              <w:rPr>
                <w:rFonts w:ascii="Consolas" w:cs="Consolas" w:eastAsia="Consolas" w:hAnsi="Consolas"/>
                <w:sz w:val="18"/>
                <w:szCs w:val="18"/>
              </w:rPr>
              <w:t xml:space="preserve">df$x &lt;- 4 * df$prob        # footnote 7 rescaling; x is in pp of debt/GDP</w:t>
            </w:r>
          </w:p>
          <w:p>
            <w:pPr>
              <w:spacing w:after="0" w:line="240"/>
            </w:pPr>
            <w:r>
              <w:rPr>
                <w:rFonts w:ascii="Consolas" w:cs="Consolas" w:eastAsia="Consolas" w:hAnsi="Consolas"/>
                <w:sz w:val="18"/>
                <w:szCs w:val="18"/>
              </w:rPr>
              <w:t xml:space="preserve">m   &lt;- lm(y ~ x, data = df)</w:t>
            </w:r>
          </w:p>
          <w:p>
            <w:pPr>
              <w:spacing w:after="0" w:line="240"/>
            </w:pPr>
            <w:r>
              <w:rPr>
                <w:rFonts w:ascii="Consolas" w:cs="Consolas" w:eastAsia="Consolas" w:hAnsi="Consolas"/>
                <w:sz w:val="18"/>
                <w:szCs w:val="18"/>
              </w:rPr>
              <w:t xml:space="preserve">lmtest::coeftest(m, vcov = sandwich::NeweyWest(m, lag = L, prewhite = FALSE))</w:t>
            </w:r>
          </w:p>
        </w:tc>
      </w:tr>
    </w:tbl>
    <w:p>
      <w:pPr>
        <w:spacing w:after="100"/>
      </w:pPr>
    </w:p>
    <w:p>
      <w:pPr>
        <w:spacing w:after="120" w:line="276"/>
      </w:pPr>
      <w:r>
        <w:rPr>
          <w:b w:val="false"/>
          <w:bCs w:val="false"/>
          <w:i w:val="false"/>
          <w:iCs w:val="false"/>
        </w:rPr>
        <w:t xml:space="preserve">Sample: 14 December 2020 to 8 January 2021.</w:t>
      </w:r>
    </w:p>
    <w:p>
      <w:pPr>
        <w:pStyle w:val="Heading3"/>
        <w:spacing w:after="100" w:before="200"/>
      </w:pPr>
      <w:r>
        <w:t xml:space="preserve">TWO AMBIGUITIES TO RESOLVE YOURSELVES</w:t>
      </w:r>
    </w:p>
    <w:p>
      <w:pPr>
        <w:spacing w:after="120" w:line="276"/>
      </w:pPr>
      <w:r>
        <w:rPr>
          <w:b/>
          <w:bCs/>
          <w:i w:val="false"/>
          <w:iCs w:val="false"/>
        </w:rPr>
        <w:t xml:space="preserve">Levels or differences. </w:t>
      </w:r>
      <w:r>
        <w:rPr>
          <w:b w:val="false"/>
          <w:bCs w:val="false"/>
          <w:i w:val="false"/>
          <w:iCs w:val="false"/>
        </w:rPr>
        <w:t xml:space="preserve">The introduction describes regressing daily changes in yields on the probability of Democratic victory, but equation (1) is written in levels, and N = 18 is exactly the number of business days in the window — differencing would leave 17. The table is therefore almost certainly levels-on-levels despite the prose. Run both, report the levels version as baseline, and flag the discrepancy explicitly. This is a legitimate finding for your write-up, not a nuisance.</w:t>
      </w:r>
    </w:p>
    <w:p>
      <w:pPr>
        <w:spacing w:after="120" w:line="276"/>
      </w:pPr>
      <w:r>
        <w:rPr>
          <w:b/>
          <w:bCs/>
          <w:i w:val="false"/>
          <w:iCs w:val="false"/>
        </w:rPr>
        <w:t xml:space="preserve">Newey–West lag length. </w:t>
      </w:r>
      <w:r>
        <w:rPr>
          <w:b w:val="false"/>
          <w:bCs w:val="false"/>
          <w:i w:val="false"/>
          <w:iCs w:val="false"/>
        </w:rPr>
        <w:t xml:space="preserve">Unstated, and at N = 18 the results are sensitive to it. Try L = 1, L = 2, and the automatic bandwidth rule, and present a small table rather than a single number.</w:t>
      </w:r>
    </w:p>
    <w:p>
      <w:pPr>
        <w:pStyle w:val="Heading3"/>
        <w:spacing w:after="100" w:before="200"/>
      </w:pPr>
      <w:r>
        <w:t xml:space="preserve">DATA</w:t>
      </w:r>
    </w:p>
    <w:p>
      <w:pPr>
        <w:spacing w:after="120" w:line="276"/>
      </w:pPr>
      <w:r>
        <w:rPr>
          <w:b w:val="false"/>
          <w:bCs w:val="false"/>
          <w:i w:val="false"/>
          <w:iCs w:val="false"/>
        </w:rPr>
        <w:t xml:space="preserve">PredictIt's public API was discontinued and historical access is unreliable. Daily closes for the Georgia markets circulate in several papers' replication files — check Hazell &amp; Hobler and Mian, Straub &amp; Sufi first. The intraday series behind the paper's Figure 1 is harder; try the Wayback Machine on the relevant PredictIt market pages.</w:t>
      </w:r>
    </w:p>
    <w:p>
      <w:pPr>
        <w:pStyle w:val="Heading3"/>
        <w:spacing w:after="100" w:before="200"/>
      </w:pPr>
      <w:r>
        <w:t xml:space="preserve">SCREENING NOTE</w:t>
      </w:r>
    </w:p>
    <w:p>
      <w:pPr>
        <w:spacing w:after="120" w:line="276"/>
      </w:pPr>
      <w:r>
        <w:rPr>
          <w:b w:val="false"/>
          <w:bCs w:val="false"/>
          <w:i w:val="false"/>
          <w:iCs w:val="false"/>
        </w:rPr>
        <w:t xml:space="preserve">This is the weakest cell in the paper and deserves attention. The ten-year TIPS coefficient here is 0.63 with a standard error of 1.00 — insignificant, and an order of magnitude away from the event-study value of 2.58. Footnote 8 attributes the divergence to the inflation and liquidity components of the DKW decomposition. That explanation is assertable but untested in the paper; testing it is nearly free once you have the full component set from Novelty 2.</w:t>
      </w:r>
    </w:p>
    <w:p>
      <w:r>
        <w:br w:type="page"/>
      </w:r>
    </w:p>
    <w:p>
      <w:pPr>
        <w:pStyle w:val="Heading1"/>
        <w:spacing w:after="160" w:before="360"/>
      </w:pPr>
      <w:r>
        <w:t xml:space="preserve">10. Decisions log — keep this file from day one</w:t>
      </w:r>
    </w:p>
    <w:p>
      <w:pPr>
        <w:spacing w:after="120" w:line="276"/>
      </w:pPr>
      <w:r>
        <w:rPr>
          <w:b w:val="false"/>
          <w:bCs w:val="false"/>
          <w:i w:val="false"/>
          <w:iCs w:val="false"/>
        </w:rPr>
        <w:t xml:space="preserve">In a replication exercise the log of undocumented choices is usually worth as much as the results. Every item below is genuinely underdetermined by the paper; each needs a decision, a justification, and a sensitivity.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600"/>
        <w:gridCol w:w="3560"/>
        <w:gridCol w:w="5200"/>
      </w:tblGrid>
      <w:tr>
        <w:trPr>
          <w:tblHeader/>
        </w:trPr>
        <w:tc>
          <w:tcPr>
            <w:tcW w:type="dxa" w:w="600"/>
            <w:shd w:fill="E4E4E4" w:val="clear"/>
            <w:tcMar>
              <w:top w:type="dxa" w:w="80"/>
              <w:left w:type="dxa" w:w="120"/>
              <w:bottom w:type="dxa" w:w="80"/>
              <w:right w:type="dxa" w:w="120"/>
            </w:tcMar>
          </w:tcPr>
          <w:p>
            <w:pPr>
              <w:spacing w:after="0"/>
            </w:pPr>
            <w:r>
              <w:rPr>
                <w:b/>
                <w:bCs/>
                <w:sz w:val="19"/>
                <w:szCs w:val="19"/>
              </w:rPr>
              <w:t xml:space="preserve">#</w:t>
            </w:r>
          </w:p>
        </w:tc>
        <w:tc>
          <w:tcPr>
            <w:tcW w:type="dxa" w:w="3560"/>
            <w:shd w:fill="E4E4E4" w:val="clear"/>
            <w:tcMar>
              <w:top w:type="dxa" w:w="80"/>
              <w:left w:type="dxa" w:w="120"/>
              <w:bottom w:type="dxa" w:w="80"/>
              <w:right w:type="dxa" w:w="120"/>
            </w:tcMar>
          </w:tcPr>
          <w:p>
            <w:pPr>
              <w:spacing w:after="0"/>
            </w:pPr>
            <w:r>
              <w:rPr>
                <w:b/>
                <w:bCs/>
                <w:sz w:val="19"/>
                <w:szCs w:val="19"/>
              </w:rPr>
              <w:t xml:space="preserve">Decision</w:t>
            </w:r>
          </w:p>
        </w:tc>
        <w:tc>
          <w:tcPr>
            <w:tcW w:type="dxa" w:w="5200"/>
            <w:shd w:fill="E4E4E4" w:val="clear"/>
            <w:tcMar>
              <w:top w:type="dxa" w:w="80"/>
              <w:left w:type="dxa" w:w="120"/>
              <w:bottom w:type="dxa" w:w="80"/>
              <w:right w:type="dxa" w:w="120"/>
            </w:tcMar>
          </w:tcPr>
          <w:p>
            <w:pPr>
              <w:spacing w:after="0"/>
            </w:pPr>
            <w:r>
              <w:rPr>
                <w:b/>
                <w:bCs/>
                <w:sz w:val="19"/>
                <w:szCs w:val="19"/>
              </w:rPr>
              <w:t xml:space="preserve">Why it matters</w:t>
            </w:r>
          </w:p>
        </w:tc>
      </w:tr>
      <w:tr>
        <w:tc>
          <w:tcPr>
            <w:tcW w:type="dxa" w:w="600"/>
            <w:tcMar>
              <w:top w:type="dxa" w:w="80"/>
              <w:left w:type="dxa" w:w="120"/>
              <w:bottom w:type="dxa" w:w="80"/>
              <w:right w:type="dxa" w:w="120"/>
            </w:tcMar>
          </w:tcPr>
          <w:p>
            <w:pPr>
              <w:spacing w:after="0" w:line="240"/>
            </w:pPr>
            <w:r>
              <w:rPr>
                <w:sz w:val="19"/>
                <w:szCs w:val="19"/>
              </w:rPr>
              <w:t xml:space="preserve">1</w:t>
            </w:r>
          </w:p>
        </w:tc>
        <w:tc>
          <w:tcPr>
            <w:tcW w:type="dxa" w:w="3560"/>
            <w:tcMar>
              <w:top w:type="dxa" w:w="80"/>
              <w:left w:type="dxa" w:w="120"/>
              <w:bottom w:type="dxa" w:w="80"/>
              <w:right w:type="dxa" w:w="120"/>
            </w:tcMar>
          </w:tcPr>
          <w:p>
            <w:pPr>
              <w:spacing w:after="0" w:line="240"/>
            </w:pPr>
            <w:r>
              <w:rPr>
                <w:sz w:val="19"/>
                <w:szCs w:val="19"/>
              </w:rPr>
              <w:t xml:space="preserve">GDP denominator: 2.0 vs 2.1 vs 2.04 percentage points</w:t>
            </w:r>
          </w:p>
        </w:tc>
        <w:tc>
          <w:tcPr>
            <w:tcW w:type="dxa" w:w="5200"/>
            <w:tcMar>
              <w:top w:type="dxa" w:w="80"/>
              <w:left w:type="dxa" w:w="120"/>
              <w:bottom w:type="dxa" w:w="80"/>
              <w:right w:type="dxa" w:w="120"/>
            </w:tcMar>
          </w:tcPr>
          <w:p>
            <w:pPr>
              <w:spacing w:after="0" w:line="240"/>
            </w:pPr>
            <w:r>
              <w:rPr>
                <w:sz w:val="19"/>
                <w:szCs w:val="19"/>
              </w:rPr>
              <w:t xml:space="preserve">Introduction says ~2.1%; footnote 7 implies exactly 2.0. Roughly a 5% swing in every Table 1 number.</w:t>
            </w:r>
          </w:p>
        </w:tc>
      </w:tr>
      <w:tr>
        <w:tc>
          <w:tcPr>
            <w:tcW w:type="dxa" w:w="600"/>
            <w:tcMar>
              <w:top w:type="dxa" w:w="80"/>
              <w:left w:type="dxa" w:w="120"/>
              <w:bottom w:type="dxa" w:w="80"/>
              <w:right w:type="dxa" w:w="120"/>
            </w:tcMar>
          </w:tcPr>
          <w:p>
            <w:pPr>
              <w:spacing w:after="0" w:line="240"/>
            </w:pPr>
            <w:r>
              <w:rPr>
                <w:sz w:val="19"/>
                <w:szCs w:val="19"/>
              </w:rPr>
              <w:t xml:space="preserve">2</w:t>
            </w:r>
          </w:p>
        </w:tc>
        <w:tc>
          <w:tcPr>
            <w:tcW w:type="dxa" w:w="3560"/>
            <w:tcMar>
              <w:top w:type="dxa" w:w="80"/>
              <w:left w:type="dxa" w:w="120"/>
              <w:bottom w:type="dxa" w:w="80"/>
              <w:right w:type="dxa" w:w="120"/>
            </w:tcMar>
          </w:tcPr>
          <w:p>
            <w:pPr>
              <w:spacing w:after="0" w:line="240"/>
            </w:pPr>
            <w:r>
              <w:rPr>
                <w:sz w:val="19"/>
                <w:szCs w:val="19"/>
              </w:rPr>
              <w:t xml:space="preserve">Placebo p-values one-sided or two-sided</w:t>
            </w:r>
          </w:p>
        </w:tc>
        <w:tc>
          <w:tcPr>
            <w:tcW w:type="dxa" w:w="5200"/>
            <w:tcMar>
              <w:top w:type="dxa" w:w="80"/>
              <w:left w:type="dxa" w:w="120"/>
              <w:bottom w:type="dxa" w:w="80"/>
              <w:right w:type="dxa" w:w="120"/>
            </w:tcMar>
          </w:tcPr>
          <w:p>
            <w:pPr>
              <w:spacing w:after="0" w:line="240"/>
            </w:pPr>
            <w:r>
              <w:rPr>
                <w:sz w:val="19"/>
                <w:szCs w:val="19"/>
              </w:rPr>
              <w:t xml:space="preserve">The reported asterisks are consistent with either.</w:t>
            </w:r>
          </w:p>
        </w:tc>
      </w:tr>
      <w:tr>
        <w:tc>
          <w:tcPr>
            <w:tcW w:type="dxa" w:w="600"/>
            <w:tcMar>
              <w:top w:type="dxa" w:w="80"/>
              <w:left w:type="dxa" w:w="120"/>
              <w:bottom w:type="dxa" w:w="80"/>
              <w:right w:type="dxa" w:w="120"/>
            </w:tcMar>
          </w:tcPr>
          <w:p>
            <w:pPr>
              <w:spacing w:after="0" w:line="240"/>
            </w:pPr>
            <w:r>
              <w:rPr>
                <w:sz w:val="19"/>
                <w:szCs w:val="19"/>
              </w:rPr>
              <w:t xml:space="preserve">3</w:t>
            </w:r>
          </w:p>
        </w:tc>
        <w:tc>
          <w:tcPr>
            <w:tcW w:type="dxa" w:w="3560"/>
            <w:tcMar>
              <w:top w:type="dxa" w:w="80"/>
              <w:left w:type="dxa" w:w="120"/>
              <w:bottom w:type="dxa" w:w="80"/>
              <w:right w:type="dxa" w:w="120"/>
            </w:tcMar>
          </w:tcPr>
          <w:p>
            <w:pPr>
              <w:spacing w:after="0" w:line="240"/>
            </w:pPr>
            <w:r>
              <w:rPr>
                <w:sz w:val="19"/>
                <w:szCs w:val="19"/>
              </w:rPr>
              <w:t xml:space="preserve">Whether the placebo shock carries the 0.5 probability factor</w:t>
            </w:r>
          </w:p>
        </w:tc>
        <w:tc>
          <w:tcPr>
            <w:tcW w:type="dxa" w:w="5200"/>
            <w:tcMar>
              <w:top w:type="dxa" w:w="80"/>
              <w:left w:type="dxa" w:w="120"/>
              <w:bottom w:type="dxa" w:w="80"/>
              <w:right w:type="dxa" w:w="120"/>
            </w:tcMar>
          </w:tcPr>
          <w:p>
            <w:pPr>
              <w:spacing w:after="0" w:line="240"/>
            </w:pPr>
            <w:r>
              <w:rPr>
                <w:sz w:val="19"/>
                <w:szCs w:val="19"/>
              </w:rPr>
              <w:t xml:space="preserve">Rescales the null distribution, which moves p-values.</w:t>
            </w:r>
          </w:p>
        </w:tc>
      </w:tr>
      <w:tr>
        <w:tc>
          <w:tcPr>
            <w:tcW w:type="dxa" w:w="600"/>
            <w:tcMar>
              <w:top w:type="dxa" w:w="80"/>
              <w:left w:type="dxa" w:w="120"/>
              <w:bottom w:type="dxa" w:w="80"/>
              <w:right w:type="dxa" w:w="120"/>
            </w:tcMar>
          </w:tcPr>
          <w:p>
            <w:pPr>
              <w:spacing w:after="0" w:line="240"/>
            </w:pPr>
            <w:r>
              <w:rPr>
                <w:sz w:val="19"/>
                <w:szCs w:val="19"/>
              </w:rPr>
              <w:t xml:space="preserve">4</w:t>
            </w:r>
          </w:p>
        </w:tc>
        <w:tc>
          <w:tcPr>
            <w:tcW w:type="dxa" w:w="3560"/>
            <w:tcMar>
              <w:top w:type="dxa" w:w="80"/>
              <w:left w:type="dxa" w:w="120"/>
              <w:bottom w:type="dxa" w:w="80"/>
              <w:right w:type="dxa" w:w="120"/>
            </w:tcMar>
          </w:tcPr>
          <w:p>
            <w:pPr>
              <w:spacing w:after="0" w:line="240"/>
            </w:pPr>
            <w:r>
              <w:rPr>
                <w:sz w:val="19"/>
                <w:szCs w:val="19"/>
              </w:rPr>
              <w:t xml:space="preserve">Newey–West lag in Table 2; levels vs first differences in eq. (1)</w:t>
            </w:r>
          </w:p>
        </w:tc>
        <w:tc>
          <w:tcPr>
            <w:tcW w:type="dxa" w:w="5200"/>
            <w:tcMar>
              <w:top w:type="dxa" w:w="80"/>
              <w:left w:type="dxa" w:w="120"/>
              <w:bottom w:type="dxa" w:w="80"/>
              <w:right w:type="dxa" w:w="120"/>
            </w:tcMar>
          </w:tcPr>
          <w:p>
            <w:pPr>
              <w:spacing w:after="0" w:line="240"/>
            </w:pPr>
            <w:r>
              <w:rPr>
                <w:sz w:val="19"/>
                <w:szCs w:val="19"/>
              </w:rPr>
              <w:t xml:space="preserve">At N = 18 both choices are material. N = 18 itself is evidence for levels.</w:t>
            </w:r>
          </w:p>
        </w:tc>
      </w:tr>
      <w:tr>
        <w:tc>
          <w:tcPr>
            <w:tcW w:type="dxa" w:w="600"/>
            <w:tcMar>
              <w:top w:type="dxa" w:w="80"/>
              <w:left w:type="dxa" w:w="120"/>
              <w:bottom w:type="dxa" w:w="80"/>
              <w:right w:type="dxa" w:w="120"/>
            </w:tcMar>
          </w:tcPr>
          <w:p>
            <w:pPr>
              <w:spacing w:after="0" w:line="240"/>
            </w:pPr>
            <w:r>
              <w:rPr>
                <w:sz w:val="19"/>
                <w:szCs w:val="19"/>
              </w:rPr>
              <w:t xml:space="preserve">5</w:t>
            </w:r>
          </w:p>
        </w:tc>
        <w:tc>
          <w:tcPr>
            <w:tcW w:type="dxa" w:w="3560"/>
            <w:tcMar>
              <w:top w:type="dxa" w:w="80"/>
              <w:left w:type="dxa" w:w="120"/>
              <w:bottom w:type="dxa" w:w="80"/>
              <w:right w:type="dxa" w:w="120"/>
            </w:tcMar>
          </w:tcPr>
          <w:p>
            <w:pPr>
              <w:spacing w:after="0" w:line="240"/>
            </w:pPr>
            <w:r>
              <w:rPr>
                <w:sz w:val="19"/>
                <w:szCs w:val="19"/>
              </w:rPr>
              <w:t xml:space="preserve">vcovHC type in Table 3</w:t>
            </w:r>
          </w:p>
        </w:tc>
        <w:tc>
          <w:tcPr>
            <w:tcW w:type="dxa" w:w="5200"/>
            <w:tcMar>
              <w:top w:type="dxa" w:w="80"/>
              <w:left w:type="dxa" w:w="120"/>
              <w:bottom w:type="dxa" w:w="80"/>
              <w:right w:type="dxa" w:w="120"/>
            </w:tcMar>
          </w:tcPr>
          <w:p>
            <w:pPr>
              <w:spacing w:after="0" w:line="240"/>
            </w:pPr>
            <w:r>
              <w:rPr>
                <w:sz w:val="19"/>
                <w:szCs w:val="19"/>
              </w:rPr>
              <w:t xml:space="preserve">HC0–HC3 differ meaningfully at N = 84.</w:t>
            </w:r>
          </w:p>
        </w:tc>
      </w:tr>
      <w:tr>
        <w:tc>
          <w:tcPr>
            <w:tcW w:type="dxa" w:w="600"/>
            <w:tcMar>
              <w:top w:type="dxa" w:w="80"/>
              <w:left w:type="dxa" w:w="120"/>
              <w:bottom w:type="dxa" w:w="80"/>
              <w:right w:type="dxa" w:w="120"/>
            </w:tcMar>
          </w:tcPr>
          <w:p>
            <w:pPr>
              <w:spacing w:after="0" w:line="240"/>
            </w:pPr>
            <w:r>
              <w:rPr>
                <w:sz w:val="19"/>
                <w:szCs w:val="19"/>
              </w:rPr>
              <w:t xml:space="preserve">6</w:t>
            </w:r>
          </w:p>
        </w:tc>
        <w:tc>
          <w:tcPr>
            <w:tcW w:type="dxa" w:w="3560"/>
            <w:tcMar>
              <w:top w:type="dxa" w:w="80"/>
              <w:left w:type="dxa" w:w="120"/>
              <w:bottom w:type="dxa" w:w="80"/>
              <w:right w:type="dxa" w:w="120"/>
            </w:tcMar>
          </w:tcPr>
          <w:p>
            <w:pPr>
              <w:spacing w:after="0" w:line="240"/>
            </w:pPr>
            <w:r>
              <w:rPr>
                <w:sz w:val="19"/>
                <w:szCs w:val="19"/>
              </w:rPr>
              <w:t xml:space="preserve">Which CBO vintages constitute the 84 observations</w:t>
            </w:r>
          </w:p>
        </w:tc>
        <w:tc>
          <w:tcPr>
            <w:tcW w:type="dxa" w:w="5200"/>
            <w:tcMar>
              <w:top w:type="dxa" w:w="80"/>
              <w:left w:type="dxa" w:w="120"/>
              <w:bottom w:type="dxa" w:w="80"/>
              <w:right w:type="dxa" w:w="120"/>
            </w:tcMar>
          </w:tcPr>
          <w:p>
            <w:pPr>
              <w:spacing w:after="0" w:line="240"/>
            </w:pPr>
            <w:r>
              <w:rPr>
                <w:sz w:val="19"/>
                <w:szCs w:val="19"/>
              </w:rPr>
              <w:t xml:space="preserve">Determines whether you can hit the reported coefficients at all.</w:t>
            </w:r>
          </w:p>
        </w:tc>
      </w:tr>
      <w:tr>
        <w:tc>
          <w:tcPr>
            <w:tcW w:type="dxa" w:w="600"/>
            <w:tcMar>
              <w:top w:type="dxa" w:w="80"/>
              <w:left w:type="dxa" w:w="120"/>
              <w:bottom w:type="dxa" w:w="80"/>
              <w:right w:type="dxa" w:w="120"/>
            </w:tcMar>
          </w:tcPr>
          <w:p>
            <w:pPr>
              <w:spacing w:after="0" w:line="240"/>
            </w:pPr>
            <w:r>
              <w:rPr>
                <w:sz w:val="19"/>
                <w:szCs w:val="19"/>
              </w:rPr>
              <w:t xml:space="preserve">7</w:t>
            </w:r>
          </w:p>
        </w:tc>
        <w:tc>
          <w:tcPr>
            <w:tcW w:type="dxa" w:w="3560"/>
            <w:tcMar>
              <w:top w:type="dxa" w:w="80"/>
              <w:left w:type="dxa" w:w="120"/>
              <w:bottom w:type="dxa" w:w="80"/>
              <w:right w:type="dxa" w:w="120"/>
            </w:tcMar>
          </w:tcPr>
          <w:p>
            <w:pPr>
              <w:spacing w:after="0" w:line="240"/>
            </w:pPr>
            <w:r>
              <w:rPr>
                <w:sz w:val="19"/>
                <w:szCs w:val="19"/>
              </w:rPr>
              <w:t xml:space="preserve">Whether "Exp. r*" is the average expected real short rate over the 5–15y window or the model's asymptotic r*</w:t>
            </w:r>
          </w:p>
        </w:tc>
        <w:tc>
          <w:tcPr>
            <w:tcW w:type="dxa" w:w="5200"/>
            <w:tcMar>
              <w:top w:type="dxa" w:w="80"/>
              <w:left w:type="dxa" w:w="120"/>
              <w:bottom w:type="dxa" w:w="80"/>
              <w:right w:type="dxa" w:w="120"/>
            </w:tcMar>
          </w:tcPr>
          <w:p>
            <w:pPr>
              <w:spacing w:after="0" w:line="240"/>
            </w:pPr>
            <w:r>
              <w:rPr>
                <w:sz w:val="19"/>
                <w:szCs w:val="19"/>
              </w:rPr>
              <w:t xml:space="preserve">DKW output contains both. Get this wrong and column 2 is wrong everywhere, in every table.</w:t>
            </w:r>
          </w:p>
        </w:tc>
      </w:tr>
    </w:tbl>
    <w:p>
      <w:pPr>
        <w:spacing w:after="140"/>
      </w:pPr>
    </w:p>
    <w:p>
      <w:pPr>
        <w:spacing w:after="120" w:line="276"/>
      </w:pPr>
      <w:r>
        <w:rPr>
          <w:b/>
          <w:bCs/>
          <w:i w:val="false"/>
          <w:iCs w:val="false"/>
        </w:rPr>
        <w:t xml:space="preserve">Item 7 is the one that will silently ruin the project if you get it wrong. </w:t>
      </w:r>
      <w:r>
        <w:rPr>
          <w:b w:val="false"/>
          <w:bCs w:val="false"/>
          <w:i w:val="false"/>
          <w:iCs w:val="false"/>
        </w:rPr>
        <w:t xml:space="preserve">Resolve it before building anything on top of the DKW series — the paper's own footnote 1 defines r* as the real short rate expected to prevail in the longer run with stable inflation and a zero output gap, which points to the asymptotic object, but the table header reads "Exp. r*", which points to the horizon average. Ask the authors.</w:t>
      </w:r>
    </w:p>
    <w:p>
      <w:pPr>
        <w:pStyle w:val="Heading1"/>
        <w:spacing w:after="160" w:before="360"/>
      </w:pPr>
      <w:r>
        <w:t xml:space="preserve">11. Consolidated novelty portfolio</w:t>
      </w:r>
    </w:p>
    <w:p>
      <w:pPr>
        <w:spacing w:after="120" w:line="276"/>
      </w:pPr>
      <w:r>
        <w:rPr>
          <w:b w:val="false"/>
          <w:bCs w:val="false"/>
          <w:i w:val="false"/>
          <w:iCs w:val="false"/>
        </w:rPr>
        <w:t xml:space="preserve">Six candidate contributions are flagged above; two more are listed here that do not attach to a specific replication task. You do not need all of them. For a course project, Novelties 1 and 5 together would constitute a substantial and coherent paper: does the debt–rate relationship look different in the current fiscal regime, and does the term-premium finding survive a change of term structure model?</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600"/>
        <w:gridCol w:w="3660"/>
        <w:gridCol w:w="1900"/>
        <w:gridCol w:w="3200"/>
      </w:tblGrid>
      <w:tr>
        <w:trPr>
          <w:tblHeader/>
        </w:trPr>
        <w:tc>
          <w:tcPr>
            <w:tcW w:type="dxa" w:w="600"/>
            <w:shd w:fill="E4E4E4" w:val="clear"/>
            <w:tcMar>
              <w:top w:type="dxa" w:w="80"/>
              <w:left w:type="dxa" w:w="120"/>
              <w:bottom w:type="dxa" w:w="80"/>
              <w:right w:type="dxa" w:w="120"/>
            </w:tcMar>
          </w:tcPr>
          <w:p>
            <w:pPr>
              <w:spacing w:after="0"/>
            </w:pPr>
            <w:r>
              <w:rPr>
                <w:b/>
                <w:bCs/>
                <w:sz w:val="19"/>
                <w:szCs w:val="19"/>
              </w:rPr>
              <w:t xml:space="preserve">#</w:t>
            </w:r>
          </w:p>
        </w:tc>
        <w:tc>
          <w:tcPr>
            <w:tcW w:type="dxa" w:w="3660"/>
            <w:shd w:fill="E4E4E4" w:val="clear"/>
            <w:tcMar>
              <w:top w:type="dxa" w:w="80"/>
              <w:left w:type="dxa" w:w="120"/>
              <w:bottom w:type="dxa" w:w="80"/>
              <w:right w:type="dxa" w:w="120"/>
            </w:tcMar>
          </w:tcPr>
          <w:p>
            <w:pPr>
              <w:spacing w:after="0"/>
            </w:pPr>
            <w:r>
              <w:rPr>
                <w:b/>
                <w:bCs/>
                <w:sz w:val="19"/>
                <w:szCs w:val="19"/>
              </w:rPr>
              <w:t xml:space="preserve">Extension</w:t>
            </w:r>
          </w:p>
        </w:tc>
        <w:tc>
          <w:tcPr>
            <w:tcW w:type="dxa" w:w="1900"/>
            <w:shd w:fill="E4E4E4" w:val="clear"/>
            <w:tcMar>
              <w:top w:type="dxa" w:w="80"/>
              <w:left w:type="dxa" w:w="120"/>
              <w:bottom w:type="dxa" w:w="80"/>
              <w:right w:type="dxa" w:w="120"/>
            </w:tcMar>
          </w:tcPr>
          <w:p>
            <w:pPr>
              <w:spacing w:after="0"/>
            </w:pPr>
            <w:r>
              <w:rPr>
                <w:b/>
                <w:bCs/>
                <w:sz w:val="19"/>
                <w:szCs w:val="19"/>
              </w:rPr>
              <w:t xml:space="preserve">Cost</w:t>
            </w:r>
          </w:p>
        </w:tc>
        <w:tc>
          <w:tcPr>
            <w:tcW w:type="dxa" w:w="3200"/>
            <w:shd w:fill="E4E4E4" w:val="clear"/>
            <w:tcMar>
              <w:top w:type="dxa" w:w="80"/>
              <w:left w:type="dxa" w:w="120"/>
              <w:bottom w:type="dxa" w:w="80"/>
              <w:right w:type="dxa" w:w="120"/>
            </w:tcMar>
          </w:tcPr>
          <w:p>
            <w:pPr>
              <w:spacing w:after="0"/>
            </w:pPr>
            <w:r>
              <w:rPr>
                <w:b/>
                <w:bCs/>
                <w:sz w:val="19"/>
                <w:szCs w:val="19"/>
              </w:rPr>
              <w:t xml:space="preserve">Payoff</w:t>
            </w:r>
          </w:p>
        </w:tc>
      </w:tr>
      <w:tr>
        <w:tc>
          <w:tcPr>
            <w:tcW w:type="dxa" w:w="600"/>
            <w:tcMar>
              <w:top w:type="dxa" w:w="80"/>
              <w:left w:type="dxa" w:w="120"/>
              <w:bottom w:type="dxa" w:w="80"/>
              <w:right w:type="dxa" w:w="120"/>
            </w:tcMar>
          </w:tcPr>
          <w:p>
            <w:pPr>
              <w:spacing w:after="0" w:line="240"/>
            </w:pPr>
            <w:r>
              <w:rPr>
                <w:sz w:val="19"/>
                <w:szCs w:val="19"/>
              </w:rPr>
              <w:t xml:space="preserve">1</w:t>
            </w:r>
          </w:p>
        </w:tc>
        <w:tc>
          <w:tcPr>
            <w:tcW w:type="dxa" w:w="3660"/>
            <w:tcMar>
              <w:top w:type="dxa" w:w="80"/>
              <w:left w:type="dxa" w:w="120"/>
              <w:bottom w:type="dxa" w:w="80"/>
              <w:right w:type="dxa" w:w="120"/>
            </w:tcMar>
          </w:tcPr>
          <w:p>
            <w:pPr>
              <w:spacing w:after="0" w:line="240"/>
            </w:pPr>
            <w:r>
              <w:rPr>
                <w:sz w:val="19"/>
                <w:szCs w:val="19"/>
              </w:rPr>
              <w:t xml:space="preserve">Extend Table 3 through 2026; Chow and rolling-window break tests</w:t>
            </w:r>
          </w:p>
        </w:tc>
        <w:tc>
          <w:tcPr>
            <w:tcW w:type="dxa" w:w="1900"/>
            <w:tcMar>
              <w:top w:type="dxa" w:w="80"/>
              <w:left w:type="dxa" w:w="120"/>
              <w:bottom w:type="dxa" w:w="80"/>
              <w:right w:type="dxa" w:w="120"/>
            </w:tcMar>
          </w:tcPr>
          <w:p>
            <w:pPr>
              <w:spacing w:after="0" w:line="240"/>
            </w:pPr>
            <w:r>
              <w:rPr>
                <w:sz w:val="19"/>
                <w:szCs w:val="19"/>
              </w:rPr>
              <w:t xml:space="preserve">Low — public data only</w:t>
            </w:r>
          </w:p>
        </w:tc>
        <w:tc>
          <w:tcPr>
            <w:tcW w:type="dxa" w:w="3200"/>
            <w:tcMar>
              <w:top w:type="dxa" w:w="80"/>
              <w:left w:type="dxa" w:w="120"/>
              <w:bottom w:type="dxa" w:w="80"/>
              <w:right w:type="dxa" w:w="120"/>
            </w:tcMar>
          </w:tcPr>
          <w:p>
            <w:pPr>
              <w:spacing w:after="0" w:line="240"/>
            </w:pPr>
            <w:r>
              <w:rPr>
                <w:sz w:val="19"/>
                <w:szCs w:val="19"/>
              </w:rPr>
              <w:t xml:space="preserve">High — answers a limitation the authors state themselves</w:t>
            </w:r>
          </w:p>
        </w:tc>
      </w:tr>
      <w:tr>
        <w:tc>
          <w:tcPr>
            <w:tcW w:type="dxa" w:w="600"/>
            <w:tcMar>
              <w:top w:type="dxa" w:w="80"/>
              <w:left w:type="dxa" w:w="120"/>
              <w:bottom w:type="dxa" w:w="80"/>
              <w:right w:type="dxa" w:w="120"/>
            </w:tcMar>
          </w:tcPr>
          <w:p>
            <w:pPr>
              <w:spacing w:after="0" w:line="240"/>
            </w:pPr>
            <w:r>
              <w:rPr>
                <w:sz w:val="19"/>
                <w:szCs w:val="19"/>
              </w:rPr>
              <w:t xml:space="preserve">2</w:t>
            </w:r>
          </w:p>
        </w:tc>
        <w:tc>
          <w:tcPr>
            <w:tcW w:type="dxa" w:w="3660"/>
            <w:tcMar>
              <w:top w:type="dxa" w:w="80"/>
              <w:left w:type="dxa" w:w="120"/>
              <w:bottom w:type="dxa" w:w="80"/>
              <w:right w:type="dxa" w:w="120"/>
            </w:tcMar>
          </w:tcPr>
          <w:p>
            <w:pPr>
              <w:spacing w:after="0" w:line="240"/>
            </w:pPr>
            <w:r>
              <w:rPr>
                <w:sz w:val="19"/>
                <w:szCs w:val="19"/>
              </w:rPr>
              <w:t xml:space="preserve">Recover the suppressed inflation-expectation and inflation-risk-premium columns</w:t>
            </w:r>
          </w:p>
        </w:tc>
        <w:tc>
          <w:tcPr>
            <w:tcW w:type="dxa" w:w="1900"/>
            <w:tcMar>
              <w:top w:type="dxa" w:w="80"/>
              <w:left w:type="dxa" w:w="120"/>
              <w:bottom w:type="dxa" w:w="80"/>
              <w:right w:type="dxa" w:w="120"/>
            </w:tcMar>
          </w:tcPr>
          <w:p>
            <w:pPr>
              <w:spacing w:after="0" w:line="240"/>
            </w:pPr>
            <w:r>
              <w:rPr>
                <w:sz w:val="19"/>
                <w:szCs w:val="19"/>
              </w:rPr>
              <w:t xml:space="preserve">Very low</w:t>
            </w:r>
          </w:p>
        </w:tc>
        <w:tc>
          <w:tcPr>
            <w:tcW w:type="dxa" w:w="3200"/>
            <w:tcMar>
              <w:top w:type="dxa" w:w="80"/>
              <w:left w:type="dxa" w:w="120"/>
              <w:bottom w:type="dxa" w:w="80"/>
              <w:right w:type="dxa" w:w="120"/>
            </w:tcMar>
          </w:tcPr>
          <w:p>
            <w:pPr>
              <w:spacing w:after="0" w:line="240"/>
            </w:pPr>
            <w:r>
              <w:rPr>
                <w:sz w:val="19"/>
                <w:szCs w:val="19"/>
              </w:rPr>
              <w:t xml:space="preserve">Moderate — closes the decomposition, doubles as a data diagnostic</w:t>
            </w:r>
          </w:p>
        </w:tc>
      </w:tr>
      <w:tr>
        <w:tc>
          <w:tcPr>
            <w:tcW w:type="dxa" w:w="600"/>
            <w:tcMar>
              <w:top w:type="dxa" w:w="80"/>
              <w:left w:type="dxa" w:w="120"/>
              <w:bottom w:type="dxa" w:w="80"/>
              <w:right w:type="dxa" w:w="120"/>
            </w:tcMar>
          </w:tcPr>
          <w:p>
            <w:pPr>
              <w:spacing w:after="0" w:line="240"/>
            </w:pPr>
            <w:r>
              <w:rPr>
                <w:sz w:val="19"/>
                <w:szCs w:val="19"/>
              </w:rPr>
              <w:t xml:space="preserve">3</w:t>
            </w:r>
          </w:p>
        </w:tc>
        <w:tc>
          <w:tcPr>
            <w:tcW w:type="dxa" w:w="3660"/>
            <w:tcMar>
              <w:top w:type="dxa" w:w="80"/>
              <w:left w:type="dxa" w:w="120"/>
              <w:bottom w:type="dxa" w:w="80"/>
              <w:right w:type="dxa" w:w="120"/>
            </w:tcMar>
          </w:tcPr>
          <w:p>
            <w:pPr>
              <w:spacing w:after="0" w:line="240"/>
            </w:pPr>
            <w:r>
              <w:rPr>
                <w:sz w:val="19"/>
                <w:szCs w:val="19"/>
              </w:rPr>
              <w:t xml:space="preserve">Report elasticities across a band of independently constructed shock sizes</w:t>
            </w:r>
          </w:p>
        </w:tc>
        <w:tc>
          <w:tcPr>
            <w:tcW w:type="dxa" w:w="1900"/>
            <w:tcMar>
              <w:top w:type="dxa" w:w="80"/>
              <w:left w:type="dxa" w:w="120"/>
              <w:bottom w:type="dxa" w:w="80"/>
              <w:right w:type="dxa" w:w="120"/>
            </w:tcMar>
          </w:tcPr>
          <w:p>
            <w:pPr>
              <w:spacing w:after="0" w:line="240"/>
            </w:pPr>
            <w:r>
              <w:rPr>
                <w:sz w:val="19"/>
                <w:szCs w:val="19"/>
              </w:rPr>
              <w:t xml:space="preserve">Low</w:t>
            </w:r>
          </w:p>
        </w:tc>
        <w:tc>
          <w:tcPr>
            <w:tcW w:type="dxa" w:w="3200"/>
            <w:tcMar>
              <w:top w:type="dxa" w:w="80"/>
              <w:left w:type="dxa" w:w="120"/>
              <w:bottom w:type="dxa" w:w="80"/>
              <w:right w:type="dxa" w:w="120"/>
            </w:tcMar>
          </w:tcPr>
          <w:p>
            <w:pPr>
              <w:spacing w:after="0" w:line="240"/>
            </w:pPr>
            <w:r>
              <w:rPr>
                <w:sz w:val="19"/>
                <w:szCs w:val="19"/>
              </w:rPr>
              <w:t xml:space="preserve">High — targets the paper's single greatest fragility</w:t>
            </w:r>
          </w:p>
        </w:tc>
      </w:tr>
      <w:tr>
        <w:tc>
          <w:tcPr>
            <w:tcW w:type="dxa" w:w="600"/>
            <w:tcMar>
              <w:top w:type="dxa" w:w="80"/>
              <w:left w:type="dxa" w:w="120"/>
              <w:bottom w:type="dxa" w:w="80"/>
              <w:right w:type="dxa" w:w="120"/>
            </w:tcMar>
          </w:tcPr>
          <w:p>
            <w:pPr>
              <w:spacing w:after="0" w:line="240"/>
            </w:pPr>
            <w:r>
              <w:rPr>
                <w:sz w:val="19"/>
                <w:szCs w:val="19"/>
              </w:rPr>
              <w:t xml:space="preserve">4</w:t>
            </w:r>
          </w:p>
        </w:tc>
        <w:tc>
          <w:tcPr>
            <w:tcW w:type="dxa" w:w="3660"/>
            <w:tcMar>
              <w:top w:type="dxa" w:w="80"/>
              <w:left w:type="dxa" w:w="120"/>
              <w:bottom w:type="dxa" w:w="80"/>
              <w:right w:type="dxa" w:w="120"/>
            </w:tcMar>
          </w:tcPr>
          <w:p>
            <w:pPr>
              <w:spacing w:after="0" w:line="240"/>
            </w:pPr>
            <w:r>
              <w:rPr>
                <w:sz w:val="19"/>
                <w:szCs w:val="19"/>
              </w:rPr>
              <w:t xml:space="preserve">Block bootstrap and COVID-excluded null for the placebo test</w:t>
            </w:r>
          </w:p>
        </w:tc>
        <w:tc>
          <w:tcPr>
            <w:tcW w:type="dxa" w:w="1900"/>
            <w:tcMar>
              <w:top w:type="dxa" w:w="80"/>
              <w:left w:type="dxa" w:w="120"/>
              <w:bottom w:type="dxa" w:w="80"/>
              <w:right w:type="dxa" w:w="120"/>
            </w:tcMar>
          </w:tcPr>
          <w:p>
            <w:pPr>
              <w:spacing w:after="0" w:line="240"/>
            </w:pPr>
            <w:r>
              <w:rPr>
                <w:sz w:val="19"/>
                <w:szCs w:val="19"/>
              </w:rPr>
              <w:t xml:space="preserve">Low</w:t>
            </w:r>
          </w:p>
        </w:tc>
        <w:tc>
          <w:tcPr>
            <w:tcW w:type="dxa" w:w="3200"/>
            <w:tcMar>
              <w:top w:type="dxa" w:w="80"/>
              <w:left w:type="dxa" w:w="120"/>
              <w:bottom w:type="dxa" w:w="80"/>
              <w:right w:type="dxa" w:w="120"/>
            </w:tcMar>
          </w:tcPr>
          <w:p>
            <w:pPr>
              <w:spacing w:after="0" w:line="240"/>
            </w:pPr>
            <w:r>
              <w:rPr>
                <w:sz w:val="19"/>
                <w:szCs w:val="19"/>
              </w:rPr>
              <w:t xml:space="preserve">Moderate — the iid date draw is not innocuous</w:t>
            </w:r>
          </w:p>
        </w:tc>
      </w:tr>
      <w:tr>
        <w:tc>
          <w:tcPr>
            <w:tcW w:type="dxa" w:w="600"/>
            <w:tcMar>
              <w:top w:type="dxa" w:w="80"/>
              <w:left w:type="dxa" w:w="120"/>
              <w:bottom w:type="dxa" w:w="80"/>
              <w:right w:type="dxa" w:w="120"/>
            </w:tcMar>
          </w:tcPr>
          <w:p>
            <w:pPr>
              <w:spacing w:after="0" w:line="240"/>
            </w:pPr>
            <w:r>
              <w:rPr>
                <w:sz w:val="19"/>
                <w:szCs w:val="19"/>
              </w:rPr>
              <w:t xml:space="preserve">5</w:t>
            </w:r>
          </w:p>
        </w:tc>
        <w:tc>
          <w:tcPr>
            <w:tcW w:type="dxa" w:w="3660"/>
            <w:tcMar>
              <w:top w:type="dxa" w:w="80"/>
              <w:left w:type="dxa" w:w="120"/>
              <w:bottom w:type="dxa" w:w="80"/>
              <w:right w:type="dxa" w:w="120"/>
            </w:tcMar>
          </w:tcPr>
          <w:p>
            <w:pPr>
              <w:spacing w:after="0" w:line="240"/>
            </w:pPr>
            <w:r>
              <w:rPr>
                <w:sz w:val="19"/>
                <w:szCs w:val="19"/>
              </w:rPr>
              <w:t xml:space="preserve">Re-decompose under ACM / Kim–Wright and test model-dependence</w:t>
            </w:r>
          </w:p>
        </w:tc>
        <w:tc>
          <w:tcPr>
            <w:tcW w:type="dxa" w:w="1900"/>
            <w:tcMar>
              <w:top w:type="dxa" w:w="80"/>
              <w:left w:type="dxa" w:w="120"/>
              <w:bottom w:type="dxa" w:w="80"/>
              <w:right w:type="dxa" w:w="120"/>
            </w:tcMar>
          </w:tcPr>
          <w:p>
            <w:pPr>
              <w:spacing w:after="0" w:line="240"/>
            </w:pPr>
            <w:r>
              <w:rPr>
                <w:sz w:val="19"/>
                <w:szCs w:val="19"/>
              </w:rPr>
              <w:t xml:space="preserve">Medium</w:t>
            </w:r>
          </w:p>
        </w:tc>
        <w:tc>
          <w:tcPr>
            <w:tcW w:type="dxa" w:w="3200"/>
            <w:tcMar>
              <w:top w:type="dxa" w:w="80"/>
              <w:left w:type="dxa" w:w="120"/>
              <w:bottom w:type="dxa" w:w="80"/>
              <w:right w:type="dxa" w:w="120"/>
            </w:tcMar>
          </w:tcPr>
          <w:p>
            <w:pPr>
              <w:spacing w:after="0" w:line="240"/>
            </w:pPr>
            <w:r>
              <w:rPr>
                <w:sz w:val="19"/>
                <w:szCs w:val="19"/>
              </w:rPr>
              <w:t xml:space="preserve">Highest — the headline claim is a decomposition claim</w:t>
            </w:r>
          </w:p>
        </w:tc>
      </w:tr>
      <w:tr>
        <w:tc>
          <w:tcPr>
            <w:tcW w:type="dxa" w:w="600"/>
            <w:tcMar>
              <w:top w:type="dxa" w:w="80"/>
              <w:left w:type="dxa" w:w="120"/>
              <w:bottom w:type="dxa" w:w="80"/>
              <w:right w:type="dxa" w:w="120"/>
            </w:tcMar>
          </w:tcPr>
          <w:p>
            <w:pPr>
              <w:spacing w:after="0" w:line="240"/>
            </w:pPr>
            <w:r>
              <w:rPr>
                <w:sz w:val="19"/>
                <w:szCs w:val="19"/>
              </w:rPr>
              <w:t xml:space="preserve">6</w:t>
            </w:r>
          </w:p>
        </w:tc>
        <w:tc>
          <w:tcPr>
            <w:tcW w:type="dxa" w:w="3660"/>
            <w:tcMar>
              <w:top w:type="dxa" w:w="80"/>
              <w:left w:type="dxa" w:w="120"/>
              <w:bottom w:type="dxa" w:w="80"/>
              <w:right w:type="dxa" w:w="120"/>
            </w:tcMar>
          </w:tcPr>
          <w:p>
            <w:pPr>
              <w:spacing w:after="0" w:line="240"/>
            </w:pPr>
            <w:r>
              <w:rPr>
                <w:sz w:val="19"/>
                <w:szCs w:val="19"/>
              </w:rPr>
              <w:t xml:space="preserve">Treasury futures rather than cash yields for the intraday window</w:t>
            </w:r>
          </w:p>
        </w:tc>
        <w:tc>
          <w:tcPr>
            <w:tcW w:type="dxa" w:w="1900"/>
            <w:tcMar>
              <w:top w:type="dxa" w:w="80"/>
              <w:left w:type="dxa" w:w="120"/>
              <w:bottom w:type="dxa" w:w="80"/>
              <w:right w:type="dxa" w:w="120"/>
            </w:tcMar>
          </w:tcPr>
          <w:p>
            <w:pPr>
              <w:spacing w:after="0" w:line="240"/>
            </w:pPr>
            <w:r>
              <w:rPr>
                <w:sz w:val="19"/>
                <w:szCs w:val="19"/>
              </w:rPr>
              <w:t xml:space="preserve">Medium — data access dependent</w:t>
            </w:r>
          </w:p>
        </w:tc>
        <w:tc>
          <w:tcPr>
            <w:tcW w:type="dxa" w:w="3200"/>
            <w:tcMar>
              <w:top w:type="dxa" w:w="80"/>
              <w:left w:type="dxa" w:w="120"/>
              <w:bottom w:type="dxa" w:w="80"/>
              <w:right w:type="dxa" w:w="120"/>
            </w:tcMar>
          </w:tcPr>
          <w:p>
            <w:pPr>
              <w:spacing w:after="0" w:line="240"/>
            </w:pPr>
            <w:r>
              <w:rPr>
                <w:sz w:val="19"/>
                <w:szCs w:val="19"/>
              </w:rPr>
              <w:t xml:space="preserve">Moderate — also enables a cash-vs-futures comparison</w:t>
            </w:r>
          </w:p>
        </w:tc>
      </w:tr>
      <w:tr>
        <w:tc>
          <w:tcPr>
            <w:tcW w:type="dxa" w:w="600"/>
            <w:tcMar>
              <w:top w:type="dxa" w:w="80"/>
              <w:left w:type="dxa" w:w="120"/>
              <w:bottom w:type="dxa" w:w="80"/>
              <w:right w:type="dxa" w:w="120"/>
            </w:tcMar>
          </w:tcPr>
          <w:p>
            <w:pPr>
              <w:spacing w:after="0" w:line="240"/>
            </w:pPr>
            <w:r>
              <w:rPr>
                <w:sz w:val="19"/>
                <w:szCs w:val="19"/>
              </w:rPr>
              <w:t xml:space="preserve">7</w:t>
            </w:r>
          </w:p>
        </w:tc>
        <w:tc>
          <w:tcPr>
            <w:tcW w:type="dxa" w:w="3660"/>
            <w:tcMar>
              <w:top w:type="dxa" w:w="80"/>
              <w:left w:type="dxa" w:w="120"/>
              <w:bottom w:type="dxa" w:w="80"/>
              <w:right w:type="dxa" w:w="120"/>
            </w:tcMar>
          </w:tcPr>
          <w:p>
            <w:pPr>
              <w:spacing w:after="0" w:line="240"/>
            </w:pPr>
            <w:r>
              <w:rPr>
                <w:sz w:val="19"/>
                <w:szCs w:val="19"/>
              </w:rPr>
              <w:t xml:space="preserve">Second event: Treasury Quarterly Refunding Announcements</w:t>
            </w:r>
          </w:p>
        </w:tc>
        <w:tc>
          <w:tcPr>
            <w:tcW w:type="dxa" w:w="1900"/>
            <w:tcMar>
              <w:top w:type="dxa" w:w="80"/>
              <w:left w:type="dxa" w:w="120"/>
              <w:bottom w:type="dxa" w:w="80"/>
              <w:right w:type="dxa" w:w="120"/>
            </w:tcMar>
          </w:tcPr>
          <w:p>
            <w:pPr>
              <w:spacing w:after="0" w:line="240"/>
            </w:pPr>
            <w:r>
              <w:rPr>
                <w:sz w:val="19"/>
                <w:szCs w:val="19"/>
              </w:rPr>
              <w:t xml:space="preserve">Medium</w:t>
            </w:r>
          </w:p>
        </w:tc>
        <w:tc>
          <w:tcPr>
            <w:tcW w:type="dxa" w:w="3200"/>
            <w:tcMar>
              <w:top w:type="dxa" w:w="80"/>
              <w:left w:type="dxa" w:w="120"/>
              <w:bottom w:type="dxa" w:w="80"/>
              <w:right w:type="dxa" w:w="120"/>
            </w:tcMar>
          </w:tcPr>
          <w:p>
            <w:pPr>
              <w:spacing w:after="0" w:line="240"/>
            </w:pPr>
            <w:r>
              <w:rPr>
                <w:sz w:val="19"/>
                <w:szCs w:val="19"/>
              </w:rPr>
              <w:t xml:space="preserve">High — scheduled, repeated, measurable surprise, moves duration supply directly</w:t>
            </w:r>
          </w:p>
        </w:tc>
      </w:tr>
      <w:tr>
        <w:tc>
          <w:tcPr>
            <w:tcW w:type="dxa" w:w="600"/>
            <w:tcMar>
              <w:top w:type="dxa" w:w="80"/>
              <w:left w:type="dxa" w:w="120"/>
              <w:bottom w:type="dxa" w:w="80"/>
              <w:right w:type="dxa" w:w="120"/>
            </w:tcMar>
          </w:tcPr>
          <w:p>
            <w:pPr>
              <w:spacing w:after="0" w:line="240"/>
            </w:pPr>
            <w:r>
              <w:rPr>
                <w:sz w:val="19"/>
                <w:szCs w:val="19"/>
              </w:rPr>
              <w:t xml:space="preserve">8</w:t>
            </w:r>
          </w:p>
        </w:tc>
        <w:tc>
          <w:tcPr>
            <w:tcW w:type="dxa" w:w="3660"/>
            <w:tcMar>
              <w:top w:type="dxa" w:w="80"/>
              <w:left w:type="dxa" w:w="120"/>
              <w:bottom w:type="dxa" w:w="80"/>
              <w:right w:type="dxa" w:w="120"/>
            </w:tcMar>
          </w:tcPr>
          <w:p>
            <w:pPr>
              <w:spacing w:after="0" w:line="240"/>
            </w:pPr>
            <w:r>
              <w:rPr>
                <w:sz w:val="19"/>
                <w:szCs w:val="19"/>
              </w:rPr>
              <w:t xml:space="preserve">Second event: the September 2022 UK mini-budget</w:t>
            </w:r>
          </w:p>
        </w:tc>
        <w:tc>
          <w:tcPr>
            <w:tcW w:type="dxa" w:w="1900"/>
            <w:tcMar>
              <w:top w:type="dxa" w:w="80"/>
              <w:left w:type="dxa" w:w="120"/>
              <w:bottom w:type="dxa" w:w="80"/>
              <w:right w:type="dxa" w:w="120"/>
            </w:tcMar>
          </w:tcPr>
          <w:p>
            <w:pPr>
              <w:spacing w:after="0" w:line="240"/>
            </w:pPr>
            <w:r>
              <w:rPr>
                <w:sz w:val="19"/>
                <w:szCs w:val="19"/>
              </w:rPr>
              <w:t xml:space="preserve">Medium</w:t>
            </w:r>
          </w:p>
        </w:tc>
        <w:tc>
          <w:tcPr>
            <w:tcW w:type="dxa" w:w="3200"/>
            <w:tcMar>
              <w:top w:type="dxa" w:w="80"/>
              <w:left w:type="dxa" w:w="120"/>
              <w:bottom w:type="dxa" w:w="80"/>
              <w:right w:type="dxa" w:w="120"/>
            </w:tcMar>
          </w:tcPr>
          <w:p>
            <w:pPr>
              <w:spacing w:after="0" w:line="240"/>
            </w:pPr>
            <w:r>
              <w:rPr>
                <w:sz w:val="19"/>
                <w:szCs w:val="19"/>
              </w:rPr>
              <w:t xml:space="preserve">High — closest recent analogue to a clean fiscal shock; links to Ehrlich–Kay–Thapar</w:t>
            </w:r>
          </w:p>
        </w:tc>
      </w:tr>
    </w:tbl>
    <w:p>
      <w:pPr>
        <w:spacing w:after="160"/>
      </w:pPr>
    </w:p>
    <w:tbl>
      <w:tblPr>
        <w:tblW w:type="dxa" w:w="9360"/>
        <w:tblBorders>
          <w:top w:val="single" w:color="444444" w:sz="6"/>
          <w:left w:val="single" w:color="444444" w:sz="18"/>
          <w:bottom w:val="single" w:color="444444" w:sz="6"/>
          <w:right w:val="single" w:color="444444" w:sz="6"/>
          <w:insideH w:val="none"/>
          <w:insideV w:val="none"/>
        </w:tblBorders>
      </w:tblPr>
      <w:tblGrid>
        <w:gridCol w:w="9360"/>
      </w:tblGrid>
      <w:tr>
        <w:tc>
          <w:tcPr>
            <w:tcW w:type="dxa" w:w="9360"/>
            <w:shd w:fill="F2F2F2" w:val="clear"/>
            <w:tcMar>
              <w:top w:type="dxa" w:w="120"/>
              <w:left w:type="dxa" w:w="160"/>
              <w:bottom w:type="dxa" w:w="120"/>
              <w:right w:type="dxa" w:w="160"/>
            </w:tcMar>
          </w:tcPr>
          <w:p>
            <w:pPr>
              <w:spacing w:after="60" w:before="60" w:line="276"/>
            </w:pPr>
            <w:r>
              <w:rPr>
                <w:b/>
                <w:bCs/>
              </w:rPr>
              <w:t xml:space="preserve">DO NOT USE THE 2024 US ELECTION AS A SECOND EVENT.</w:t>
            </w:r>
          </w:p>
          <w:p>
            <w:pPr>
              <w:spacing w:after="60" w:line="276"/>
            </w:pPr>
            <w:r>
              <w:t xml:space="preserve">It is the obvious choice and it fails badly. The Georgia runoff works precisely because the filibuster and the prior resolution of the presidency and House narrowed it to a single channel. In November 2024, tariffs, immigration policy, deregulation and monetary policy expectations all repriced simultaneously, so the exclusion restriction is hopeless. If a marker or referee sees you use it, that is the first thing they will attack. Quarterly Refunding Announcements, CBO scores of specific reconciliation bills, and the UK mini-budget are the defensible alternatives.</w:t>
            </w:r>
          </w:p>
        </w:tc>
      </w:tr>
    </w:tbl>
    <w:p>
      <w:r>
        <w:br w:type="page"/>
      </w:r>
    </w:p>
    <w:p>
      <w:pPr>
        <w:pStyle w:val="Heading1"/>
        <w:spacing w:after="160" w:before="360"/>
      </w:pPr>
      <w:r>
        <w:t xml:space="preserve">12. Suggested sequence</w:t>
      </w:r>
    </w:p>
    <w:p>
      <w:pPr>
        <w:spacing w:after="120" w:line="276"/>
      </w:pPr>
      <w:r>
        <w:rPr>
          <w:b w:val="false"/>
          <w:bCs w:val="false"/>
          <w:i w:val="false"/>
          <w:iCs w:val="false"/>
        </w:rPr>
        <w:t xml:space="preserve">Ordered so that the walls are hit early, when there is still time to route around them, and so that nothing waits on correspondence that could have been started in week one.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100"/>
        <w:gridCol w:w="6560"/>
        <w:gridCol w:w="1700"/>
      </w:tblGrid>
      <w:tr>
        <w:trPr>
          <w:tblHeader/>
        </w:trPr>
        <w:tc>
          <w:tcPr>
            <w:tcW w:type="dxa" w:w="1100"/>
            <w:shd w:fill="E4E4E4" w:val="clear"/>
            <w:tcMar>
              <w:top w:type="dxa" w:w="80"/>
              <w:left w:type="dxa" w:w="120"/>
              <w:bottom w:type="dxa" w:w="80"/>
              <w:right w:type="dxa" w:w="120"/>
            </w:tcMar>
          </w:tcPr>
          <w:p>
            <w:pPr>
              <w:spacing w:after="0"/>
            </w:pPr>
            <w:r>
              <w:rPr>
                <w:b/>
                <w:bCs/>
                <w:sz w:val="19"/>
                <w:szCs w:val="19"/>
              </w:rPr>
              <w:t xml:space="preserve">Stage</w:t>
            </w:r>
          </w:p>
        </w:tc>
        <w:tc>
          <w:tcPr>
            <w:tcW w:type="dxa" w:w="6560"/>
            <w:shd w:fill="E4E4E4" w:val="clear"/>
            <w:tcMar>
              <w:top w:type="dxa" w:w="80"/>
              <w:left w:type="dxa" w:w="120"/>
              <w:bottom w:type="dxa" w:w="80"/>
              <w:right w:type="dxa" w:w="120"/>
            </w:tcMar>
          </w:tcPr>
          <w:p>
            <w:pPr>
              <w:spacing w:after="0"/>
            </w:pPr>
            <w:r>
              <w:rPr>
                <w:b/>
                <w:bCs/>
                <w:sz w:val="19"/>
                <w:szCs w:val="19"/>
              </w:rPr>
              <w:t xml:space="preserve">What</w:t>
            </w:r>
          </w:p>
        </w:tc>
        <w:tc>
          <w:tcPr>
            <w:tcW w:type="dxa" w:w="1700"/>
            <w:shd w:fill="E4E4E4" w:val="clear"/>
            <w:tcMar>
              <w:top w:type="dxa" w:w="80"/>
              <w:left w:type="dxa" w:w="120"/>
              <w:bottom w:type="dxa" w:w="80"/>
              <w:right w:type="dxa" w:w="120"/>
            </w:tcMar>
          </w:tcPr>
          <w:p>
            <w:pPr>
              <w:spacing w:after="0"/>
            </w:pPr>
            <w:r>
              <w:rPr>
                <w:b/>
                <w:bCs/>
                <w:sz w:val="19"/>
                <w:szCs w:val="19"/>
              </w:rPr>
              <w:t xml:space="preserve">Blocking?</w:t>
            </w:r>
          </w:p>
        </w:tc>
      </w:tr>
      <w:tr>
        <w:tc>
          <w:tcPr>
            <w:tcW w:type="dxa" w:w="1100"/>
            <w:tcMar>
              <w:top w:type="dxa" w:w="80"/>
              <w:left w:type="dxa" w:w="120"/>
              <w:bottom w:type="dxa" w:w="80"/>
              <w:right w:type="dxa" w:w="120"/>
            </w:tcMar>
          </w:tcPr>
          <w:p>
            <w:pPr>
              <w:spacing w:after="0" w:line="240"/>
            </w:pPr>
            <w:r>
              <w:rPr>
                <w:sz w:val="19"/>
                <w:szCs w:val="19"/>
              </w:rPr>
              <w:t xml:space="preserve">Week 1</w:t>
            </w:r>
          </w:p>
        </w:tc>
        <w:tc>
          <w:tcPr>
            <w:tcW w:type="dxa" w:w="6560"/>
            <w:tcMar>
              <w:top w:type="dxa" w:w="80"/>
              <w:left w:type="dxa" w:w="120"/>
              <w:bottom w:type="dxa" w:w="80"/>
              <w:right w:type="dxa" w:w="120"/>
            </w:tcMar>
          </w:tcPr>
          <w:p>
            <w:pPr>
              <w:spacing w:after="0" w:line="240"/>
            </w:pPr>
            <w:r>
              <w:rPr>
                <w:sz w:val="19"/>
                <w:szCs w:val="19"/>
              </w:rPr>
              <w:t xml:space="preserve">Send the four-question email to Diercks and Skaperdas. Request the Hazell–Hobler cross-section. Pull the Plante–Richter–Zubairy Dataverse deposit. Download GSW nominal and TIPS curves and daily DKW output.</w:t>
            </w:r>
          </w:p>
        </w:tc>
        <w:tc>
          <w:tcPr>
            <w:tcW w:type="dxa" w:w="1700"/>
            <w:tcMar>
              <w:top w:type="dxa" w:w="80"/>
              <w:left w:type="dxa" w:w="120"/>
              <w:bottom w:type="dxa" w:w="80"/>
              <w:right w:type="dxa" w:w="120"/>
            </w:tcMar>
          </w:tcPr>
          <w:p>
            <w:pPr>
              <w:spacing w:after="0" w:line="240"/>
            </w:pPr>
            <w:r>
              <w:rPr>
                <w:sz w:val="19"/>
                <w:szCs w:val="19"/>
              </w:rPr>
              <w:t xml:space="preserve">Start correspondence immediately — it is the long pole</w:t>
            </w:r>
          </w:p>
        </w:tc>
      </w:tr>
      <w:tr>
        <w:tc>
          <w:tcPr>
            <w:tcW w:type="dxa" w:w="1100"/>
            <w:tcMar>
              <w:top w:type="dxa" w:w="80"/>
              <w:left w:type="dxa" w:w="120"/>
              <w:bottom w:type="dxa" w:w="80"/>
              <w:right w:type="dxa" w:w="120"/>
            </w:tcMar>
          </w:tcPr>
          <w:p>
            <w:pPr>
              <w:spacing w:after="0" w:line="240"/>
            </w:pPr>
            <w:r>
              <w:rPr>
                <w:sz w:val="19"/>
                <w:szCs w:val="19"/>
              </w:rPr>
              <w:t xml:space="preserve">Week 1–2</w:t>
            </w:r>
          </w:p>
        </w:tc>
        <w:tc>
          <w:tcPr>
            <w:tcW w:type="dxa" w:w="6560"/>
            <w:tcMar>
              <w:top w:type="dxa" w:w="80"/>
              <w:left w:type="dxa" w:w="120"/>
              <w:bottom w:type="dxa" w:w="80"/>
              <w:right w:type="dxa" w:w="120"/>
            </w:tcMar>
          </w:tcPr>
          <w:p>
            <w:pPr>
              <w:spacing w:after="0" w:line="240"/>
            </w:pPr>
            <w:r>
              <w:rPr>
                <w:sz w:val="19"/>
                <w:szCs w:val="19"/>
              </w:rPr>
              <w:t xml:space="preserve">Resolve decisions-log item 7 (which r* object). Build and verify the 5f10y construction across all series. Confirm the component-summing identities.</w:t>
            </w:r>
          </w:p>
        </w:tc>
        <w:tc>
          <w:tcPr>
            <w:tcW w:type="dxa" w:w="1700"/>
            <w:tcMar>
              <w:top w:type="dxa" w:w="80"/>
              <w:left w:type="dxa" w:w="120"/>
              <w:bottom w:type="dxa" w:w="80"/>
              <w:right w:type="dxa" w:w="120"/>
            </w:tcMar>
          </w:tcPr>
          <w:p>
            <w:pPr>
              <w:spacing w:after="0" w:line="240"/>
            </w:pPr>
            <w:r>
              <w:rPr>
                <w:sz w:val="19"/>
                <w:szCs w:val="19"/>
              </w:rPr>
              <w:t xml:space="preserve">Yes — everything downstream depends on it</w:t>
            </w:r>
          </w:p>
        </w:tc>
      </w:tr>
      <w:tr>
        <w:tc>
          <w:tcPr>
            <w:tcW w:type="dxa" w:w="1100"/>
            <w:tcMar>
              <w:top w:type="dxa" w:w="80"/>
              <w:left w:type="dxa" w:w="120"/>
              <w:bottom w:type="dxa" w:w="80"/>
              <w:right w:type="dxa" w:w="120"/>
            </w:tcMar>
          </w:tcPr>
          <w:p>
            <w:pPr>
              <w:spacing w:after="0" w:line="240"/>
            </w:pPr>
            <w:r>
              <w:rPr>
                <w:sz w:val="19"/>
                <w:szCs w:val="19"/>
              </w:rPr>
              <w:t xml:space="preserve">Week 2–3</w:t>
            </w:r>
          </w:p>
        </w:tc>
        <w:tc>
          <w:tcPr>
            <w:tcW w:type="dxa" w:w="6560"/>
            <w:tcMar>
              <w:top w:type="dxa" w:w="80"/>
              <w:left w:type="dxa" w:w="120"/>
              <w:bottom w:type="dxa" w:w="80"/>
              <w:right w:type="dxa" w:w="120"/>
            </w:tcMar>
          </w:tcPr>
          <w:p>
            <w:pPr>
              <w:spacing w:after="0" w:line="240"/>
            </w:pPr>
            <w:r>
              <w:rPr>
                <w:sz w:val="19"/>
                <w:szCs w:val="19"/>
              </w:rPr>
              <w:t xml:space="preserve">Task A (Table 3). Reproduce 3.95 / 1.24 / 1.74. Then Novelty 2, then Novelty 1.</w:t>
            </w:r>
          </w:p>
        </w:tc>
        <w:tc>
          <w:tcPr>
            <w:tcW w:type="dxa" w:w="1700"/>
            <w:tcMar>
              <w:top w:type="dxa" w:w="80"/>
              <w:left w:type="dxa" w:w="120"/>
              <w:bottom w:type="dxa" w:w="80"/>
              <w:right w:type="dxa" w:w="120"/>
            </w:tcMar>
          </w:tcPr>
          <w:p>
            <w:pPr>
              <w:spacing w:after="0" w:line="240"/>
            </w:pPr>
            <w:r>
              <w:rPr>
                <w:sz w:val="19"/>
                <w:szCs w:val="19"/>
              </w:rPr>
              <w:t xml:space="preserve">No</w:t>
            </w:r>
          </w:p>
        </w:tc>
      </w:tr>
      <w:tr>
        <w:tc>
          <w:tcPr>
            <w:tcW w:type="dxa" w:w="1100"/>
            <w:tcMar>
              <w:top w:type="dxa" w:w="80"/>
              <w:left w:type="dxa" w:w="120"/>
              <w:bottom w:type="dxa" w:w="80"/>
              <w:right w:type="dxa" w:w="120"/>
            </w:tcMar>
          </w:tcPr>
          <w:p>
            <w:pPr>
              <w:spacing w:after="0" w:line="240"/>
            </w:pPr>
            <w:r>
              <w:rPr>
                <w:sz w:val="19"/>
                <w:szCs w:val="19"/>
              </w:rPr>
              <w:t xml:space="preserve">Week 3</w:t>
            </w:r>
          </w:p>
        </w:tc>
        <w:tc>
          <w:tcPr>
            <w:tcW w:type="dxa" w:w="6560"/>
            <w:tcMar>
              <w:top w:type="dxa" w:w="80"/>
              <w:left w:type="dxa" w:w="120"/>
              <w:bottom w:type="dxa" w:w="80"/>
              <w:right w:type="dxa" w:w="120"/>
            </w:tcMar>
          </w:tcPr>
          <w:p>
            <w:pPr>
              <w:spacing w:after="0" w:line="240"/>
            </w:pPr>
            <w:r>
              <w:rPr>
                <w:sz w:val="19"/>
                <w:szCs w:val="19"/>
              </w:rPr>
              <w:t xml:space="preserve">Task B (Table 1, one-day). Should take an afternoon once the pipeline works. Then Novelty 3.</w:t>
            </w:r>
          </w:p>
        </w:tc>
        <w:tc>
          <w:tcPr>
            <w:tcW w:type="dxa" w:w="1700"/>
            <w:tcMar>
              <w:top w:type="dxa" w:w="80"/>
              <w:left w:type="dxa" w:w="120"/>
              <w:bottom w:type="dxa" w:w="80"/>
              <w:right w:type="dxa" w:w="120"/>
            </w:tcMar>
          </w:tcPr>
          <w:p>
            <w:pPr>
              <w:spacing w:after="0" w:line="240"/>
            </w:pPr>
            <w:r>
              <w:rPr>
                <w:sz w:val="19"/>
                <w:szCs w:val="19"/>
              </w:rPr>
              <w:t xml:space="preserve">No</w:t>
            </w:r>
          </w:p>
        </w:tc>
      </w:tr>
      <w:tr>
        <w:tc>
          <w:tcPr>
            <w:tcW w:type="dxa" w:w="1100"/>
            <w:tcMar>
              <w:top w:type="dxa" w:w="80"/>
              <w:left w:type="dxa" w:w="120"/>
              <w:bottom w:type="dxa" w:w="80"/>
              <w:right w:type="dxa" w:w="120"/>
            </w:tcMar>
          </w:tcPr>
          <w:p>
            <w:pPr>
              <w:spacing w:after="0" w:line="240"/>
            </w:pPr>
            <w:r>
              <w:rPr>
                <w:sz w:val="19"/>
                <w:szCs w:val="19"/>
              </w:rPr>
              <w:t xml:space="preserve">Week 4</w:t>
            </w:r>
          </w:p>
        </w:tc>
        <w:tc>
          <w:tcPr>
            <w:tcW w:type="dxa" w:w="6560"/>
            <w:tcMar>
              <w:top w:type="dxa" w:w="80"/>
              <w:left w:type="dxa" w:w="120"/>
              <w:bottom w:type="dxa" w:w="80"/>
              <w:right w:type="dxa" w:w="120"/>
            </w:tcMar>
          </w:tcPr>
          <w:p>
            <w:pPr>
              <w:spacing w:after="0" w:line="240"/>
            </w:pPr>
            <w:r>
              <w:rPr>
                <w:sz w:val="19"/>
                <w:szCs w:val="19"/>
              </w:rPr>
              <w:t xml:space="preserve">Task C (placebo bootstrap) at whatever fidelity the Hazell–Hobler response allows. Novelty 4.</w:t>
            </w:r>
          </w:p>
        </w:tc>
        <w:tc>
          <w:tcPr>
            <w:tcW w:type="dxa" w:w="1700"/>
            <w:tcMar>
              <w:top w:type="dxa" w:w="80"/>
              <w:left w:type="dxa" w:w="120"/>
              <w:bottom w:type="dxa" w:w="80"/>
              <w:right w:type="dxa" w:w="120"/>
            </w:tcMar>
          </w:tcPr>
          <w:p>
            <w:pPr>
              <w:spacing w:after="0" w:line="240"/>
            </w:pPr>
            <w:r>
              <w:rPr>
                <w:sz w:val="19"/>
                <w:szCs w:val="19"/>
              </w:rPr>
              <w:t xml:space="preserve">Depends on Hazell–Hobler</w:t>
            </w:r>
          </w:p>
        </w:tc>
      </w:tr>
      <w:tr>
        <w:tc>
          <w:tcPr>
            <w:tcW w:type="dxa" w:w="1100"/>
            <w:tcMar>
              <w:top w:type="dxa" w:w="80"/>
              <w:left w:type="dxa" w:w="120"/>
              <w:bottom w:type="dxa" w:w="80"/>
              <w:right w:type="dxa" w:w="120"/>
            </w:tcMar>
          </w:tcPr>
          <w:p>
            <w:pPr>
              <w:spacing w:after="0" w:line="240"/>
            </w:pPr>
            <w:r>
              <w:rPr>
                <w:sz w:val="19"/>
                <w:szCs w:val="19"/>
              </w:rPr>
              <w:t xml:space="preserve">Week 4–5</w:t>
            </w:r>
          </w:p>
        </w:tc>
        <w:tc>
          <w:tcPr>
            <w:tcW w:type="dxa" w:w="6560"/>
            <w:tcMar>
              <w:top w:type="dxa" w:w="80"/>
              <w:left w:type="dxa" w:w="120"/>
              <w:bottom w:type="dxa" w:w="80"/>
              <w:right w:type="dxa" w:w="120"/>
            </w:tcMar>
          </w:tcPr>
          <w:p>
            <w:pPr>
              <w:spacing w:after="0" w:line="240"/>
            </w:pPr>
            <w:r>
              <w:rPr>
                <w:sz w:val="19"/>
                <w:szCs w:val="19"/>
              </w:rPr>
              <w:t xml:space="preserve">Task E (Table 2), contingent on PredictIt data. Resolve the levels-vs-differences question empirically.</w:t>
            </w:r>
          </w:p>
        </w:tc>
        <w:tc>
          <w:tcPr>
            <w:tcW w:type="dxa" w:w="1700"/>
            <w:tcMar>
              <w:top w:type="dxa" w:w="80"/>
              <w:left w:type="dxa" w:w="120"/>
              <w:bottom w:type="dxa" w:w="80"/>
              <w:right w:type="dxa" w:w="120"/>
            </w:tcMar>
          </w:tcPr>
          <w:p>
            <w:pPr>
              <w:spacing w:after="0" w:line="240"/>
            </w:pPr>
            <w:r>
              <w:rPr>
                <w:sz w:val="19"/>
                <w:szCs w:val="19"/>
              </w:rPr>
              <w:t xml:space="preserve">Depends on PredictIt</w:t>
            </w:r>
          </w:p>
        </w:tc>
      </w:tr>
      <w:tr>
        <w:tc>
          <w:tcPr>
            <w:tcW w:type="dxa" w:w="1100"/>
            <w:tcMar>
              <w:top w:type="dxa" w:w="80"/>
              <w:left w:type="dxa" w:w="120"/>
              <w:bottom w:type="dxa" w:w="80"/>
              <w:right w:type="dxa" w:w="120"/>
            </w:tcMar>
          </w:tcPr>
          <w:p>
            <w:pPr>
              <w:spacing w:after="0" w:line="240"/>
            </w:pPr>
            <w:r>
              <w:rPr>
                <w:sz w:val="19"/>
                <w:szCs w:val="19"/>
              </w:rPr>
              <w:t xml:space="preserve">Week 5–6</w:t>
            </w:r>
          </w:p>
        </w:tc>
        <w:tc>
          <w:tcPr>
            <w:tcW w:type="dxa" w:w="6560"/>
            <w:tcMar>
              <w:top w:type="dxa" w:w="80"/>
              <w:left w:type="dxa" w:w="120"/>
              <w:bottom w:type="dxa" w:w="80"/>
              <w:right w:type="dxa" w:w="120"/>
            </w:tcMar>
          </w:tcPr>
          <w:p>
            <w:pPr>
              <w:spacing w:after="0" w:line="240"/>
            </w:pPr>
            <w:r>
              <w:rPr>
                <w:sz w:val="19"/>
                <w:szCs w:val="19"/>
              </w:rPr>
              <w:t xml:space="preserve">Task D: attempt, or formally declare non-replicable with reasons. Novelty 5 regardless — it does not require intraday data.</w:t>
            </w:r>
          </w:p>
        </w:tc>
        <w:tc>
          <w:tcPr>
            <w:tcW w:type="dxa" w:w="1700"/>
            <w:tcMar>
              <w:top w:type="dxa" w:w="80"/>
              <w:left w:type="dxa" w:w="120"/>
              <w:bottom w:type="dxa" w:w="80"/>
              <w:right w:type="dxa" w:w="120"/>
            </w:tcMar>
          </w:tcPr>
          <w:p>
            <w:pPr>
              <w:spacing w:after="0" w:line="240"/>
            </w:pPr>
            <w:r>
              <w:rPr>
                <w:sz w:val="19"/>
                <w:szCs w:val="19"/>
              </w:rPr>
              <w:t xml:space="preserve">No</w:t>
            </w:r>
          </w:p>
        </w:tc>
      </w:tr>
      <w:tr>
        <w:tc>
          <w:tcPr>
            <w:tcW w:type="dxa" w:w="1100"/>
            <w:tcMar>
              <w:top w:type="dxa" w:w="80"/>
              <w:left w:type="dxa" w:w="120"/>
              <w:bottom w:type="dxa" w:w="80"/>
              <w:right w:type="dxa" w:w="120"/>
            </w:tcMar>
          </w:tcPr>
          <w:p>
            <w:pPr>
              <w:spacing w:after="0" w:line="240"/>
            </w:pPr>
            <w:r>
              <w:rPr>
                <w:sz w:val="19"/>
                <w:szCs w:val="19"/>
              </w:rPr>
              <w:t xml:space="preserve">Week 6+</w:t>
            </w:r>
          </w:p>
        </w:tc>
        <w:tc>
          <w:tcPr>
            <w:tcW w:type="dxa" w:w="6560"/>
            <w:tcMar>
              <w:top w:type="dxa" w:w="80"/>
              <w:left w:type="dxa" w:w="120"/>
              <w:bottom w:type="dxa" w:w="80"/>
              <w:right w:type="dxa" w:w="120"/>
            </w:tcMar>
          </w:tcPr>
          <w:p>
            <w:pPr>
              <w:spacing w:after="0" w:line="240"/>
            </w:pPr>
            <w:r>
              <w:rPr>
                <w:sz w:val="19"/>
                <w:szCs w:val="19"/>
              </w:rPr>
              <w:t xml:space="preserve">Write-up. Lead with the decisions log and the data-access narrative; they are more interesting than the coefficients.</w:t>
            </w:r>
          </w:p>
        </w:tc>
        <w:tc>
          <w:tcPr>
            <w:tcW w:type="dxa" w:w="1700"/>
            <w:tcMar>
              <w:top w:type="dxa" w:w="80"/>
              <w:left w:type="dxa" w:w="120"/>
              <w:bottom w:type="dxa" w:w="80"/>
              <w:right w:type="dxa" w:w="120"/>
            </w:tcMar>
          </w:tcPr>
          <w:p>
            <w:pPr>
              <w:spacing w:after="0" w:line="240"/>
            </w:pPr>
            <w:r>
              <w:rPr>
                <w:sz w:val="19"/>
                <w:szCs w:val="19"/>
              </w:rPr>
              <w:t xml:space="preserve">—</w:t>
            </w:r>
          </w:p>
        </w:tc>
      </w:tr>
    </w:tbl>
    <w:p>
      <w:pPr>
        <w:spacing w:after="200"/>
      </w:pPr>
    </w:p>
    <w:p>
      <w:pPr>
        <w:spacing w:after="120" w:line="276"/>
      </w:pPr>
      <w:r>
        <w:rPr>
          <w:b/>
          <w:bCs/>
          <w:i w:val="false"/>
          <w:iCs w:val="false"/>
        </w:rPr>
        <w:t xml:space="preserve">A closing note on framing. </w:t>
      </w:r>
      <w:r>
        <w:rPr>
          <w:b w:val="false"/>
          <w:bCs w:val="false"/>
          <w:i w:val="false"/>
          <w:iCs w:val="false"/>
        </w:rPr>
        <w:t xml:space="preserve">The most valuable thing a student replication produces is rarely a matched coefficient. It is a precise account of what could not be matched and why — which inputs are public, which are institutional, which are proprietary, and what a reader should therefore conclude about how much of this literature is independently checkable. This paper is an unusually good specimen for that argument: one exercise fully public, one gated behind hand-collected proprietary sell-side documents, and one gated behind a central bank's internal model. Write that up. It is the contribution.</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Replication plan — FEDS 2026-031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0"/>
      <w:szCs w:val="30"/>
    </w:rPr>
  </w:style>
  <w:style w:type="paragraph" w:styleId="Heading2">
    <w:name w:val="Heading 2"/>
    <w:basedOn w:val="Normal"/>
    <w:next w:val="Normal"/>
    <w:qFormat/>
    <w:rPr>
      <w:rFonts w:ascii="Calibri" w:cs="Calibri" w:eastAsia="Calibri" w:hAnsi="Calibri"/>
      <w:b/>
      <w:bCs/>
      <w:color w:val="2A2A2A"/>
      <w:sz w:val="25"/>
      <w:szCs w:val="25"/>
    </w:rPr>
  </w:style>
  <w:style w:type="paragraph" w:styleId="Heading3">
    <w:name w:val="Heading 3"/>
    <w:basedOn w:val="Normal"/>
    <w:next w:val="Normal"/>
    <w:qFormat/>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 Plan — FEDS 2026-031</dc:title>
  <dc:creator>Replication working group</dc:creator>
  <dc:description>Working protocol for replicating Bhatt, Diercks, Eyal &amp; Skaperdas (2026) in R</dc:description>
  <cp:lastModifiedBy>Un-named</cp:lastModifiedBy>
  <cp:revision>1</cp:revision>
  <dcterms:created xsi:type="dcterms:W3CDTF">2026-07-24T08:22:56.639Z</dcterms:created>
  <dcterms:modified xsi:type="dcterms:W3CDTF">2026-07-24T08:22:56.658Z</dcterms:modified>
</cp:coreProperties>
</file>

<file path=docProps/custom.xml><?xml version="1.0" encoding="utf-8"?>
<Properties xmlns="http://schemas.openxmlformats.org/officeDocument/2006/custom-properties" xmlns:vt="http://schemas.openxmlformats.org/officeDocument/2006/docPropsVTypes"/>
</file>