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13867" w14:textId="4F3CD329" w:rsidR="00594758" w:rsidRPr="00A61DF4" w:rsidRDefault="00526D45" w:rsidP="00976C74">
      <w:pPr>
        <w:pStyle w:val="Cover-DocumentType"/>
      </w:pPr>
      <w:r>
        <w:t>Draft Research Report</w:t>
      </w:r>
    </w:p>
    <w:p w14:paraId="370DB916" w14:textId="7C6B9C76" w:rsidR="00594758" w:rsidRPr="00A61DF4" w:rsidRDefault="009B01CB" w:rsidP="00765388">
      <w:pPr>
        <w:pStyle w:val="Cover-Title"/>
      </w:pPr>
      <w:r>
        <w:t>Benefits and Costs of Decarbonizing Latin America</w:t>
      </w:r>
      <w:r w:rsidR="008024F5">
        <w:t xml:space="preserve"> and the Caribbean</w:t>
      </w:r>
      <w:r w:rsidR="00560F69">
        <w:t xml:space="preserve"> </w:t>
      </w:r>
    </w:p>
    <w:p w14:paraId="2482499A" w14:textId="40375015" w:rsidR="00594758" w:rsidRPr="00867154" w:rsidRDefault="003927D4" w:rsidP="00765388">
      <w:pPr>
        <w:pStyle w:val="Cover-Subtitle"/>
      </w:pPr>
      <w:r w:rsidRPr="00867154">
        <w:t xml:space="preserve">Technical </w:t>
      </w:r>
      <w:r w:rsidR="009B01CB" w:rsidRPr="00867154">
        <w:t>Appendices</w:t>
      </w:r>
    </w:p>
    <w:p w14:paraId="354E4CCC" w14:textId="54CBFA67" w:rsidR="00594758" w:rsidRPr="00867154" w:rsidRDefault="48B0C125" w:rsidP="00185A97">
      <w:pPr>
        <w:pStyle w:val="Cover-AuthorList"/>
      </w:pPr>
      <w:r>
        <w:t xml:space="preserve">Nidhi Kalra, Edmundo Molina-Perez, James Syme, Fernando Esteves, Hermilo Cortés, Mateo Tonatiuh Rodríguez-Cervantes, Víctor Manuel Espinoza-Juárez, Marcela Jaramillo, Claudio Alatorre, Marco </w:t>
      </w:r>
      <w:proofErr w:type="spellStart"/>
      <w:r>
        <w:t>Butazzoni</w:t>
      </w:r>
      <w:proofErr w:type="spellEnd"/>
      <w:r>
        <w:t>, and Adrien Vogt-Schilb</w:t>
      </w:r>
    </w:p>
    <w:p w14:paraId="17E4FC43" w14:textId="68612AC6" w:rsidR="008F7BE3" w:rsidRPr="00A61DF4" w:rsidRDefault="008F7BE3" w:rsidP="008F7BE3">
      <w:pPr>
        <w:pStyle w:val="Cover-DivisionName"/>
      </w:pPr>
      <w:r w:rsidRPr="00A61DF4">
        <w:t xml:space="preserve">RAND </w:t>
      </w:r>
      <w:r w:rsidR="00FA61AD">
        <w:t>Social and Economic Well-Being</w:t>
      </w:r>
    </w:p>
    <w:p w14:paraId="46AE5B20" w14:textId="491F91A9" w:rsidR="00E52DD6" w:rsidRPr="00A61DF4" w:rsidRDefault="007C58DB" w:rsidP="00976C74">
      <w:pPr>
        <w:pStyle w:val="Cover-DocumentDetails"/>
      </w:pPr>
      <w:r w:rsidRPr="007C58DB">
        <w:t>RR-A2847-1</w:t>
      </w:r>
    </w:p>
    <w:p w14:paraId="29EAAABA" w14:textId="4E8D34C8" w:rsidR="004A1CD1" w:rsidRPr="00A61DF4" w:rsidRDefault="48B0C125" w:rsidP="0004323B">
      <w:pPr>
        <w:pStyle w:val="Cover-DocumentDetails"/>
      </w:pPr>
      <w:r>
        <w:t>December 2023</w:t>
      </w:r>
    </w:p>
    <w:p w14:paraId="2AA45BB7" w14:textId="1B52B1E5" w:rsidR="004A1CD1" w:rsidRPr="00A61DF4" w:rsidRDefault="0040433E" w:rsidP="00976C74">
      <w:pPr>
        <w:pStyle w:val="Cover-DocumentDetails"/>
      </w:pPr>
      <w:r w:rsidRPr="00A61DF4">
        <w:t xml:space="preserve">Prepared for </w:t>
      </w:r>
      <w:r w:rsidR="0012564B">
        <w:t>the Inter-American Development Bank</w:t>
      </w:r>
    </w:p>
    <w:p w14:paraId="7E5F5385" w14:textId="77777777" w:rsidR="004A1CD1" w:rsidRPr="00A61DF4" w:rsidRDefault="00646FCC" w:rsidP="00646FCC">
      <w:pPr>
        <w:pStyle w:val="Cover-Caveat"/>
      </w:pPr>
      <w:r w:rsidRPr="00A61DF4">
        <w:t>Not C</w:t>
      </w:r>
      <w:r w:rsidR="004A1CD1" w:rsidRPr="00A61DF4">
        <w:t xml:space="preserve">leared for </w:t>
      </w:r>
      <w:r w:rsidR="00396CFB" w:rsidRPr="00A61DF4">
        <w:t>Public Release</w:t>
      </w:r>
    </w:p>
    <w:p w14:paraId="2A13FF91" w14:textId="77777777" w:rsidR="004A1CD1" w:rsidRPr="00A61DF4" w:rsidRDefault="48B0C125" w:rsidP="00976C74">
      <w:pPr>
        <w:pStyle w:val="Cover-Disclaimer"/>
      </w:pPr>
      <w:r>
        <w:t xml:space="preserve">This document has not been formally reviewed, edited, or cleared for public release. It should not be cited without the permission of the RAND Corporation. RAND's publications do not necessarily reflect the opinions of its research clients and sponsors. </w:t>
      </w:r>
      <w:r w:rsidR="00FF7865">
        <w:rPr>
          <w:noProof/>
        </w:rPr>
        <w:drawing>
          <wp:inline distT="0" distB="0" distL="0" distR="0" wp14:anchorId="721D6940" wp14:editId="76319F27">
            <wp:extent cx="381000" cy="83820"/>
            <wp:effectExtent l="0" t="0" r="0" b="0"/>
            <wp:docPr id="2" name="Picture 2" descr="R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81000" cy="83820"/>
                    </a:xfrm>
                    <a:prstGeom prst="rect">
                      <a:avLst/>
                    </a:prstGeom>
                  </pic:spPr>
                </pic:pic>
              </a:graphicData>
            </a:graphic>
          </wp:inline>
        </w:drawing>
      </w:r>
      <w:r>
        <w:t xml:space="preserve"> is a registered trademark.</w:t>
      </w:r>
    </w:p>
    <w:p w14:paraId="5C402707" w14:textId="77777777" w:rsidR="007305FC" w:rsidRPr="00A61DF4" w:rsidRDefault="00B6482B" w:rsidP="007E41ED">
      <w:pPr>
        <w:sectPr w:rsidR="007305FC" w:rsidRPr="00A61DF4" w:rsidSect="007305F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2"/>
          <w:cols w:space="720"/>
          <w:titlePg/>
        </w:sectPr>
      </w:pPr>
      <w:r w:rsidRPr="00A61DF4">
        <w:rPr>
          <w:noProof/>
        </w:rPr>
        <w:drawing>
          <wp:anchor distT="0" distB="0" distL="114300" distR="114300" simplePos="0" relativeHeight="251658240" behindDoc="0" locked="0" layoutInCell="0" allowOverlap="1" wp14:anchorId="7367DF2A" wp14:editId="72E9397A">
            <wp:simplePos x="0" y="0"/>
            <wp:positionH relativeFrom="margin">
              <wp:posOffset>38735</wp:posOffset>
            </wp:positionH>
            <wp:positionV relativeFrom="margin">
              <wp:posOffset>7973695</wp:posOffset>
            </wp:positionV>
            <wp:extent cx="584200" cy="584200"/>
            <wp:effectExtent l="0" t="0" r="0" b="0"/>
            <wp:wrapThrough wrapText="bothSides">
              <wp:wrapPolygon edited="0">
                <wp:start x="0" y="0"/>
                <wp:lineTo x="0" y="20661"/>
                <wp:lineTo x="20661" y="20661"/>
                <wp:lineTo x="20661" y="0"/>
                <wp:lineTo x="0" y="0"/>
              </wp:wrapPolygon>
            </wp:wrapThrough>
            <wp:docPr id="4" name="Picture 4" descr="\\Server_1\User Drop\marcy_drop\106407_Rand\graphics\unit logo signatures\resized\ran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_1\User Drop\marcy_drop\106407_Rand\graphics\unit logo signatures\resized\rand.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00" cy="58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63114" w14:textId="528A5976" w:rsidR="00145284" w:rsidRPr="00A61DF4" w:rsidRDefault="008515D2" w:rsidP="00145284">
      <w:pPr>
        <w:pStyle w:val="Heading1"/>
      </w:pPr>
      <w:bookmarkStart w:id="0" w:name="_Toc152088229"/>
      <w:bookmarkStart w:id="1" w:name="_Toc326590598"/>
      <w:bookmarkStart w:id="2" w:name="_Toc326590594"/>
      <w:r w:rsidRPr="00A61DF4">
        <w:lastRenderedPageBreak/>
        <w:t xml:space="preserve">About This </w:t>
      </w:r>
      <w:r w:rsidR="00C0273B" w:rsidRPr="00A61DF4">
        <w:t xml:space="preserve">Research </w:t>
      </w:r>
      <w:r w:rsidR="003706D1" w:rsidRPr="00A61DF4">
        <w:t>Report</w:t>
      </w:r>
      <w:bookmarkEnd w:id="0"/>
    </w:p>
    <w:p w14:paraId="175ACE32" w14:textId="5F8CBEF3" w:rsidR="00FF4562" w:rsidRPr="00A61DF4" w:rsidRDefault="0CDBF178">
      <w:r>
        <w:t xml:space="preserve">This volume contains the technical appendices to the report, </w:t>
      </w:r>
      <w:r w:rsidR="00EB046C" w:rsidRPr="00EB046C">
        <w:rPr>
          <w:i/>
          <w:iCs/>
        </w:rPr>
        <w:t>The Benefits and Costs of Reaching Net-Zero Emissions in Latin America and the Caribbean</w:t>
      </w:r>
      <w:r>
        <w:t>.”</w:t>
      </w:r>
    </w:p>
    <w:p w14:paraId="06FC5188" w14:textId="77777777" w:rsidR="004C486D" w:rsidRDefault="004C486D">
      <w:pPr>
        <w:spacing w:line="240" w:lineRule="auto"/>
        <w:ind w:firstLine="0"/>
        <w:rPr>
          <w:rFonts w:ascii="Arial" w:eastAsiaTheme="majorEastAsia" w:hAnsi="Arial" w:cstheme="majorBidi"/>
          <w:bCs/>
          <w:sz w:val="32"/>
          <w:szCs w:val="32"/>
        </w:rPr>
      </w:pPr>
      <w:bookmarkStart w:id="3" w:name="_Toc326590595"/>
      <w:bookmarkEnd w:id="1"/>
      <w:bookmarkEnd w:id="2"/>
      <w:r>
        <w:br w:type="page"/>
      </w:r>
    </w:p>
    <w:p w14:paraId="7D7385CD" w14:textId="0FC801DE" w:rsidR="00492904" w:rsidRPr="00A61DF4" w:rsidRDefault="48B0C125" w:rsidP="00895FCC">
      <w:pPr>
        <w:pStyle w:val="TOCHeading"/>
      </w:pPr>
      <w:r>
        <w:lastRenderedPageBreak/>
        <w:t>Contents</w:t>
      </w:r>
      <w:bookmarkEnd w:id="3"/>
    </w:p>
    <w:p w14:paraId="1427F2D2" w14:textId="0A5DAA53" w:rsidR="00752B0C" w:rsidRPr="00752B0C" w:rsidRDefault="00895FCC">
      <w:pPr>
        <w:pStyle w:val="TOC1"/>
        <w:rPr>
          <w:rFonts w:asciiTheme="minorHAnsi" w:eastAsiaTheme="minorEastAsia" w:hAnsiTheme="minorHAnsi" w:cstheme="minorBidi"/>
          <w:noProof/>
          <w:sz w:val="22"/>
          <w:szCs w:val="22"/>
          <w:lang w:eastAsia="es-MX"/>
        </w:rPr>
      </w:pPr>
      <w:r w:rsidRPr="00A61DF4">
        <w:fldChar w:fldCharType="begin"/>
      </w:r>
      <w:r w:rsidRPr="00A61DF4">
        <w:instrText xml:space="preserve"> TOC \o "1-3" </w:instrText>
      </w:r>
      <w:r w:rsidR="000979C6" w:rsidRPr="00A61DF4">
        <w:instrText xml:space="preserve">\t "Chapter Number,9" \n 9-9 </w:instrText>
      </w:r>
      <w:r w:rsidRPr="00A61DF4">
        <w:fldChar w:fldCharType="separate"/>
      </w:r>
      <w:r w:rsidR="00752B0C">
        <w:rPr>
          <w:noProof/>
        </w:rPr>
        <w:t>About This Research Report</w:t>
      </w:r>
      <w:r w:rsidR="00752B0C">
        <w:rPr>
          <w:noProof/>
        </w:rPr>
        <w:tab/>
      </w:r>
      <w:r w:rsidR="00752B0C">
        <w:rPr>
          <w:noProof/>
        </w:rPr>
        <w:fldChar w:fldCharType="begin"/>
      </w:r>
      <w:r w:rsidR="00752B0C">
        <w:rPr>
          <w:noProof/>
        </w:rPr>
        <w:instrText xml:space="preserve"> PAGEREF _Toc152088229 \h </w:instrText>
      </w:r>
      <w:r w:rsidR="00752B0C">
        <w:rPr>
          <w:noProof/>
        </w:rPr>
      </w:r>
      <w:r w:rsidR="00752B0C">
        <w:rPr>
          <w:noProof/>
        </w:rPr>
        <w:fldChar w:fldCharType="separate"/>
      </w:r>
      <w:r w:rsidR="00752B0C">
        <w:rPr>
          <w:noProof/>
        </w:rPr>
        <w:t>iii</w:t>
      </w:r>
      <w:r w:rsidR="00752B0C">
        <w:rPr>
          <w:noProof/>
        </w:rPr>
        <w:fldChar w:fldCharType="end"/>
      </w:r>
    </w:p>
    <w:p w14:paraId="5B9B1637" w14:textId="05F0C33B" w:rsidR="00752B0C" w:rsidRPr="00752B0C" w:rsidRDefault="00752B0C">
      <w:pPr>
        <w:pStyle w:val="TOC1"/>
        <w:rPr>
          <w:rFonts w:asciiTheme="minorHAnsi" w:eastAsiaTheme="minorEastAsia" w:hAnsiTheme="minorHAnsi" w:cstheme="minorBidi"/>
          <w:noProof/>
          <w:sz w:val="22"/>
          <w:szCs w:val="22"/>
          <w:lang w:eastAsia="es-MX"/>
        </w:rPr>
      </w:pPr>
      <w:r>
        <w:rPr>
          <w:noProof/>
        </w:rPr>
        <w:t>Figures and Tables</w:t>
      </w:r>
      <w:r>
        <w:rPr>
          <w:noProof/>
        </w:rPr>
        <w:tab/>
      </w:r>
      <w:r>
        <w:rPr>
          <w:noProof/>
        </w:rPr>
        <w:fldChar w:fldCharType="begin"/>
      </w:r>
      <w:r>
        <w:rPr>
          <w:noProof/>
        </w:rPr>
        <w:instrText xml:space="preserve"> PAGEREF _Toc152088230 \h </w:instrText>
      </w:r>
      <w:r>
        <w:rPr>
          <w:noProof/>
        </w:rPr>
      </w:r>
      <w:r>
        <w:rPr>
          <w:noProof/>
        </w:rPr>
        <w:fldChar w:fldCharType="separate"/>
      </w:r>
      <w:r>
        <w:rPr>
          <w:noProof/>
        </w:rPr>
        <w:t>vi</w:t>
      </w:r>
      <w:r>
        <w:rPr>
          <w:noProof/>
        </w:rPr>
        <w:fldChar w:fldCharType="end"/>
      </w:r>
    </w:p>
    <w:p w14:paraId="67B01119" w14:textId="763FD272" w:rsidR="00752B0C" w:rsidRPr="00752B0C" w:rsidRDefault="00752B0C">
      <w:pPr>
        <w:pStyle w:val="TOC2"/>
        <w:rPr>
          <w:rFonts w:asciiTheme="minorHAnsi" w:eastAsiaTheme="minorEastAsia" w:hAnsiTheme="minorHAnsi" w:cstheme="minorBidi"/>
          <w:noProof/>
          <w:szCs w:val="22"/>
          <w:lang w:eastAsia="es-MX"/>
        </w:rPr>
      </w:pPr>
      <w:r>
        <w:rPr>
          <w:noProof/>
        </w:rPr>
        <w:t>Figures</w:t>
      </w:r>
      <w:r>
        <w:rPr>
          <w:noProof/>
        </w:rPr>
        <w:tab/>
      </w:r>
      <w:r>
        <w:rPr>
          <w:noProof/>
        </w:rPr>
        <w:fldChar w:fldCharType="begin"/>
      </w:r>
      <w:r>
        <w:rPr>
          <w:noProof/>
        </w:rPr>
        <w:instrText xml:space="preserve"> PAGEREF _Toc152088231 \h </w:instrText>
      </w:r>
      <w:r>
        <w:rPr>
          <w:noProof/>
        </w:rPr>
      </w:r>
      <w:r>
        <w:rPr>
          <w:noProof/>
        </w:rPr>
        <w:fldChar w:fldCharType="separate"/>
      </w:r>
      <w:r>
        <w:rPr>
          <w:noProof/>
        </w:rPr>
        <w:t>vi</w:t>
      </w:r>
      <w:r>
        <w:rPr>
          <w:noProof/>
        </w:rPr>
        <w:fldChar w:fldCharType="end"/>
      </w:r>
    </w:p>
    <w:p w14:paraId="688CD31B" w14:textId="6C2E6A19" w:rsidR="00752B0C" w:rsidRPr="00752B0C" w:rsidRDefault="00752B0C">
      <w:pPr>
        <w:pStyle w:val="TOC2"/>
        <w:rPr>
          <w:rFonts w:asciiTheme="minorHAnsi" w:eastAsiaTheme="minorEastAsia" w:hAnsiTheme="minorHAnsi" w:cstheme="minorBidi"/>
          <w:noProof/>
          <w:szCs w:val="22"/>
          <w:lang w:eastAsia="es-MX"/>
        </w:rPr>
      </w:pPr>
      <w:r>
        <w:rPr>
          <w:noProof/>
        </w:rPr>
        <w:t>Tables</w:t>
      </w:r>
      <w:r>
        <w:rPr>
          <w:noProof/>
        </w:rPr>
        <w:tab/>
      </w:r>
      <w:r>
        <w:rPr>
          <w:noProof/>
        </w:rPr>
        <w:fldChar w:fldCharType="begin"/>
      </w:r>
      <w:r>
        <w:rPr>
          <w:noProof/>
        </w:rPr>
        <w:instrText xml:space="preserve"> PAGEREF _Toc152088232 \h </w:instrText>
      </w:r>
      <w:r>
        <w:rPr>
          <w:noProof/>
        </w:rPr>
      </w:r>
      <w:r>
        <w:rPr>
          <w:noProof/>
        </w:rPr>
        <w:fldChar w:fldCharType="separate"/>
      </w:r>
      <w:r>
        <w:rPr>
          <w:noProof/>
        </w:rPr>
        <w:t>vi</w:t>
      </w:r>
      <w:r>
        <w:rPr>
          <w:noProof/>
        </w:rPr>
        <w:fldChar w:fldCharType="end"/>
      </w:r>
    </w:p>
    <w:p w14:paraId="7D8BA9A4" w14:textId="614B60DF" w:rsidR="00752B0C" w:rsidRPr="00752B0C" w:rsidRDefault="00752B0C">
      <w:pPr>
        <w:pStyle w:val="TOC1"/>
        <w:rPr>
          <w:rFonts w:asciiTheme="minorHAnsi" w:eastAsiaTheme="minorEastAsia" w:hAnsiTheme="minorHAnsi" w:cstheme="minorBidi"/>
          <w:noProof/>
          <w:sz w:val="22"/>
          <w:szCs w:val="22"/>
          <w:lang w:eastAsia="es-MX"/>
        </w:rPr>
      </w:pPr>
      <w:r>
        <w:rPr>
          <w:noProof/>
        </w:rPr>
        <w:t>SiSePuede Analytical Framework</w:t>
      </w:r>
      <w:r>
        <w:rPr>
          <w:noProof/>
        </w:rPr>
        <w:tab/>
      </w:r>
      <w:r>
        <w:rPr>
          <w:noProof/>
        </w:rPr>
        <w:fldChar w:fldCharType="begin"/>
      </w:r>
      <w:r>
        <w:rPr>
          <w:noProof/>
        </w:rPr>
        <w:instrText xml:space="preserve"> PAGEREF _Toc152088233 \h </w:instrText>
      </w:r>
      <w:r>
        <w:rPr>
          <w:noProof/>
        </w:rPr>
      </w:r>
      <w:r>
        <w:rPr>
          <w:noProof/>
        </w:rPr>
        <w:fldChar w:fldCharType="separate"/>
      </w:r>
      <w:r>
        <w:rPr>
          <w:noProof/>
        </w:rPr>
        <w:t>1</w:t>
      </w:r>
      <w:r>
        <w:rPr>
          <w:noProof/>
        </w:rPr>
        <w:fldChar w:fldCharType="end"/>
      </w:r>
    </w:p>
    <w:p w14:paraId="71F7FBED" w14:textId="32AA5913" w:rsidR="00752B0C" w:rsidRPr="00752B0C" w:rsidRDefault="00752B0C">
      <w:pPr>
        <w:pStyle w:val="TOC2"/>
        <w:rPr>
          <w:rFonts w:asciiTheme="minorHAnsi" w:eastAsiaTheme="minorEastAsia" w:hAnsiTheme="minorHAnsi" w:cstheme="minorBidi"/>
          <w:noProof/>
          <w:szCs w:val="22"/>
          <w:lang w:eastAsia="es-MX"/>
        </w:rPr>
      </w:pPr>
      <w:r>
        <w:rPr>
          <w:noProof/>
        </w:rPr>
        <w:t>SiSePuede Calibration</w:t>
      </w:r>
      <w:r>
        <w:rPr>
          <w:noProof/>
        </w:rPr>
        <w:tab/>
      </w:r>
      <w:r>
        <w:rPr>
          <w:noProof/>
        </w:rPr>
        <w:fldChar w:fldCharType="begin"/>
      </w:r>
      <w:r>
        <w:rPr>
          <w:noProof/>
        </w:rPr>
        <w:instrText xml:space="preserve"> PAGEREF _Toc152088234 \h </w:instrText>
      </w:r>
      <w:r>
        <w:rPr>
          <w:noProof/>
        </w:rPr>
      </w:r>
      <w:r>
        <w:rPr>
          <w:noProof/>
        </w:rPr>
        <w:fldChar w:fldCharType="separate"/>
      </w:r>
      <w:r>
        <w:rPr>
          <w:noProof/>
        </w:rPr>
        <w:t>3</w:t>
      </w:r>
      <w:r>
        <w:rPr>
          <w:noProof/>
        </w:rPr>
        <w:fldChar w:fldCharType="end"/>
      </w:r>
    </w:p>
    <w:p w14:paraId="51889CF8" w14:textId="770B9926" w:rsidR="00752B0C" w:rsidRPr="00752B0C" w:rsidRDefault="00752B0C">
      <w:pPr>
        <w:pStyle w:val="TOC2"/>
        <w:rPr>
          <w:rFonts w:asciiTheme="minorHAnsi" w:eastAsiaTheme="minorEastAsia" w:hAnsiTheme="minorHAnsi" w:cstheme="minorBidi"/>
          <w:noProof/>
          <w:szCs w:val="22"/>
          <w:lang w:eastAsia="es-MX"/>
        </w:rPr>
      </w:pPr>
      <w:r>
        <w:rPr>
          <w:noProof/>
        </w:rPr>
        <w:t>Contrast with Other Modeling Approaches</w:t>
      </w:r>
      <w:r>
        <w:rPr>
          <w:noProof/>
        </w:rPr>
        <w:tab/>
      </w:r>
      <w:r>
        <w:rPr>
          <w:noProof/>
        </w:rPr>
        <w:fldChar w:fldCharType="begin"/>
      </w:r>
      <w:r>
        <w:rPr>
          <w:noProof/>
        </w:rPr>
        <w:instrText xml:space="preserve"> PAGEREF _Toc152088235 \h </w:instrText>
      </w:r>
      <w:r>
        <w:rPr>
          <w:noProof/>
        </w:rPr>
      </w:r>
      <w:r>
        <w:rPr>
          <w:noProof/>
        </w:rPr>
        <w:fldChar w:fldCharType="separate"/>
      </w:r>
      <w:r>
        <w:rPr>
          <w:noProof/>
        </w:rPr>
        <w:t>6</w:t>
      </w:r>
      <w:r>
        <w:rPr>
          <w:noProof/>
        </w:rPr>
        <w:fldChar w:fldCharType="end"/>
      </w:r>
    </w:p>
    <w:p w14:paraId="00FAC943" w14:textId="16985CD2" w:rsidR="00752B0C" w:rsidRPr="00752B0C" w:rsidRDefault="00752B0C">
      <w:pPr>
        <w:pStyle w:val="TOC2"/>
        <w:rPr>
          <w:rFonts w:asciiTheme="minorHAnsi" w:eastAsiaTheme="minorEastAsia" w:hAnsiTheme="minorHAnsi" w:cstheme="minorBidi"/>
          <w:noProof/>
          <w:szCs w:val="22"/>
          <w:lang w:eastAsia="es-MX"/>
        </w:rPr>
      </w:pPr>
      <w:r>
        <w:rPr>
          <w:noProof/>
        </w:rPr>
        <w:t>Accessing SiSePuede</w:t>
      </w:r>
      <w:r>
        <w:rPr>
          <w:noProof/>
        </w:rPr>
        <w:tab/>
      </w:r>
      <w:r>
        <w:rPr>
          <w:noProof/>
        </w:rPr>
        <w:fldChar w:fldCharType="begin"/>
      </w:r>
      <w:r>
        <w:rPr>
          <w:noProof/>
        </w:rPr>
        <w:instrText xml:space="preserve"> PAGEREF _Toc152088236 \h </w:instrText>
      </w:r>
      <w:r>
        <w:rPr>
          <w:noProof/>
        </w:rPr>
      </w:r>
      <w:r>
        <w:rPr>
          <w:noProof/>
        </w:rPr>
        <w:fldChar w:fldCharType="separate"/>
      </w:r>
      <w:r>
        <w:rPr>
          <w:noProof/>
        </w:rPr>
        <w:t>8</w:t>
      </w:r>
      <w:r>
        <w:rPr>
          <w:noProof/>
        </w:rPr>
        <w:fldChar w:fldCharType="end"/>
      </w:r>
    </w:p>
    <w:p w14:paraId="3007C9C9" w14:textId="5E2C183E" w:rsidR="00752B0C" w:rsidRPr="00752B0C" w:rsidRDefault="00752B0C">
      <w:pPr>
        <w:pStyle w:val="TOC1"/>
        <w:rPr>
          <w:rFonts w:asciiTheme="minorHAnsi" w:eastAsiaTheme="minorEastAsia" w:hAnsiTheme="minorHAnsi" w:cstheme="minorBidi"/>
          <w:noProof/>
          <w:sz w:val="22"/>
          <w:szCs w:val="22"/>
          <w:lang w:eastAsia="es-MX"/>
        </w:rPr>
      </w:pPr>
      <w:r>
        <w:rPr>
          <w:noProof/>
        </w:rPr>
        <w:t>Appendix A. Agriculture</w:t>
      </w:r>
      <w:r>
        <w:rPr>
          <w:noProof/>
        </w:rPr>
        <w:tab/>
      </w:r>
      <w:r>
        <w:rPr>
          <w:noProof/>
        </w:rPr>
        <w:fldChar w:fldCharType="begin"/>
      </w:r>
      <w:r>
        <w:rPr>
          <w:noProof/>
        </w:rPr>
        <w:instrText xml:space="preserve"> PAGEREF _Toc152088237 \h </w:instrText>
      </w:r>
      <w:r>
        <w:rPr>
          <w:noProof/>
        </w:rPr>
      </w:r>
      <w:r>
        <w:rPr>
          <w:noProof/>
        </w:rPr>
        <w:fldChar w:fldCharType="separate"/>
      </w:r>
      <w:r>
        <w:rPr>
          <w:noProof/>
        </w:rPr>
        <w:t>9</w:t>
      </w:r>
      <w:r>
        <w:rPr>
          <w:noProof/>
        </w:rPr>
        <w:fldChar w:fldCharType="end"/>
      </w:r>
    </w:p>
    <w:p w14:paraId="35D4F193" w14:textId="2017F633" w:rsidR="00752B0C" w:rsidRPr="00752B0C" w:rsidRDefault="00752B0C">
      <w:pPr>
        <w:pStyle w:val="TOC2"/>
        <w:rPr>
          <w:rFonts w:asciiTheme="minorHAnsi" w:eastAsiaTheme="minorEastAsia" w:hAnsiTheme="minorHAnsi" w:cstheme="minorBidi"/>
          <w:noProof/>
          <w:szCs w:val="22"/>
          <w:lang w:eastAsia="es-MX"/>
        </w:rPr>
      </w:pPr>
      <w:r>
        <w:rPr>
          <w:noProof/>
        </w:rPr>
        <w:t>Crops</w:t>
      </w:r>
      <w:r>
        <w:rPr>
          <w:noProof/>
        </w:rPr>
        <w:tab/>
      </w:r>
      <w:r>
        <w:rPr>
          <w:noProof/>
        </w:rPr>
        <w:fldChar w:fldCharType="begin"/>
      </w:r>
      <w:r>
        <w:rPr>
          <w:noProof/>
        </w:rPr>
        <w:instrText xml:space="preserve"> PAGEREF _Toc152088238 \h </w:instrText>
      </w:r>
      <w:r>
        <w:rPr>
          <w:noProof/>
        </w:rPr>
      </w:r>
      <w:r>
        <w:rPr>
          <w:noProof/>
        </w:rPr>
        <w:fldChar w:fldCharType="separate"/>
      </w:r>
      <w:r>
        <w:rPr>
          <w:noProof/>
        </w:rPr>
        <w:t>9</w:t>
      </w:r>
      <w:r>
        <w:rPr>
          <w:noProof/>
        </w:rPr>
        <w:fldChar w:fldCharType="end"/>
      </w:r>
    </w:p>
    <w:p w14:paraId="4544534E" w14:textId="61E2F41A" w:rsidR="00752B0C" w:rsidRPr="00752B0C" w:rsidRDefault="00752B0C">
      <w:pPr>
        <w:pStyle w:val="TOC3"/>
        <w:rPr>
          <w:rFonts w:asciiTheme="minorHAnsi" w:eastAsiaTheme="minorEastAsia" w:hAnsiTheme="minorHAnsi" w:cstheme="minorBidi"/>
          <w:noProof/>
          <w:szCs w:val="22"/>
          <w:lang w:eastAsia="es-MX"/>
        </w:rPr>
      </w:pPr>
      <w:r>
        <w:rPr>
          <w:noProof/>
        </w:rPr>
        <w:t>Crop historical data and projections</w:t>
      </w:r>
      <w:r>
        <w:rPr>
          <w:noProof/>
        </w:rPr>
        <w:tab/>
      </w:r>
      <w:r>
        <w:rPr>
          <w:noProof/>
        </w:rPr>
        <w:fldChar w:fldCharType="begin"/>
      </w:r>
      <w:r>
        <w:rPr>
          <w:noProof/>
        </w:rPr>
        <w:instrText xml:space="preserve"> PAGEREF _Toc152088239 \h </w:instrText>
      </w:r>
      <w:r>
        <w:rPr>
          <w:noProof/>
        </w:rPr>
      </w:r>
      <w:r>
        <w:rPr>
          <w:noProof/>
        </w:rPr>
        <w:fldChar w:fldCharType="separate"/>
      </w:r>
      <w:r>
        <w:rPr>
          <w:noProof/>
        </w:rPr>
        <w:t>9</w:t>
      </w:r>
      <w:r>
        <w:rPr>
          <w:noProof/>
        </w:rPr>
        <w:fldChar w:fldCharType="end"/>
      </w:r>
    </w:p>
    <w:p w14:paraId="693CB0A6" w14:textId="04D05258" w:rsidR="00752B0C" w:rsidRPr="00752B0C" w:rsidRDefault="00752B0C">
      <w:pPr>
        <w:pStyle w:val="TOC3"/>
        <w:rPr>
          <w:rFonts w:asciiTheme="minorHAnsi" w:eastAsiaTheme="minorEastAsia" w:hAnsiTheme="minorHAnsi" w:cstheme="minorBidi"/>
          <w:noProof/>
          <w:szCs w:val="22"/>
          <w:lang w:eastAsia="es-MX"/>
        </w:rPr>
      </w:pPr>
      <w:r>
        <w:rPr>
          <w:noProof/>
        </w:rPr>
        <w:t>Transforming crops</w:t>
      </w:r>
      <w:r>
        <w:rPr>
          <w:noProof/>
        </w:rPr>
        <w:tab/>
      </w:r>
      <w:r>
        <w:rPr>
          <w:noProof/>
        </w:rPr>
        <w:fldChar w:fldCharType="begin"/>
      </w:r>
      <w:r>
        <w:rPr>
          <w:noProof/>
        </w:rPr>
        <w:instrText xml:space="preserve"> PAGEREF _Toc152088240 \h </w:instrText>
      </w:r>
      <w:r>
        <w:rPr>
          <w:noProof/>
        </w:rPr>
      </w:r>
      <w:r>
        <w:rPr>
          <w:noProof/>
        </w:rPr>
        <w:fldChar w:fldCharType="separate"/>
      </w:r>
      <w:r>
        <w:rPr>
          <w:noProof/>
        </w:rPr>
        <w:t>10</w:t>
      </w:r>
      <w:r>
        <w:rPr>
          <w:noProof/>
        </w:rPr>
        <w:fldChar w:fldCharType="end"/>
      </w:r>
    </w:p>
    <w:p w14:paraId="5851BDEC" w14:textId="336BD50C" w:rsidR="00752B0C" w:rsidRPr="00752B0C" w:rsidRDefault="00752B0C">
      <w:pPr>
        <w:pStyle w:val="TOC2"/>
        <w:rPr>
          <w:rFonts w:asciiTheme="minorHAnsi" w:eastAsiaTheme="minorEastAsia" w:hAnsiTheme="minorHAnsi" w:cstheme="minorBidi"/>
          <w:noProof/>
          <w:szCs w:val="22"/>
          <w:lang w:eastAsia="es-MX"/>
        </w:rPr>
      </w:pPr>
      <w:r>
        <w:rPr>
          <w:noProof/>
        </w:rPr>
        <w:t>Livestock</w:t>
      </w:r>
      <w:r>
        <w:rPr>
          <w:noProof/>
        </w:rPr>
        <w:tab/>
      </w:r>
      <w:r>
        <w:rPr>
          <w:noProof/>
        </w:rPr>
        <w:fldChar w:fldCharType="begin"/>
      </w:r>
      <w:r>
        <w:rPr>
          <w:noProof/>
        </w:rPr>
        <w:instrText xml:space="preserve"> PAGEREF _Toc152088241 \h </w:instrText>
      </w:r>
      <w:r>
        <w:rPr>
          <w:noProof/>
        </w:rPr>
      </w:r>
      <w:r>
        <w:rPr>
          <w:noProof/>
        </w:rPr>
        <w:fldChar w:fldCharType="separate"/>
      </w:r>
      <w:r>
        <w:rPr>
          <w:noProof/>
        </w:rPr>
        <w:t>12</w:t>
      </w:r>
      <w:r>
        <w:rPr>
          <w:noProof/>
        </w:rPr>
        <w:fldChar w:fldCharType="end"/>
      </w:r>
    </w:p>
    <w:p w14:paraId="52EFFCF8" w14:textId="701BDC24" w:rsidR="00752B0C" w:rsidRPr="00752B0C" w:rsidRDefault="00752B0C">
      <w:pPr>
        <w:pStyle w:val="TOC3"/>
        <w:rPr>
          <w:rFonts w:asciiTheme="minorHAnsi" w:eastAsiaTheme="minorEastAsia" w:hAnsiTheme="minorHAnsi" w:cstheme="minorBidi"/>
          <w:noProof/>
          <w:szCs w:val="22"/>
          <w:lang w:eastAsia="es-MX"/>
        </w:rPr>
      </w:pPr>
      <w:r>
        <w:rPr>
          <w:noProof/>
        </w:rPr>
        <w:t>Livestock historical data and projections</w:t>
      </w:r>
      <w:r>
        <w:rPr>
          <w:noProof/>
        </w:rPr>
        <w:tab/>
      </w:r>
      <w:r>
        <w:rPr>
          <w:noProof/>
        </w:rPr>
        <w:fldChar w:fldCharType="begin"/>
      </w:r>
      <w:r>
        <w:rPr>
          <w:noProof/>
        </w:rPr>
        <w:instrText xml:space="preserve"> PAGEREF _Toc152088242 \h </w:instrText>
      </w:r>
      <w:r>
        <w:rPr>
          <w:noProof/>
        </w:rPr>
      </w:r>
      <w:r>
        <w:rPr>
          <w:noProof/>
        </w:rPr>
        <w:fldChar w:fldCharType="separate"/>
      </w:r>
      <w:r>
        <w:rPr>
          <w:noProof/>
        </w:rPr>
        <w:t>12</w:t>
      </w:r>
      <w:r>
        <w:rPr>
          <w:noProof/>
        </w:rPr>
        <w:fldChar w:fldCharType="end"/>
      </w:r>
    </w:p>
    <w:p w14:paraId="5BC8A80F" w14:textId="77EEC6A1" w:rsidR="00752B0C" w:rsidRPr="00752B0C" w:rsidRDefault="00752B0C">
      <w:pPr>
        <w:pStyle w:val="TOC3"/>
        <w:rPr>
          <w:rFonts w:asciiTheme="minorHAnsi" w:eastAsiaTheme="minorEastAsia" w:hAnsiTheme="minorHAnsi" w:cstheme="minorBidi"/>
          <w:noProof/>
          <w:szCs w:val="22"/>
          <w:lang w:eastAsia="es-MX"/>
        </w:rPr>
      </w:pPr>
      <w:r>
        <w:rPr>
          <w:noProof/>
        </w:rPr>
        <w:t>Transforming livestock</w:t>
      </w:r>
      <w:r>
        <w:rPr>
          <w:noProof/>
        </w:rPr>
        <w:tab/>
      </w:r>
      <w:r>
        <w:rPr>
          <w:noProof/>
        </w:rPr>
        <w:fldChar w:fldCharType="begin"/>
      </w:r>
      <w:r>
        <w:rPr>
          <w:noProof/>
        </w:rPr>
        <w:instrText xml:space="preserve"> PAGEREF _Toc152088243 \h </w:instrText>
      </w:r>
      <w:r>
        <w:rPr>
          <w:noProof/>
        </w:rPr>
      </w:r>
      <w:r>
        <w:rPr>
          <w:noProof/>
        </w:rPr>
        <w:fldChar w:fldCharType="separate"/>
      </w:r>
      <w:r>
        <w:rPr>
          <w:noProof/>
        </w:rPr>
        <w:t>13</w:t>
      </w:r>
      <w:r>
        <w:rPr>
          <w:noProof/>
        </w:rPr>
        <w:fldChar w:fldCharType="end"/>
      </w:r>
    </w:p>
    <w:p w14:paraId="3BE42BDB" w14:textId="1C8F3E00" w:rsidR="00752B0C" w:rsidRPr="00752B0C" w:rsidRDefault="00752B0C">
      <w:pPr>
        <w:pStyle w:val="TOC2"/>
        <w:rPr>
          <w:rFonts w:asciiTheme="minorHAnsi" w:eastAsiaTheme="minorEastAsia" w:hAnsiTheme="minorHAnsi" w:cstheme="minorBidi"/>
          <w:noProof/>
          <w:szCs w:val="22"/>
          <w:lang w:eastAsia="es-MX"/>
        </w:rPr>
      </w:pPr>
      <w:r>
        <w:rPr>
          <w:noProof/>
        </w:rPr>
        <w:t>Crosscutting Agriculture Supply-and-Demand Transformations</w:t>
      </w:r>
      <w:r>
        <w:rPr>
          <w:noProof/>
        </w:rPr>
        <w:tab/>
      </w:r>
      <w:r>
        <w:rPr>
          <w:noProof/>
        </w:rPr>
        <w:fldChar w:fldCharType="begin"/>
      </w:r>
      <w:r>
        <w:rPr>
          <w:noProof/>
        </w:rPr>
        <w:instrText xml:space="preserve"> PAGEREF _Toc152088244 \h </w:instrText>
      </w:r>
      <w:r>
        <w:rPr>
          <w:noProof/>
        </w:rPr>
      </w:r>
      <w:r>
        <w:rPr>
          <w:noProof/>
        </w:rPr>
        <w:fldChar w:fldCharType="separate"/>
      </w:r>
      <w:r>
        <w:rPr>
          <w:noProof/>
        </w:rPr>
        <w:t>14</w:t>
      </w:r>
      <w:r>
        <w:rPr>
          <w:noProof/>
        </w:rPr>
        <w:fldChar w:fldCharType="end"/>
      </w:r>
    </w:p>
    <w:p w14:paraId="3B733352" w14:textId="7B09EBC5" w:rsidR="00752B0C" w:rsidRPr="00752B0C" w:rsidRDefault="00752B0C">
      <w:pPr>
        <w:pStyle w:val="TOC1"/>
        <w:rPr>
          <w:rFonts w:asciiTheme="minorHAnsi" w:eastAsiaTheme="minorEastAsia" w:hAnsiTheme="minorHAnsi" w:cstheme="minorBidi"/>
          <w:noProof/>
          <w:sz w:val="22"/>
          <w:szCs w:val="22"/>
          <w:lang w:eastAsia="es-MX"/>
        </w:rPr>
      </w:pPr>
      <w:r>
        <w:rPr>
          <w:noProof/>
        </w:rPr>
        <w:t>Appendix B. Forests and Land Use</w:t>
      </w:r>
      <w:r>
        <w:rPr>
          <w:noProof/>
        </w:rPr>
        <w:tab/>
      </w:r>
      <w:r>
        <w:rPr>
          <w:noProof/>
        </w:rPr>
        <w:fldChar w:fldCharType="begin"/>
      </w:r>
      <w:r>
        <w:rPr>
          <w:noProof/>
        </w:rPr>
        <w:instrText xml:space="preserve"> PAGEREF _Toc152088245 \h </w:instrText>
      </w:r>
      <w:r>
        <w:rPr>
          <w:noProof/>
        </w:rPr>
      </w:r>
      <w:r>
        <w:rPr>
          <w:noProof/>
        </w:rPr>
        <w:fldChar w:fldCharType="separate"/>
      </w:r>
      <w:r>
        <w:rPr>
          <w:noProof/>
        </w:rPr>
        <w:t>17</w:t>
      </w:r>
      <w:r>
        <w:rPr>
          <w:noProof/>
        </w:rPr>
        <w:fldChar w:fldCharType="end"/>
      </w:r>
    </w:p>
    <w:p w14:paraId="4D84A48F" w14:textId="7430FBB6" w:rsidR="00752B0C" w:rsidRPr="00752B0C" w:rsidRDefault="00752B0C">
      <w:pPr>
        <w:pStyle w:val="TOC2"/>
        <w:rPr>
          <w:rFonts w:asciiTheme="minorHAnsi" w:eastAsiaTheme="minorEastAsia" w:hAnsiTheme="minorHAnsi" w:cstheme="minorBidi"/>
          <w:noProof/>
          <w:szCs w:val="22"/>
          <w:lang w:eastAsia="es-MX"/>
        </w:rPr>
      </w:pPr>
      <w:r>
        <w:rPr>
          <w:noProof/>
        </w:rPr>
        <w:t>Land-Use Historical Data and Projections</w:t>
      </w:r>
      <w:r>
        <w:rPr>
          <w:noProof/>
        </w:rPr>
        <w:tab/>
      </w:r>
      <w:r>
        <w:rPr>
          <w:noProof/>
        </w:rPr>
        <w:fldChar w:fldCharType="begin"/>
      </w:r>
      <w:r>
        <w:rPr>
          <w:noProof/>
        </w:rPr>
        <w:instrText xml:space="preserve"> PAGEREF _Toc152088246 \h </w:instrText>
      </w:r>
      <w:r>
        <w:rPr>
          <w:noProof/>
        </w:rPr>
      </w:r>
      <w:r>
        <w:rPr>
          <w:noProof/>
        </w:rPr>
        <w:fldChar w:fldCharType="separate"/>
      </w:r>
      <w:r>
        <w:rPr>
          <w:noProof/>
        </w:rPr>
        <w:t>17</w:t>
      </w:r>
      <w:r>
        <w:rPr>
          <w:noProof/>
        </w:rPr>
        <w:fldChar w:fldCharType="end"/>
      </w:r>
    </w:p>
    <w:p w14:paraId="74A9DEA2" w14:textId="38D79436" w:rsidR="00752B0C" w:rsidRPr="00752B0C" w:rsidRDefault="00752B0C">
      <w:pPr>
        <w:pStyle w:val="TOC2"/>
        <w:rPr>
          <w:rFonts w:asciiTheme="minorHAnsi" w:eastAsiaTheme="minorEastAsia" w:hAnsiTheme="minorHAnsi" w:cstheme="minorBidi"/>
          <w:noProof/>
          <w:szCs w:val="22"/>
          <w:lang w:eastAsia="es-MX"/>
        </w:rPr>
      </w:pPr>
      <w:r>
        <w:rPr>
          <w:noProof/>
        </w:rPr>
        <w:t>Forests and Land-Use Transformations</w:t>
      </w:r>
      <w:r>
        <w:rPr>
          <w:noProof/>
        </w:rPr>
        <w:tab/>
      </w:r>
      <w:r>
        <w:rPr>
          <w:noProof/>
        </w:rPr>
        <w:fldChar w:fldCharType="begin"/>
      </w:r>
      <w:r>
        <w:rPr>
          <w:noProof/>
        </w:rPr>
        <w:instrText xml:space="preserve"> PAGEREF _Toc152088247 \h </w:instrText>
      </w:r>
      <w:r>
        <w:rPr>
          <w:noProof/>
        </w:rPr>
      </w:r>
      <w:r>
        <w:rPr>
          <w:noProof/>
        </w:rPr>
        <w:fldChar w:fldCharType="separate"/>
      </w:r>
      <w:r>
        <w:rPr>
          <w:noProof/>
        </w:rPr>
        <w:t>18</w:t>
      </w:r>
      <w:r>
        <w:rPr>
          <w:noProof/>
        </w:rPr>
        <w:fldChar w:fldCharType="end"/>
      </w:r>
    </w:p>
    <w:p w14:paraId="33CEE124" w14:textId="718C6229" w:rsidR="00752B0C" w:rsidRPr="00752B0C" w:rsidRDefault="00752B0C">
      <w:pPr>
        <w:pStyle w:val="TOC1"/>
        <w:rPr>
          <w:rFonts w:asciiTheme="minorHAnsi" w:eastAsiaTheme="minorEastAsia" w:hAnsiTheme="minorHAnsi" w:cstheme="minorBidi"/>
          <w:noProof/>
          <w:sz w:val="22"/>
          <w:szCs w:val="22"/>
          <w:lang w:eastAsia="es-MX"/>
        </w:rPr>
      </w:pPr>
      <w:r w:rsidRPr="00646D6B">
        <w:rPr>
          <w:rFonts w:eastAsia="Arial" w:cs="Arial"/>
          <w:noProof/>
        </w:rPr>
        <w:t>Appendix C. Industry</w:t>
      </w:r>
      <w:r>
        <w:rPr>
          <w:noProof/>
        </w:rPr>
        <w:tab/>
      </w:r>
      <w:r>
        <w:rPr>
          <w:noProof/>
        </w:rPr>
        <w:fldChar w:fldCharType="begin"/>
      </w:r>
      <w:r>
        <w:rPr>
          <w:noProof/>
        </w:rPr>
        <w:instrText xml:space="preserve"> PAGEREF _Toc152088248 \h </w:instrText>
      </w:r>
      <w:r>
        <w:rPr>
          <w:noProof/>
        </w:rPr>
      </w:r>
      <w:r>
        <w:rPr>
          <w:noProof/>
        </w:rPr>
        <w:fldChar w:fldCharType="separate"/>
      </w:r>
      <w:r>
        <w:rPr>
          <w:noProof/>
        </w:rPr>
        <w:t>21</w:t>
      </w:r>
      <w:r>
        <w:rPr>
          <w:noProof/>
        </w:rPr>
        <w:fldChar w:fldCharType="end"/>
      </w:r>
    </w:p>
    <w:p w14:paraId="229FF853" w14:textId="1B7830A3" w:rsidR="00752B0C" w:rsidRPr="00752B0C" w:rsidRDefault="00752B0C">
      <w:pPr>
        <w:pStyle w:val="TOC2"/>
        <w:rPr>
          <w:rFonts w:asciiTheme="minorHAnsi" w:eastAsiaTheme="minorEastAsia" w:hAnsiTheme="minorHAnsi" w:cstheme="minorBidi"/>
          <w:noProof/>
          <w:szCs w:val="22"/>
          <w:lang w:eastAsia="es-MX"/>
        </w:rPr>
      </w:pPr>
      <w:r>
        <w:rPr>
          <w:noProof/>
        </w:rPr>
        <w:t>Industry Historical Data and Projections</w:t>
      </w:r>
      <w:r>
        <w:rPr>
          <w:noProof/>
        </w:rPr>
        <w:tab/>
      </w:r>
      <w:r>
        <w:rPr>
          <w:noProof/>
        </w:rPr>
        <w:fldChar w:fldCharType="begin"/>
      </w:r>
      <w:r>
        <w:rPr>
          <w:noProof/>
        </w:rPr>
        <w:instrText xml:space="preserve"> PAGEREF _Toc152088249 \h </w:instrText>
      </w:r>
      <w:r>
        <w:rPr>
          <w:noProof/>
        </w:rPr>
      </w:r>
      <w:r>
        <w:rPr>
          <w:noProof/>
        </w:rPr>
        <w:fldChar w:fldCharType="separate"/>
      </w:r>
      <w:r>
        <w:rPr>
          <w:noProof/>
        </w:rPr>
        <w:t>21</w:t>
      </w:r>
      <w:r>
        <w:rPr>
          <w:noProof/>
        </w:rPr>
        <w:fldChar w:fldCharType="end"/>
      </w:r>
    </w:p>
    <w:p w14:paraId="6E063E40" w14:textId="062EC484" w:rsidR="00752B0C" w:rsidRPr="00752B0C" w:rsidRDefault="00752B0C">
      <w:pPr>
        <w:pStyle w:val="TOC2"/>
        <w:rPr>
          <w:rFonts w:asciiTheme="minorHAnsi" w:eastAsiaTheme="minorEastAsia" w:hAnsiTheme="minorHAnsi" w:cstheme="minorBidi"/>
          <w:noProof/>
          <w:szCs w:val="22"/>
          <w:lang w:eastAsia="es-MX"/>
        </w:rPr>
      </w:pPr>
      <w:r>
        <w:rPr>
          <w:noProof/>
        </w:rPr>
        <w:t>Transforming Industry</w:t>
      </w:r>
      <w:r>
        <w:rPr>
          <w:noProof/>
        </w:rPr>
        <w:tab/>
      </w:r>
      <w:r>
        <w:rPr>
          <w:noProof/>
        </w:rPr>
        <w:fldChar w:fldCharType="begin"/>
      </w:r>
      <w:r>
        <w:rPr>
          <w:noProof/>
        </w:rPr>
        <w:instrText xml:space="preserve"> PAGEREF _Toc152088250 \h </w:instrText>
      </w:r>
      <w:r>
        <w:rPr>
          <w:noProof/>
        </w:rPr>
      </w:r>
      <w:r>
        <w:rPr>
          <w:noProof/>
        </w:rPr>
        <w:fldChar w:fldCharType="separate"/>
      </w:r>
      <w:r>
        <w:rPr>
          <w:noProof/>
        </w:rPr>
        <w:t>22</w:t>
      </w:r>
      <w:r>
        <w:rPr>
          <w:noProof/>
        </w:rPr>
        <w:fldChar w:fldCharType="end"/>
      </w:r>
    </w:p>
    <w:p w14:paraId="008EFCA3" w14:textId="4C148177" w:rsidR="00752B0C" w:rsidRPr="00752B0C" w:rsidRDefault="00752B0C">
      <w:pPr>
        <w:pStyle w:val="TOC1"/>
        <w:rPr>
          <w:rFonts w:asciiTheme="minorHAnsi" w:eastAsiaTheme="minorEastAsia" w:hAnsiTheme="minorHAnsi" w:cstheme="minorBidi"/>
          <w:noProof/>
          <w:sz w:val="22"/>
          <w:szCs w:val="22"/>
          <w:lang w:eastAsia="es-MX"/>
        </w:rPr>
      </w:pPr>
      <w:r w:rsidRPr="00646D6B">
        <w:rPr>
          <w:rFonts w:eastAsia="Arial" w:cs="Arial"/>
          <w:noProof/>
        </w:rPr>
        <w:t>Appendix D. Energy Production</w:t>
      </w:r>
      <w:r>
        <w:rPr>
          <w:noProof/>
        </w:rPr>
        <w:tab/>
      </w:r>
      <w:r>
        <w:rPr>
          <w:noProof/>
        </w:rPr>
        <w:fldChar w:fldCharType="begin"/>
      </w:r>
      <w:r>
        <w:rPr>
          <w:noProof/>
        </w:rPr>
        <w:instrText xml:space="preserve"> PAGEREF _Toc152088251 \h </w:instrText>
      </w:r>
      <w:r>
        <w:rPr>
          <w:noProof/>
        </w:rPr>
      </w:r>
      <w:r>
        <w:rPr>
          <w:noProof/>
        </w:rPr>
        <w:fldChar w:fldCharType="separate"/>
      </w:r>
      <w:r>
        <w:rPr>
          <w:noProof/>
        </w:rPr>
        <w:t>26</w:t>
      </w:r>
      <w:r>
        <w:rPr>
          <w:noProof/>
        </w:rPr>
        <w:fldChar w:fldCharType="end"/>
      </w:r>
    </w:p>
    <w:p w14:paraId="087EB589" w14:textId="2A311223" w:rsidR="00752B0C" w:rsidRPr="00752B0C" w:rsidRDefault="00752B0C">
      <w:pPr>
        <w:pStyle w:val="TOC2"/>
        <w:rPr>
          <w:rFonts w:asciiTheme="minorHAnsi" w:eastAsiaTheme="minorEastAsia" w:hAnsiTheme="minorHAnsi" w:cstheme="minorBidi"/>
          <w:noProof/>
          <w:szCs w:val="22"/>
          <w:lang w:eastAsia="es-MX"/>
        </w:rPr>
      </w:pPr>
      <w:r>
        <w:rPr>
          <w:noProof/>
        </w:rPr>
        <w:t>Electricity and Fuel Production Historical Data and Projections</w:t>
      </w:r>
      <w:r>
        <w:rPr>
          <w:noProof/>
        </w:rPr>
        <w:tab/>
      </w:r>
      <w:r>
        <w:rPr>
          <w:noProof/>
        </w:rPr>
        <w:fldChar w:fldCharType="begin"/>
      </w:r>
      <w:r>
        <w:rPr>
          <w:noProof/>
        </w:rPr>
        <w:instrText xml:space="preserve"> PAGEREF _Toc152088252 \h </w:instrText>
      </w:r>
      <w:r>
        <w:rPr>
          <w:noProof/>
        </w:rPr>
      </w:r>
      <w:r>
        <w:rPr>
          <w:noProof/>
        </w:rPr>
        <w:fldChar w:fldCharType="separate"/>
      </w:r>
      <w:r>
        <w:rPr>
          <w:noProof/>
        </w:rPr>
        <w:t>26</w:t>
      </w:r>
      <w:r>
        <w:rPr>
          <w:noProof/>
        </w:rPr>
        <w:fldChar w:fldCharType="end"/>
      </w:r>
    </w:p>
    <w:p w14:paraId="000704B8" w14:textId="23B564F2" w:rsidR="00752B0C" w:rsidRPr="00752B0C" w:rsidRDefault="00752B0C">
      <w:pPr>
        <w:pStyle w:val="TOC2"/>
        <w:rPr>
          <w:rFonts w:asciiTheme="minorHAnsi" w:eastAsiaTheme="minorEastAsia" w:hAnsiTheme="minorHAnsi" w:cstheme="minorBidi"/>
          <w:noProof/>
          <w:szCs w:val="22"/>
          <w:lang w:eastAsia="es-MX"/>
        </w:rPr>
      </w:pPr>
      <w:r>
        <w:rPr>
          <w:noProof/>
        </w:rPr>
        <w:t>Transforming Energy and Fuel Production</w:t>
      </w:r>
      <w:r>
        <w:rPr>
          <w:noProof/>
        </w:rPr>
        <w:tab/>
      </w:r>
      <w:r>
        <w:rPr>
          <w:noProof/>
        </w:rPr>
        <w:fldChar w:fldCharType="begin"/>
      </w:r>
      <w:r>
        <w:rPr>
          <w:noProof/>
        </w:rPr>
        <w:instrText xml:space="preserve"> PAGEREF _Toc152088253 \h </w:instrText>
      </w:r>
      <w:r>
        <w:rPr>
          <w:noProof/>
        </w:rPr>
      </w:r>
      <w:r>
        <w:rPr>
          <w:noProof/>
        </w:rPr>
        <w:fldChar w:fldCharType="separate"/>
      </w:r>
      <w:r>
        <w:rPr>
          <w:noProof/>
        </w:rPr>
        <w:t>27</w:t>
      </w:r>
      <w:r>
        <w:rPr>
          <w:noProof/>
        </w:rPr>
        <w:fldChar w:fldCharType="end"/>
      </w:r>
    </w:p>
    <w:p w14:paraId="284CAB73" w14:textId="7A45203F" w:rsidR="00752B0C" w:rsidRPr="00752B0C" w:rsidRDefault="00752B0C">
      <w:pPr>
        <w:pStyle w:val="TOC1"/>
        <w:rPr>
          <w:rFonts w:asciiTheme="minorHAnsi" w:eastAsiaTheme="minorEastAsia" w:hAnsiTheme="minorHAnsi" w:cstheme="minorBidi"/>
          <w:noProof/>
          <w:sz w:val="22"/>
          <w:szCs w:val="22"/>
          <w:lang w:eastAsia="es-MX"/>
        </w:rPr>
      </w:pPr>
      <w:r>
        <w:rPr>
          <w:noProof/>
        </w:rPr>
        <w:t>Appendix E. Buildings</w:t>
      </w:r>
      <w:r>
        <w:rPr>
          <w:noProof/>
        </w:rPr>
        <w:tab/>
      </w:r>
      <w:r>
        <w:rPr>
          <w:noProof/>
        </w:rPr>
        <w:fldChar w:fldCharType="begin"/>
      </w:r>
      <w:r>
        <w:rPr>
          <w:noProof/>
        </w:rPr>
        <w:instrText xml:space="preserve"> PAGEREF _Toc152088254 \h </w:instrText>
      </w:r>
      <w:r>
        <w:rPr>
          <w:noProof/>
        </w:rPr>
      </w:r>
      <w:r>
        <w:rPr>
          <w:noProof/>
        </w:rPr>
        <w:fldChar w:fldCharType="separate"/>
      </w:r>
      <w:r>
        <w:rPr>
          <w:noProof/>
        </w:rPr>
        <w:t>30</w:t>
      </w:r>
      <w:r>
        <w:rPr>
          <w:noProof/>
        </w:rPr>
        <w:fldChar w:fldCharType="end"/>
      </w:r>
    </w:p>
    <w:p w14:paraId="205A1723" w14:textId="1BF7A43F" w:rsidR="00752B0C" w:rsidRPr="00752B0C" w:rsidRDefault="00752B0C">
      <w:pPr>
        <w:pStyle w:val="TOC2"/>
        <w:rPr>
          <w:rFonts w:asciiTheme="minorHAnsi" w:eastAsiaTheme="minorEastAsia" w:hAnsiTheme="minorHAnsi" w:cstheme="minorBidi"/>
          <w:noProof/>
          <w:szCs w:val="22"/>
          <w:lang w:eastAsia="es-MX"/>
        </w:rPr>
      </w:pPr>
      <w:r>
        <w:rPr>
          <w:noProof/>
        </w:rPr>
        <w:t>Buildings Baseline Data and Projections</w:t>
      </w:r>
      <w:r>
        <w:rPr>
          <w:noProof/>
        </w:rPr>
        <w:tab/>
      </w:r>
      <w:r>
        <w:rPr>
          <w:noProof/>
        </w:rPr>
        <w:fldChar w:fldCharType="begin"/>
      </w:r>
      <w:r>
        <w:rPr>
          <w:noProof/>
        </w:rPr>
        <w:instrText xml:space="preserve"> PAGEREF _Toc152088255 \h </w:instrText>
      </w:r>
      <w:r>
        <w:rPr>
          <w:noProof/>
        </w:rPr>
      </w:r>
      <w:r>
        <w:rPr>
          <w:noProof/>
        </w:rPr>
        <w:fldChar w:fldCharType="separate"/>
      </w:r>
      <w:r>
        <w:rPr>
          <w:noProof/>
        </w:rPr>
        <w:t>30</w:t>
      </w:r>
      <w:r>
        <w:rPr>
          <w:noProof/>
        </w:rPr>
        <w:fldChar w:fldCharType="end"/>
      </w:r>
    </w:p>
    <w:p w14:paraId="3B365399" w14:textId="5A2A310D" w:rsidR="00752B0C" w:rsidRPr="00752B0C" w:rsidRDefault="00752B0C">
      <w:pPr>
        <w:pStyle w:val="TOC2"/>
        <w:rPr>
          <w:rFonts w:asciiTheme="minorHAnsi" w:eastAsiaTheme="minorEastAsia" w:hAnsiTheme="minorHAnsi" w:cstheme="minorBidi"/>
          <w:noProof/>
          <w:szCs w:val="22"/>
          <w:lang w:eastAsia="es-MX"/>
        </w:rPr>
      </w:pPr>
      <w:r>
        <w:rPr>
          <w:noProof/>
        </w:rPr>
        <w:t>Transforming Buildings</w:t>
      </w:r>
      <w:r>
        <w:rPr>
          <w:noProof/>
        </w:rPr>
        <w:tab/>
      </w:r>
      <w:r>
        <w:rPr>
          <w:noProof/>
        </w:rPr>
        <w:fldChar w:fldCharType="begin"/>
      </w:r>
      <w:r>
        <w:rPr>
          <w:noProof/>
        </w:rPr>
        <w:instrText xml:space="preserve"> PAGEREF _Toc152088256 \h </w:instrText>
      </w:r>
      <w:r>
        <w:rPr>
          <w:noProof/>
        </w:rPr>
      </w:r>
      <w:r>
        <w:rPr>
          <w:noProof/>
        </w:rPr>
        <w:fldChar w:fldCharType="separate"/>
      </w:r>
      <w:r>
        <w:rPr>
          <w:noProof/>
        </w:rPr>
        <w:t>31</w:t>
      </w:r>
      <w:r>
        <w:rPr>
          <w:noProof/>
        </w:rPr>
        <w:fldChar w:fldCharType="end"/>
      </w:r>
    </w:p>
    <w:p w14:paraId="2E31E76B" w14:textId="202874AF" w:rsidR="00752B0C" w:rsidRPr="00752B0C" w:rsidRDefault="00752B0C">
      <w:pPr>
        <w:pStyle w:val="TOC1"/>
        <w:rPr>
          <w:rFonts w:asciiTheme="minorHAnsi" w:eastAsiaTheme="minorEastAsia" w:hAnsiTheme="minorHAnsi" w:cstheme="minorBidi"/>
          <w:noProof/>
          <w:sz w:val="22"/>
          <w:szCs w:val="22"/>
          <w:lang w:eastAsia="es-MX"/>
        </w:rPr>
      </w:pPr>
      <w:r>
        <w:rPr>
          <w:noProof/>
        </w:rPr>
        <w:t>Appendix F. Transport</w:t>
      </w:r>
      <w:r>
        <w:rPr>
          <w:noProof/>
        </w:rPr>
        <w:tab/>
      </w:r>
      <w:r>
        <w:rPr>
          <w:noProof/>
        </w:rPr>
        <w:fldChar w:fldCharType="begin"/>
      </w:r>
      <w:r>
        <w:rPr>
          <w:noProof/>
        </w:rPr>
        <w:instrText xml:space="preserve"> PAGEREF _Toc152088257 \h </w:instrText>
      </w:r>
      <w:r>
        <w:rPr>
          <w:noProof/>
        </w:rPr>
      </w:r>
      <w:r>
        <w:rPr>
          <w:noProof/>
        </w:rPr>
        <w:fldChar w:fldCharType="separate"/>
      </w:r>
      <w:r>
        <w:rPr>
          <w:noProof/>
        </w:rPr>
        <w:t>33</w:t>
      </w:r>
      <w:r>
        <w:rPr>
          <w:noProof/>
        </w:rPr>
        <w:fldChar w:fldCharType="end"/>
      </w:r>
    </w:p>
    <w:p w14:paraId="4B87B2F6" w14:textId="5AEEF8B7" w:rsidR="00752B0C" w:rsidRPr="00752B0C" w:rsidRDefault="00752B0C">
      <w:pPr>
        <w:pStyle w:val="TOC2"/>
        <w:rPr>
          <w:rFonts w:asciiTheme="minorHAnsi" w:eastAsiaTheme="minorEastAsia" w:hAnsiTheme="minorHAnsi" w:cstheme="minorBidi"/>
          <w:noProof/>
          <w:szCs w:val="22"/>
          <w:lang w:eastAsia="es-MX"/>
        </w:rPr>
      </w:pPr>
      <w:r>
        <w:rPr>
          <w:noProof/>
        </w:rPr>
        <w:t>Modeling Transportation Emissions</w:t>
      </w:r>
      <w:r>
        <w:rPr>
          <w:noProof/>
        </w:rPr>
        <w:tab/>
      </w:r>
      <w:r>
        <w:rPr>
          <w:noProof/>
        </w:rPr>
        <w:fldChar w:fldCharType="begin"/>
      </w:r>
      <w:r>
        <w:rPr>
          <w:noProof/>
        </w:rPr>
        <w:instrText xml:space="preserve"> PAGEREF _Toc152088258 \h </w:instrText>
      </w:r>
      <w:r>
        <w:rPr>
          <w:noProof/>
        </w:rPr>
      </w:r>
      <w:r>
        <w:rPr>
          <w:noProof/>
        </w:rPr>
        <w:fldChar w:fldCharType="separate"/>
      </w:r>
      <w:r>
        <w:rPr>
          <w:noProof/>
        </w:rPr>
        <w:t>33</w:t>
      </w:r>
      <w:r>
        <w:rPr>
          <w:noProof/>
        </w:rPr>
        <w:fldChar w:fldCharType="end"/>
      </w:r>
    </w:p>
    <w:p w14:paraId="2FE95EF6" w14:textId="6D08103C" w:rsidR="00752B0C" w:rsidRPr="00752B0C" w:rsidRDefault="00752B0C">
      <w:pPr>
        <w:pStyle w:val="TOC3"/>
        <w:rPr>
          <w:rFonts w:asciiTheme="minorHAnsi" w:eastAsiaTheme="minorEastAsia" w:hAnsiTheme="minorHAnsi" w:cstheme="minorBidi"/>
          <w:noProof/>
          <w:szCs w:val="22"/>
          <w:lang w:eastAsia="es-MX"/>
        </w:rPr>
      </w:pPr>
      <w:r>
        <w:rPr>
          <w:noProof/>
        </w:rPr>
        <w:t>Defining transportation transformations</w:t>
      </w:r>
      <w:r>
        <w:rPr>
          <w:noProof/>
        </w:rPr>
        <w:tab/>
      </w:r>
      <w:r>
        <w:rPr>
          <w:noProof/>
        </w:rPr>
        <w:fldChar w:fldCharType="begin"/>
      </w:r>
      <w:r>
        <w:rPr>
          <w:noProof/>
        </w:rPr>
        <w:instrText xml:space="preserve"> PAGEREF _Toc152088259 \h </w:instrText>
      </w:r>
      <w:r>
        <w:rPr>
          <w:noProof/>
        </w:rPr>
      </w:r>
      <w:r>
        <w:rPr>
          <w:noProof/>
        </w:rPr>
        <w:fldChar w:fldCharType="separate"/>
      </w:r>
      <w:r>
        <w:rPr>
          <w:noProof/>
        </w:rPr>
        <w:t>35</w:t>
      </w:r>
      <w:r>
        <w:rPr>
          <w:noProof/>
        </w:rPr>
        <w:fldChar w:fldCharType="end"/>
      </w:r>
    </w:p>
    <w:p w14:paraId="26ECC3CF" w14:textId="7E842C67" w:rsidR="00752B0C" w:rsidRPr="00752B0C" w:rsidRDefault="00752B0C">
      <w:pPr>
        <w:pStyle w:val="TOC1"/>
        <w:rPr>
          <w:rFonts w:asciiTheme="minorHAnsi" w:eastAsiaTheme="minorEastAsia" w:hAnsiTheme="minorHAnsi" w:cstheme="minorBidi"/>
          <w:noProof/>
          <w:sz w:val="22"/>
          <w:szCs w:val="22"/>
          <w:lang w:eastAsia="es-MX"/>
        </w:rPr>
      </w:pPr>
      <w:r>
        <w:rPr>
          <w:noProof/>
        </w:rPr>
        <w:t>Appendix G. Waste</w:t>
      </w:r>
      <w:r>
        <w:rPr>
          <w:noProof/>
        </w:rPr>
        <w:tab/>
      </w:r>
      <w:r>
        <w:rPr>
          <w:noProof/>
        </w:rPr>
        <w:fldChar w:fldCharType="begin"/>
      </w:r>
      <w:r>
        <w:rPr>
          <w:noProof/>
        </w:rPr>
        <w:instrText xml:space="preserve"> PAGEREF _Toc152088260 \h </w:instrText>
      </w:r>
      <w:r>
        <w:rPr>
          <w:noProof/>
        </w:rPr>
      </w:r>
      <w:r>
        <w:rPr>
          <w:noProof/>
        </w:rPr>
        <w:fldChar w:fldCharType="separate"/>
      </w:r>
      <w:r>
        <w:rPr>
          <w:noProof/>
        </w:rPr>
        <w:t>40</w:t>
      </w:r>
      <w:r>
        <w:rPr>
          <w:noProof/>
        </w:rPr>
        <w:fldChar w:fldCharType="end"/>
      </w:r>
    </w:p>
    <w:p w14:paraId="642097C4" w14:textId="1B00EB8D" w:rsidR="00752B0C" w:rsidRPr="00752B0C" w:rsidRDefault="00752B0C">
      <w:pPr>
        <w:pStyle w:val="TOC2"/>
        <w:rPr>
          <w:rFonts w:asciiTheme="minorHAnsi" w:eastAsiaTheme="minorEastAsia" w:hAnsiTheme="minorHAnsi" w:cstheme="minorBidi"/>
          <w:noProof/>
          <w:szCs w:val="22"/>
          <w:lang w:eastAsia="es-MX"/>
        </w:rPr>
      </w:pPr>
      <w:r>
        <w:rPr>
          <w:noProof/>
        </w:rPr>
        <w:t>Wastewater</w:t>
      </w:r>
      <w:r>
        <w:rPr>
          <w:noProof/>
        </w:rPr>
        <w:tab/>
      </w:r>
      <w:r>
        <w:rPr>
          <w:noProof/>
        </w:rPr>
        <w:fldChar w:fldCharType="begin"/>
      </w:r>
      <w:r>
        <w:rPr>
          <w:noProof/>
        </w:rPr>
        <w:instrText xml:space="preserve"> PAGEREF _Toc152088261 \h </w:instrText>
      </w:r>
      <w:r>
        <w:rPr>
          <w:noProof/>
        </w:rPr>
      </w:r>
      <w:r>
        <w:rPr>
          <w:noProof/>
        </w:rPr>
        <w:fldChar w:fldCharType="separate"/>
      </w:r>
      <w:r>
        <w:rPr>
          <w:noProof/>
        </w:rPr>
        <w:t>40</w:t>
      </w:r>
      <w:r>
        <w:rPr>
          <w:noProof/>
        </w:rPr>
        <w:fldChar w:fldCharType="end"/>
      </w:r>
    </w:p>
    <w:p w14:paraId="516B238D" w14:textId="6CB10A3B" w:rsidR="00752B0C" w:rsidRPr="00752B0C" w:rsidRDefault="00752B0C">
      <w:pPr>
        <w:pStyle w:val="TOC3"/>
        <w:rPr>
          <w:rFonts w:asciiTheme="minorHAnsi" w:eastAsiaTheme="minorEastAsia" w:hAnsiTheme="minorHAnsi" w:cstheme="minorBidi"/>
          <w:noProof/>
          <w:szCs w:val="22"/>
          <w:lang w:eastAsia="es-MX"/>
        </w:rPr>
      </w:pPr>
      <w:r>
        <w:rPr>
          <w:noProof/>
        </w:rPr>
        <w:t>Wastewater historical data and projections</w:t>
      </w:r>
      <w:r>
        <w:rPr>
          <w:noProof/>
        </w:rPr>
        <w:tab/>
      </w:r>
      <w:r>
        <w:rPr>
          <w:noProof/>
        </w:rPr>
        <w:fldChar w:fldCharType="begin"/>
      </w:r>
      <w:r>
        <w:rPr>
          <w:noProof/>
        </w:rPr>
        <w:instrText xml:space="preserve"> PAGEREF _Toc152088262 \h </w:instrText>
      </w:r>
      <w:r>
        <w:rPr>
          <w:noProof/>
        </w:rPr>
      </w:r>
      <w:r>
        <w:rPr>
          <w:noProof/>
        </w:rPr>
        <w:fldChar w:fldCharType="separate"/>
      </w:r>
      <w:r>
        <w:rPr>
          <w:noProof/>
        </w:rPr>
        <w:t>41</w:t>
      </w:r>
      <w:r>
        <w:rPr>
          <w:noProof/>
        </w:rPr>
        <w:fldChar w:fldCharType="end"/>
      </w:r>
    </w:p>
    <w:p w14:paraId="163FC0E6" w14:textId="132039DD" w:rsidR="00752B0C" w:rsidRPr="00752B0C" w:rsidRDefault="00752B0C">
      <w:pPr>
        <w:pStyle w:val="TOC3"/>
        <w:rPr>
          <w:rFonts w:asciiTheme="minorHAnsi" w:eastAsiaTheme="minorEastAsia" w:hAnsiTheme="minorHAnsi" w:cstheme="minorBidi"/>
          <w:noProof/>
          <w:szCs w:val="22"/>
          <w:lang w:eastAsia="es-MX"/>
        </w:rPr>
      </w:pPr>
      <w:r>
        <w:rPr>
          <w:noProof/>
        </w:rPr>
        <w:t>Transforming wastewater</w:t>
      </w:r>
      <w:r>
        <w:rPr>
          <w:noProof/>
        </w:rPr>
        <w:tab/>
      </w:r>
      <w:r>
        <w:rPr>
          <w:noProof/>
        </w:rPr>
        <w:fldChar w:fldCharType="begin"/>
      </w:r>
      <w:r>
        <w:rPr>
          <w:noProof/>
        </w:rPr>
        <w:instrText xml:space="preserve"> PAGEREF _Toc152088263 \h </w:instrText>
      </w:r>
      <w:r>
        <w:rPr>
          <w:noProof/>
        </w:rPr>
      </w:r>
      <w:r>
        <w:rPr>
          <w:noProof/>
        </w:rPr>
        <w:fldChar w:fldCharType="separate"/>
      </w:r>
      <w:r>
        <w:rPr>
          <w:noProof/>
        </w:rPr>
        <w:t>42</w:t>
      </w:r>
      <w:r>
        <w:rPr>
          <w:noProof/>
        </w:rPr>
        <w:fldChar w:fldCharType="end"/>
      </w:r>
    </w:p>
    <w:p w14:paraId="26D807E1" w14:textId="3B79B704" w:rsidR="00752B0C" w:rsidRPr="00752B0C" w:rsidRDefault="00752B0C">
      <w:pPr>
        <w:pStyle w:val="TOC2"/>
        <w:rPr>
          <w:rFonts w:asciiTheme="minorHAnsi" w:eastAsiaTheme="minorEastAsia" w:hAnsiTheme="minorHAnsi" w:cstheme="minorBidi"/>
          <w:noProof/>
          <w:szCs w:val="22"/>
          <w:lang w:eastAsia="es-MX"/>
        </w:rPr>
      </w:pPr>
      <w:r>
        <w:rPr>
          <w:noProof/>
        </w:rPr>
        <w:t>Solid Waste</w:t>
      </w:r>
      <w:r>
        <w:rPr>
          <w:noProof/>
        </w:rPr>
        <w:tab/>
      </w:r>
      <w:r>
        <w:rPr>
          <w:noProof/>
        </w:rPr>
        <w:fldChar w:fldCharType="begin"/>
      </w:r>
      <w:r>
        <w:rPr>
          <w:noProof/>
        </w:rPr>
        <w:instrText xml:space="preserve"> PAGEREF _Toc152088264 \h </w:instrText>
      </w:r>
      <w:r>
        <w:rPr>
          <w:noProof/>
        </w:rPr>
      </w:r>
      <w:r>
        <w:rPr>
          <w:noProof/>
        </w:rPr>
        <w:fldChar w:fldCharType="separate"/>
      </w:r>
      <w:r>
        <w:rPr>
          <w:noProof/>
        </w:rPr>
        <w:t>45</w:t>
      </w:r>
      <w:r>
        <w:rPr>
          <w:noProof/>
        </w:rPr>
        <w:fldChar w:fldCharType="end"/>
      </w:r>
    </w:p>
    <w:p w14:paraId="48B311CA" w14:textId="362413E0" w:rsidR="00752B0C" w:rsidRPr="00752B0C" w:rsidRDefault="00752B0C">
      <w:pPr>
        <w:pStyle w:val="TOC3"/>
        <w:rPr>
          <w:rFonts w:asciiTheme="minorHAnsi" w:eastAsiaTheme="minorEastAsia" w:hAnsiTheme="minorHAnsi" w:cstheme="minorBidi"/>
          <w:noProof/>
          <w:szCs w:val="22"/>
          <w:lang w:eastAsia="es-MX"/>
        </w:rPr>
      </w:pPr>
      <w:r>
        <w:rPr>
          <w:noProof/>
        </w:rPr>
        <w:t>Modeling solid waste</w:t>
      </w:r>
      <w:r>
        <w:rPr>
          <w:noProof/>
        </w:rPr>
        <w:tab/>
      </w:r>
      <w:r>
        <w:rPr>
          <w:noProof/>
        </w:rPr>
        <w:fldChar w:fldCharType="begin"/>
      </w:r>
      <w:r>
        <w:rPr>
          <w:noProof/>
        </w:rPr>
        <w:instrText xml:space="preserve"> PAGEREF _Toc152088265 \h </w:instrText>
      </w:r>
      <w:r>
        <w:rPr>
          <w:noProof/>
        </w:rPr>
      </w:r>
      <w:r>
        <w:rPr>
          <w:noProof/>
        </w:rPr>
        <w:fldChar w:fldCharType="separate"/>
      </w:r>
      <w:r>
        <w:rPr>
          <w:noProof/>
        </w:rPr>
        <w:t>45</w:t>
      </w:r>
      <w:r>
        <w:rPr>
          <w:noProof/>
        </w:rPr>
        <w:fldChar w:fldCharType="end"/>
      </w:r>
    </w:p>
    <w:p w14:paraId="18BE3E10" w14:textId="49321B8B" w:rsidR="00752B0C" w:rsidRPr="00752B0C" w:rsidRDefault="00752B0C">
      <w:pPr>
        <w:pStyle w:val="TOC3"/>
        <w:rPr>
          <w:rFonts w:asciiTheme="minorHAnsi" w:eastAsiaTheme="minorEastAsia" w:hAnsiTheme="minorHAnsi" w:cstheme="minorBidi"/>
          <w:noProof/>
          <w:szCs w:val="22"/>
          <w:lang w:eastAsia="es-MX"/>
        </w:rPr>
      </w:pPr>
      <w:r>
        <w:rPr>
          <w:noProof/>
        </w:rPr>
        <w:lastRenderedPageBreak/>
        <w:t>Projecting solid waste emissions</w:t>
      </w:r>
      <w:r>
        <w:rPr>
          <w:noProof/>
        </w:rPr>
        <w:tab/>
      </w:r>
      <w:r>
        <w:rPr>
          <w:noProof/>
        </w:rPr>
        <w:fldChar w:fldCharType="begin"/>
      </w:r>
      <w:r>
        <w:rPr>
          <w:noProof/>
        </w:rPr>
        <w:instrText xml:space="preserve"> PAGEREF _Toc152088266 \h </w:instrText>
      </w:r>
      <w:r>
        <w:rPr>
          <w:noProof/>
        </w:rPr>
      </w:r>
      <w:r>
        <w:rPr>
          <w:noProof/>
        </w:rPr>
        <w:fldChar w:fldCharType="separate"/>
      </w:r>
      <w:r>
        <w:rPr>
          <w:noProof/>
        </w:rPr>
        <w:t>46</w:t>
      </w:r>
      <w:r>
        <w:rPr>
          <w:noProof/>
        </w:rPr>
        <w:fldChar w:fldCharType="end"/>
      </w:r>
    </w:p>
    <w:p w14:paraId="555FB0D2" w14:textId="5FCD76DB" w:rsidR="00752B0C" w:rsidRPr="00752B0C" w:rsidRDefault="00752B0C">
      <w:pPr>
        <w:pStyle w:val="TOC3"/>
        <w:rPr>
          <w:rFonts w:asciiTheme="minorHAnsi" w:eastAsiaTheme="minorEastAsia" w:hAnsiTheme="minorHAnsi" w:cstheme="minorBidi"/>
          <w:noProof/>
          <w:szCs w:val="22"/>
          <w:lang w:eastAsia="es-MX"/>
        </w:rPr>
      </w:pPr>
      <w:r>
        <w:rPr>
          <w:noProof/>
        </w:rPr>
        <w:t>Transforming solid waste</w:t>
      </w:r>
      <w:r>
        <w:rPr>
          <w:noProof/>
        </w:rPr>
        <w:tab/>
      </w:r>
      <w:r>
        <w:rPr>
          <w:noProof/>
        </w:rPr>
        <w:fldChar w:fldCharType="begin"/>
      </w:r>
      <w:r>
        <w:rPr>
          <w:noProof/>
        </w:rPr>
        <w:instrText xml:space="preserve"> PAGEREF _Toc152088267 \h </w:instrText>
      </w:r>
      <w:r>
        <w:rPr>
          <w:noProof/>
        </w:rPr>
      </w:r>
      <w:r>
        <w:rPr>
          <w:noProof/>
        </w:rPr>
        <w:fldChar w:fldCharType="separate"/>
      </w:r>
      <w:r>
        <w:rPr>
          <w:noProof/>
        </w:rPr>
        <w:t>46</w:t>
      </w:r>
      <w:r>
        <w:rPr>
          <w:noProof/>
        </w:rPr>
        <w:fldChar w:fldCharType="end"/>
      </w:r>
    </w:p>
    <w:p w14:paraId="530F4D4B" w14:textId="0BFAE82F" w:rsidR="00752B0C" w:rsidRPr="00560F69" w:rsidRDefault="00752B0C">
      <w:pPr>
        <w:pStyle w:val="TOC1"/>
        <w:rPr>
          <w:rFonts w:asciiTheme="minorHAnsi" w:eastAsiaTheme="minorEastAsia" w:hAnsiTheme="minorHAnsi" w:cstheme="minorBidi"/>
          <w:noProof/>
          <w:sz w:val="22"/>
          <w:szCs w:val="22"/>
          <w:lang w:eastAsia="es-MX"/>
        </w:rPr>
      </w:pPr>
      <w:r>
        <w:rPr>
          <w:noProof/>
        </w:rPr>
        <w:t>References</w:t>
      </w:r>
      <w:r>
        <w:rPr>
          <w:noProof/>
        </w:rPr>
        <w:tab/>
      </w:r>
      <w:r>
        <w:rPr>
          <w:noProof/>
        </w:rPr>
        <w:fldChar w:fldCharType="begin"/>
      </w:r>
      <w:r>
        <w:rPr>
          <w:noProof/>
        </w:rPr>
        <w:instrText xml:space="preserve"> PAGEREF _Toc152088268 \h </w:instrText>
      </w:r>
      <w:r>
        <w:rPr>
          <w:noProof/>
        </w:rPr>
      </w:r>
      <w:r>
        <w:rPr>
          <w:noProof/>
        </w:rPr>
        <w:fldChar w:fldCharType="separate"/>
      </w:r>
      <w:r>
        <w:rPr>
          <w:noProof/>
        </w:rPr>
        <w:t>51</w:t>
      </w:r>
      <w:r>
        <w:rPr>
          <w:noProof/>
        </w:rPr>
        <w:fldChar w:fldCharType="end"/>
      </w:r>
    </w:p>
    <w:p w14:paraId="35C1075A" w14:textId="0D150A65" w:rsidR="009A14D3" w:rsidRPr="00A61DF4" w:rsidRDefault="00895FCC" w:rsidP="003F4CC7">
      <w:pPr>
        <w:rPr>
          <w:rFonts w:ascii="Arial" w:hAnsi="Arial"/>
          <w:szCs w:val="26"/>
        </w:rPr>
      </w:pPr>
      <w:r w:rsidRPr="00A61DF4">
        <w:fldChar w:fldCharType="end"/>
      </w:r>
      <w:bookmarkStart w:id="4" w:name="_Toc326590596"/>
      <w:r w:rsidR="009A14D3" w:rsidRPr="00A61DF4">
        <w:br w:type="page"/>
      </w:r>
    </w:p>
    <w:p w14:paraId="4943DA31" w14:textId="77777777" w:rsidR="009A14D3" w:rsidRPr="00A61DF4" w:rsidRDefault="009A14D3" w:rsidP="009A14D3">
      <w:pPr>
        <w:pStyle w:val="Heading1"/>
      </w:pPr>
      <w:bookmarkStart w:id="5" w:name="_Toc152088230"/>
      <w:r w:rsidRPr="00A61DF4">
        <w:lastRenderedPageBreak/>
        <w:t>Figures</w:t>
      </w:r>
      <w:r w:rsidR="00700412" w:rsidRPr="00A61DF4">
        <w:t xml:space="preserve"> and </w:t>
      </w:r>
      <w:r w:rsidRPr="00A61DF4">
        <w:t>Tables</w:t>
      </w:r>
      <w:bookmarkEnd w:id="5"/>
    </w:p>
    <w:p w14:paraId="4B16631D" w14:textId="77777777" w:rsidR="00492904" w:rsidRPr="00A61DF4" w:rsidRDefault="00492904" w:rsidP="00304BFD">
      <w:pPr>
        <w:pStyle w:val="Heading2"/>
      </w:pPr>
      <w:bookmarkStart w:id="6" w:name="_Toc20462415"/>
      <w:bookmarkStart w:id="7" w:name="_Toc36799536"/>
      <w:bookmarkStart w:id="8" w:name="_Toc42078650"/>
      <w:bookmarkStart w:id="9" w:name="_Toc42150300"/>
      <w:bookmarkStart w:id="10" w:name="_Toc42260151"/>
      <w:bookmarkStart w:id="11" w:name="_Toc42260403"/>
      <w:bookmarkStart w:id="12" w:name="_Toc42510635"/>
      <w:bookmarkStart w:id="13" w:name="_Toc49143824"/>
      <w:bookmarkStart w:id="14" w:name="_Toc152088231"/>
      <w:r w:rsidRPr="00A61DF4">
        <w:t>Figures</w:t>
      </w:r>
      <w:bookmarkEnd w:id="4"/>
      <w:bookmarkEnd w:id="6"/>
      <w:bookmarkEnd w:id="7"/>
      <w:bookmarkEnd w:id="8"/>
      <w:bookmarkEnd w:id="9"/>
      <w:bookmarkEnd w:id="10"/>
      <w:bookmarkEnd w:id="11"/>
      <w:bookmarkEnd w:id="12"/>
      <w:bookmarkEnd w:id="13"/>
      <w:bookmarkEnd w:id="14"/>
    </w:p>
    <w:p w14:paraId="7EAD3F4C" w14:textId="2F5D41DA" w:rsidR="00752B0C" w:rsidRPr="00752B0C" w:rsidRDefault="00185A97">
      <w:pPr>
        <w:pStyle w:val="TableofFigures"/>
        <w:tabs>
          <w:tab w:val="right" w:leader="dot" w:pos="9350"/>
        </w:tabs>
        <w:rPr>
          <w:rFonts w:asciiTheme="minorHAnsi" w:eastAsiaTheme="minorEastAsia" w:hAnsiTheme="minorHAnsi" w:cstheme="minorBidi"/>
          <w:noProof/>
          <w:sz w:val="22"/>
          <w:szCs w:val="22"/>
          <w:lang w:eastAsia="es-MX"/>
        </w:rPr>
      </w:pPr>
      <w:r>
        <w:fldChar w:fldCharType="begin"/>
      </w:r>
      <w:r>
        <w:instrText>TOC \t "Heading 7,Figure Title" \c</w:instrText>
      </w:r>
      <w:r>
        <w:fldChar w:fldCharType="separate"/>
      </w:r>
      <w:r w:rsidR="00752B0C">
        <w:rPr>
          <w:noProof/>
        </w:rPr>
        <w:t>Figure 1. Technical modeling framework for SiSePuede.</w:t>
      </w:r>
      <w:r w:rsidR="00752B0C">
        <w:rPr>
          <w:noProof/>
        </w:rPr>
        <w:tab/>
      </w:r>
      <w:r w:rsidR="00752B0C">
        <w:rPr>
          <w:noProof/>
        </w:rPr>
        <w:fldChar w:fldCharType="begin"/>
      </w:r>
      <w:r w:rsidR="00752B0C">
        <w:rPr>
          <w:noProof/>
        </w:rPr>
        <w:instrText xml:space="preserve"> PAGEREF _Toc152088179 \h </w:instrText>
      </w:r>
      <w:r w:rsidR="00752B0C">
        <w:rPr>
          <w:noProof/>
        </w:rPr>
      </w:r>
      <w:r w:rsidR="00752B0C">
        <w:rPr>
          <w:noProof/>
        </w:rPr>
        <w:fldChar w:fldCharType="separate"/>
      </w:r>
      <w:r w:rsidR="00752B0C">
        <w:rPr>
          <w:noProof/>
        </w:rPr>
        <w:t>2</w:t>
      </w:r>
      <w:r w:rsidR="00752B0C">
        <w:rPr>
          <w:noProof/>
        </w:rPr>
        <w:fldChar w:fldCharType="end"/>
      </w:r>
    </w:p>
    <w:p w14:paraId="576249BC" w14:textId="4AEF4125"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Figure 2. Calibration workflow.</w:t>
      </w:r>
      <w:r>
        <w:rPr>
          <w:noProof/>
        </w:rPr>
        <w:tab/>
      </w:r>
      <w:r>
        <w:rPr>
          <w:noProof/>
        </w:rPr>
        <w:fldChar w:fldCharType="begin"/>
      </w:r>
      <w:r>
        <w:rPr>
          <w:noProof/>
        </w:rPr>
        <w:instrText xml:space="preserve"> PAGEREF _Toc152088180 \h </w:instrText>
      </w:r>
      <w:r>
        <w:rPr>
          <w:noProof/>
        </w:rPr>
      </w:r>
      <w:r>
        <w:rPr>
          <w:noProof/>
        </w:rPr>
        <w:fldChar w:fldCharType="separate"/>
      </w:r>
      <w:r>
        <w:rPr>
          <w:noProof/>
        </w:rPr>
        <w:t>4</w:t>
      </w:r>
      <w:r>
        <w:rPr>
          <w:noProof/>
        </w:rPr>
        <w:fldChar w:fldCharType="end"/>
      </w:r>
    </w:p>
    <w:p w14:paraId="70B38656" w14:textId="290B3174"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Figure 3.  Agriculture, Forestry, and Land Use (AFOLU) calibration.</w:t>
      </w:r>
      <w:r>
        <w:rPr>
          <w:noProof/>
        </w:rPr>
        <w:tab/>
      </w:r>
      <w:r>
        <w:rPr>
          <w:noProof/>
        </w:rPr>
        <w:fldChar w:fldCharType="begin"/>
      </w:r>
      <w:r>
        <w:rPr>
          <w:noProof/>
        </w:rPr>
        <w:instrText xml:space="preserve"> PAGEREF _Toc152088181 \h </w:instrText>
      </w:r>
      <w:r>
        <w:rPr>
          <w:noProof/>
        </w:rPr>
      </w:r>
      <w:r>
        <w:rPr>
          <w:noProof/>
        </w:rPr>
        <w:fldChar w:fldCharType="separate"/>
      </w:r>
      <w:r>
        <w:rPr>
          <w:noProof/>
        </w:rPr>
        <w:t>5</w:t>
      </w:r>
      <w:r>
        <w:rPr>
          <w:noProof/>
        </w:rPr>
        <w:fldChar w:fldCharType="end"/>
      </w:r>
    </w:p>
    <w:p w14:paraId="323597AA" w14:textId="131A4620"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Figure 4. Liquid waste calibration.</w:t>
      </w:r>
      <w:r>
        <w:rPr>
          <w:noProof/>
        </w:rPr>
        <w:tab/>
      </w:r>
      <w:r>
        <w:rPr>
          <w:noProof/>
        </w:rPr>
        <w:fldChar w:fldCharType="begin"/>
      </w:r>
      <w:r>
        <w:rPr>
          <w:noProof/>
        </w:rPr>
        <w:instrText xml:space="preserve"> PAGEREF _Toc152088182 \h </w:instrText>
      </w:r>
      <w:r>
        <w:rPr>
          <w:noProof/>
        </w:rPr>
      </w:r>
      <w:r>
        <w:rPr>
          <w:noProof/>
        </w:rPr>
        <w:fldChar w:fldCharType="separate"/>
      </w:r>
      <w:r>
        <w:rPr>
          <w:noProof/>
        </w:rPr>
        <w:t>5</w:t>
      </w:r>
      <w:r>
        <w:rPr>
          <w:noProof/>
        </w:rPr>
        <w:fldChar w:fldCharType="end"/>
      </w:r>
    </w:p>
    <w:p w14:paraId="4D082980" w14:textId="015D2715"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Figure 5. Point estimate and standard deviation of estimated parameters.</w:t>
      </w:r>
      <w:r>
        <w:rPr>
          <w:noProof/>
        </w:rPr>
        <w:tab/>
      </w:r>
      <w:r>
        <w:rPr>
          <w:noProof/>
        </w:rPr>
        <w:fldChar w:fldCharType="begin"/>
      </w:r>
      <w:r>
        <w:rPr>
          <w:noProof/>
        </w:rPr>
        <w:instrText xml:space="preserve"> PAGEREF _Toc152088183 \h </w:instrText>
      </w:r>
      <w:r>
        <w:rPr>
          <w:noProof/>
        </w:rPr>
      </w:r>
      <w:r>
        <w:rPr>
          <w:noProof/>
        </w:rPr>
        <w:fldChar w:fldCharType="separate"/>
      </w:r>
      <w:r>
        <w:rPr>
          <w:noProof/>
        </w:rPr>
        <w:t>6</w:t>
      </w:r>
      <w:r>
        <w:rPr>
          <w:noProof/>
        </w:rPr>
        <w:fldChar w:fldCharType="end"/>
      </w:r>
    </w:p>
    <w:p w14:paraId="5967F767" w14:textId="4D2CFE0C" w:rsidR="00492904" w:rsidRPr="00A61DF4" w:rsidRDefault="00185A97" w:rsidP="004A4011">
      <w:pPr>
        <w:pStyle w:val="TableofFigures"/>
        <w:tabs>
          <w:tab w:val="right" w:leader="dot" w:pos="9350"/>
        </w:tabs>
      </w:pPr>
      <w:r>
        <w:fldChar w:fldCharType="end"/>
      </w:r>
    </w:p>
    <w:p w14:paraId="048B1C63" w14:textId="77777777" w:rsidR="00492904" w:rsidRPr="00A61DF4" w:rsidRDefault="00492904" w:rsidP="00304BFD">
      <w:pPr>
        <w:pStyle w:val="Heading2"/>
      </w:pPr>
      <w:bookmarkStart w:id="15" w:name="_Toc326590597"/>
      <w:bookmarkStart w:id="16" w:name="_Toc20462416"/>
      <w:bookmarkStart w:id="17" w:name="_Toc36799537"/>
      <w:bookmarkStart w:id="18" w:name="_Toc42078651"/>
      <w:bookmarkStart w:id="19" w:name="_Toc42150301"/>
      <w:bookmarkStart w:id="20" w:name="_Toc42260152"/>
      <w:bookmarkStart w:id="21" w:name="_Toc42260404"/>
      <w:bookmarkStart w:id="22" w:name="_Toc42510636"/>
      <w:bookmarkStart w:id="23" w:name="_Toc49143825"/>
      <w:bookmarkStart w:id="24" w:name="_Toc152088232"/>
      <w:r w:rsidRPr="00A61DF4">
        <w:t>Table</w:t>
      </w:r>
      <w:bookmarkEnd w:id="15"/>
      <w:bookmarkEnd w:id="16"/>
      <w:r w:rsidR="00261A0F" w:rsidRPr="00A61DF4">
        <w:t>s</w:t>
      </w:r>
      <w:bookmarkEnd w:id="17"/>
      <w:bookmarkEnd w:id="18"/>
      <w:bookmarkEnd w:id="19"/>
      <w:bookmarkEnd w:id="20"/>
      <w:bookmarkEnd w:id="21"/>
      <w:bookmarkEnd w:id="22"/>
      <w:bookmarkEnd w:id="23"/>
      <w:bookmarkEnd w:id="24"/>
    </w:p>
    <w:p w14:paraId="1F8A9BD1" w14:textId="1083A7FE" w:rsidR="00752B0C" w:rsidRPr="00752B0C" w:rsidRDefault="008B128B">
      <w:pPr>
        <w:pStyle w:val="TableofFigures"/>
        <w:tabs>
          <w:tab w:val="right" w:leader="dot" w:pos="9350"/>
        </w:tabs>
        <w:rPr>
          <w:rFonts w:asciiTheme="minorHAnsi" w:eastAsiaTheme="minorEastAsia" w:hAnsiTheme="minorHAnsi" w:cstheme="minorBidi"/>
          <w:noProof/>
          <w:sz w:val="22"/>
          <w:szCs w:val="22"/>
          <w:lang w:eastAsia="es-MX"/>
        </w:rPr>
      </w:pPr>
      <w:r w:rsidRPr="00A61DF4">
        <w:fldChar w:fldCharType="begin"/>
      </w:r>
      <w:r w:rsidRPr="00A61DF4">
        <w:instrText xml:space="preserve"> TOC \t "Heading 9,TableTitle" \c </w:instrText>
      </w:r>
      <w:r w:rsidRPr="00A61DF4">
        <w:fldChar w:fldCharType="separate"/>
      </w:r>
      <w:r w:rsidR="00752B0C" w:rsidRPr="007E4199">
        <w:rPr>
          <w:rFonts w:eastAsia="Arial"/>
          <w:noProof/>
        </w:rPr>
        <w:t>Table A.1 Data and methods</w:t>
      </w:r>
      <w:r w:rsidR="00752B0C">
        <w:rPr>
          <w:noProof/>
        </w:rPr>
        <w:tab/>
      </w:r>
      <w:r w:rsidR="00752B0C">
        <w:rPr>
          <w:noProof/>
        </w:rPr>
        <w:fldChar w:fldCharType="begin"/>
      </w:r>
      <w:r w:rsidR="00752B0C">
        <w:rPr>
          <w:noProof/>
        </w:rPr>
        <w:instrText xml:space="preserve"> PAGEREF _Toc152088309 \h </w:instrText>
      </w:r>
      <w:r w:rsidR="00752B0C">
        <w:rPr>
          <w:noProof/>
        </w:rPr>
      </w:r>
      <w:r w:rsidR="00752B0C">
        <w:rPr>
          <w:noProof/>
        </w:rPr>
        <w:fldChar w:fldCharType="separate"/>
      </w:r>
      <w:r w:rsidR="00752B0C">
        <w:rPr>
          <w:noProof/>
        </w:rPr>
        <w:t>9</w:t>
      </w:r>
      <w:r w:rsidR="00752B0C">
        <w:rPr>
          <w:noProof/>
        </w:rPr>
        <w:fldChar w:fldCharType="end"/>
      </w:r>
    </w:p>
    <w:p w14:paraId="23886E07" w14:textId="72A71A08"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A.2 Crop transformations</w:t>
      </w:r>
      <w:r>
        <w:rPr>
          <w:noProof/>
        </w:rPr>
        <w:tab/>
      </w:r>
      <w:r>
        <w:rPr>
          <w:noProof/>
        </w:rPr>
        <w:fldChar w:fldCharType="begin"/>
      </w:r>
      <w:r>
        <w:rPr>
          <w:noProof/>
        </w:rPr>
        <w:instrText xml:space="preserve"> PAGEREF _Toc152088310 \h </w:instrText>
      </w:r>
      <w:r>
        <w:rPr>
          <w:noProof/>
        </w:rPr>
      </w:r>
      <w:r>
        <w:rPr>
          <w:noProof/>
        </w:rPr>
        <w:fldChar w:fldCharType="separate"/>
      </w:r>
      <w:r>
        <w:rPr>
          <w:noProof/>
        </w:rPr>
        <w:t>10</w:t>
      </w:r>
      <w:r>
        <w:rPr>
          <w:noProof/>
        </w:rPr>
        <w:fldChar w:fldCharType="end"/>
      </w:r>
    </w:p>
    <w:p w14:paraId="43F1D8DC" w14:textId="7184F093"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A.3 Crop transformations’ technical costs</w:t>
      </w:r>
      <w:r>
        <w:rPr>
          <w:noProof/>
        </w:rPr>
        <w:tab/>
      </w:r>
      <w:r>
        <w:rPr>
          <w:noProof/>
        </w:rPr>
        <w:fldChar w:fldCharType="begin"/>
      </w:r>
      <w:r>
        <w:rPr>
          <w:noProof/>
        </w:rPr>
        <w:instrText xml:space="preserve"> PAGEREF _Toc152088311 \h </w:instrText>
      </w:r>
      <w:r>
        <w:rPr>
          <w:noProof/>
        </w:rPr>
      </w:r>
      <w:r>
        <w:rPr>
          <w:noProof/>
        </w:rPr>
        <w:fldChar w:fldCharType="separate"/>
      </w:r>
      <w:r>
        <w:rPr>
          <w:noProof/>
        </w:rPr>
        <w:t>11</w:t>
      </w:r>
      <w:r>
        <w:rPr>
          <w:noProof/>
        </w:rPr>
        <w:fldChar w:fldCharType="end"/>
      </w:r>
    </w:p>
    <w:p w14:paraId="3019535A" w14:textId="780E205A"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A.4 Non-technical benefits and costs of transforming agriculture</w:t>
      </w:r>
      <w:r>
        <w:rPr>
          <w:noProof/>
        </w:rPr>
        <w:tab/>
      </w:r>
      <w:r>
        <w:rPr>
          <w:noProof/>
        </w:rPr>
        <w:fldChar w:fldCharType="begin"/>
      </w:r>
      <w:r>
        <w:rPr>
          <w:noProof/>
        </w:rPr>
        <w:instrText xml:space="preserve"> PAGEREF _Toc152088312 \h </w:instrText>
      </w:r>
      <w:r>
        <w:rPr>
          <w:noProof/>
        </w:rPr>
      </w:r>
      <w:r>
        <w:rPr>
          <w:noProof/>
        </w:rPr>
        <w:fldChar w:fldCharType="separate"/>
      </w:r>
      <w:r>
        <w:rPr>
          <w:noProof/>
        </w:rPr>
        <w:t>11</w:t>
      </w:r>
      <w:r>
        <w:rPr>
          <w:noProof/>
        </w:rPr>
        <w:fldChar w:fldCharType="end"/>
      </w:r>
    </w:p>
    <w:p w14:paraId="569F7EF5" w14:textId="7BA2FDE6"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A.5 Data and methods</w:t>
      </w:r>
      <w:r>
        <w:rPr>
          <w:noProof/>
        </w:rPr>
        <w:tab/>
      </w:r>
      <w:r>
        <w:rPr>
          <w:noProof/>
        </w:rPr>
        <w:fldChar w:fldCharType="begin"/>
      </w:r>
      <w:r>
        <w:rPr>
          <w:noProof/>
        </w:rPr>
        <w:instrText xml:space="preserve"> PAGEREF _Toc152088313 \h </w:instrText>
      </w:r>
      <w:r>
        <w:rPr>
          <w:noProof/>
        </w:rPr>
      </w:r>
      <w:r>
        <w:rPr>
          <w:noProof/>
        </w:rPr>
        <w:fldChar w:fldCharType="separate"/>
      </w:r>
      <w:r>
        <w:rPr>
          <w:noProof/>
        </w:rPr>
        <w:t>12</w:t>
      </w:r>
      <w:r>
        <w:rPr>
          <w:noProof/>
        </w:rPr>
        <w:fldChar w:fldCharType="end"/>
      </w:r>
    </w:p>
    <w:p w14:paraId="3FD65FFC" w14:textId="7D18E4EE"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A.6 Livestock’s transformations</w:t>
      </w:r>
      <w:r>
        <w:rPr>
          <w:noProof/>
        </w:rPr>
        <w:tab/>
      </w:r>
      <w:r>
        <w:rPr>
          <w:noProof/>
        </w:rPr>
        <w:fldChar w:fldCharType="begin"/>
      </w:r>
      <w:r>
        <w:rPr>
          <w:noProof/>
        </w:rPr>
        <w:instrText xml:space="preserve"> PAGEREF _Toc152088314 \h </w:instrText>
      </w:r>
      <w:r>
        <w:rPr>
          <w:noProof/>
        </w:rPr>
      </w:r>
      <w:r>
        <w:rPr>
          <w:noProof/>
        </w:rPr>
        <w:fldChar w:fldCharType="separate"/>
      </w:r>
      <w:r>
        <w:rPr>
          <w:noProof/>
        </w:rPr>
        <w:t>13</w:t>
      </w:r>
      <w:r>
        <w:rPr>
          <w:noProof/>
        </w:rPr>
        <w:fldChar w:fldCharType="end"/>
      </w:r>
    </w:p>
    <w:p w14:paraId="1E2D1E5D" w14:textId="7456728E"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A.7 Livestock transformations’ technical costs</w:t>
      </w:r>
      <w:r>
        <w:rPr>
          <w:noProof/>
        </w:rPr>
        <w:tab/>
      </w:r>
      <w:r>
        <w:rPr>
          <w:noProof/>
        </w:rPr>
        <w:fldChar w:fldCharType="begin"/>
      </w:r>
      <w:r>
        <w:rPr>
          <w:noProof/>
        </w:rPr>
        <w:instrText xml:space="preserve"> PAGEREF _Toc152088315 \h </w:instrText>
      </w:r>
      <w:r>
        <w:rPr>
          <w:noProof/>
        </w:rPr>
      </w:r>
      <w:r>
        <w:rPr>
          <w:noProof/>
        </w:rPr>
        <w:fldChar w:fldCharType="separate"/>
      </w:r>
      <w:r>
        <w:rPr>
          <w:noProof/>
        </w:rPr>
        <w:t>14</w:t>
      </w:r>
      <w:r>
        <w:rPr>
          <w:noProof/>
        </w:rPr>
        <w:fldChar w:fldCharType="end"/>
      </w:r>
    </w:p>
    <w:p w14:paraId="43F2AB21" w14:textId="41502B08"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A.8 Crosscutting transformations</w:t>
      </w:r>
      <w:r>
        <w:rPr>
          <w:noProof/>
        </w:rPr>
        <w:tab/>
      </w:r>
      <w:r>
        <w:rPr>
          <w:noProof/>
        </w:rPr>
        <w:fldChar w:fldCharType="begin"/>
      </w:r>
      <w:r>
        <w:rPr>
          <w:noProof/>
        </w:rPr>
        <w:instrText xml:space="preserve"> PAGEREF _Toc152088316 \h </w:instrText>
      </w:r>
      <w:r>
        <w:rPr>
          <w:noProof/>
        </w:rPr>
      </w:r>
      <w:r>
        <w:rPr>
          <w:noProof/>
        </w:rPr>
        <w:fldChar w:fldCharType="separate"/>
      </w:r>
      <w:r>
        <w:rPr>
          <w:noProof/>
        </w:rPr>
        <w:t>14</w:t>
      </w:r>
      <w:r>
        <w:rPr>
          <w:noProof/>
        </w:rPr>
        <w:fldChar w:fldCharType="end"/>
      </w:r>
    </w:p>
    <w:p w14:paraId="4F9BE68E" w14:textId="49786B3C"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A.9 Crosscutting transformations’ technical costs</w:t>
      </w:r>
      <w:r>
        <w:rPr>
          <w:noProof/>
        </w:rPr>
        <w:tab/>
      </w:r>
      <w:r>
        <w:rPr>
          <w:noProof/>
        </w:rPr>
        <w:fldChar w:fldCharType="begin"/>
      </w:r>
      <w:r>
        <w:rPr>
          <w:noProof/>
        </w:rPr>
        <w:instrText xml:space="preserve"> PAGEREF _Toc152088317 \h </w:instrText>
      </w:r>
      <w:r>
        <w:rPr>
          <w:noProof/>
        </w:rPr>
      </w:r>
      <w:r>
        <w:rPr>
          <w:noProof/>
        </w:rPr>
        <w:fldChar w:fldCharType="separate"/>
      </w:r>
      <w:r>
        <w:rPr>
          <w:noProof/>
        </w:rPr>
        <w:t>15</w:t>
      </w:r>
      <w:r>
        <w:rPr>
          <w:noProof/>
        </w:rPr>
        <w:fldChar w:fldCharType="end"/>
      </w:r>
    </w:p>
    <w:p w14:paraId="2AE8C010" w14:textId="1F4390D7"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A.10 Crosscutting agricultural transformations’ non-technical benefits and costs</w:t>
      </w:r>
      <w:r>
        <w:rPr>
          <w:noProof/>
        </w:rPr>
        <w:tab/>
      </w:r>
      <w:r>
        <w:rPr>
          <w:noProof/>
        </w:rPr>
        <w:fldChar w:fldCharType="begin"/>
      </w:r>
      <w:r>
        <w:rPr>
          <w:noProof/>
        </w:rPr>
        <w:instrText xml:space="preserve"> PAGEREF _Toc152088318 \h </w:instrText>
      </w:r>
      <w:r>
        <w:rPr>
          <w:noProof/>
        </w:rPr>
      </w:r>
      <w:r>
        <w:rPr>
          <w:noProof/>
        </w:rPr>
        <w:fldChar w:fldCharType="separate"/>
      </w:r>
      <w:r>
        <w:rPr>
          <w:noProof/>
        </w:rPr>
        <w:t>16</w:t>
      </w:r>
      <w:r>
        <w:rPr>
          <w:noProof/>
        </w:rPr>
        <w:fldChar w:fldCharType="end"/>
      </w:r>
    </w:p>
    <w:p w14:paraId="3E1CDD8F" w14:textId="7DD463E5"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B.1 Data and methods</w:t>
      </w:r>
      <w:r>
        <w:rPr>
          <w:noProof/>
        </w:rPr>
        <w:tab/>
      </w:r>
      <w:r>
        <w:rPr>
          <w:noProof/>
        </w:rPr>
        <w:fldChar w:fldCharType="begin"/>
      </w:r>
      <w:r>
        <w:rPr>
          <w:noProof/>
        </w:rPr>
        <w:instrText xml:space="preserve"> PAGEREF _Toc152088319 \h </w:instrText>
      </w:r>
      <w:r>
        <w:rPr>
          <w:noProof/>
        </w:rPr>
      </w:r>
      <w:r>
        <w:rPr>
          <w:noProof/>
        </w:rPr>
        <w:fldChar w:fldCharType="separate"/>
      </w:r>
      <w:r>
        <w:rPr>
          <w:noProof/>
        </w:rPr>
        <w:t>17</w:t>
      </w:r>
      <w:r>
        <w:rPr>
          <w:noProof/>
        </w:rPr>
        <w:fldChar w:fldCharType="end"/>
      </w:r>
    </w:p>
    <w:p w14:paraId="746C962E" w14:textId="7D1274E6"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B.2 Forestry transformations</w:t>
      </w:r>
      <w:r>
        <w:rPr>
          <w:noProof/>
        </w:rPr>
        <w:tab/>
      </w:r>
      <w:r>
        <w:rPr>
          <w:noProof/>
        </w:rPr>
        <w:fldChar w:fldCharType="begin"/>
      </w:r>
      <w:r>
        <w:rPr>
          <w:noProof/>
        </w:rPr>
        <w:instrText xml:space="preserve"> PAGEREF _Toc152088320 \h </w:instrText>
      </w:r>
      <w:r>
        <w:rPr>
          <w:noProof/>
        </w:rPr>
      </w:r>
      <w:r>
        <w:rPr>
          <w:noProof/>
        </w:rPr>
        <w:fldChar w:fldCharType="separate"/>
      </w:r>
      <w:r>
        <w:rPr>
          <w:noProof/>
        </w:rPr>
        <w:t>18</w:t>
      </w:r>
      <w:r>
        <w:rPr>
          <w:noProof/>
        </w:rPr>
        <w:fldChar w:fldCharType="end"/>
      </w:r>
    </w:p>
    <w:p w14:paraId="04CA5DBF" w14:textId="008DE8C2"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B.3 Forestry transformations’ emissions, costs, and benefits</w:t>
      </w:r>
      <w:r>
        <w:rPr>
          <w:noProof/>
        </w:rPr>
        <w:tab/>
      </w:r>
      <w:r>
        <w:rPr>
          <w:noProof/>
        </w:rPr>
        <w:fldChar w:fldCharType="begin"/>
      </w:r>
      <w:r>
        <w:rPr>
          <w:noProof/>
        </w:rPr>
        <w:instrText xml:space="preserve"> PAGEREF _Toc152088321 \h </w:instrText>
      </w:r>
      <w:r>
        <w:rPr>
          <w:noProof/>
        </w:rPr>
      </w:r>
      <w:r>
        <w:rPr>
          <w:noProof/>
        </w:rPr>
        <w:fldChar w:fldCharType="separate"/>
      </w:r>
      <w:r>
        <w:rPr>
          <w:noProof/>
        </w:rPr>
        <w:t>20</w:t>
      </w:r>
      <w:r>
        <w:rPr>
          <w:noProof/>
        </w:rPr>
        <w:fldChar w:fldCharType="end"/>
      </w:r>
    </w:p>
    <w:p w14:paraId="627B25C0" w14:textId="7095A550"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C.1 Data and methods</w:t>
      </w:r>
      <w:r>
        <w:rPr>
          <w:noProof/>
        </w:rPr>
        <w:tab/>
      </w:r>
      <w:r>
        <w:rPr>
          <w:noProof/>
        </w:rPr>
        <w:fldChar w:fldCharType="begin"/>
      </w:r>
      <w:r>
        <w:rPr>
          <w:noProof/>
        </w:rPr>
        <w:instrText xml:space="preserve"> PAGEREF _Toc152088322 \h </w:instrText>
      </w:r>
      <w:r>
        <w:rPr>
          <w:noProof/>
        </w:rPr>
      </w:r>
      <w:r>
        <w:rPr>
          <w:noProof/>
        </w:rPr>
        <w:fldChar w:fldCharType="separate"/>
      </w:r>
      <w:r>
        <w:rPr>
          <w:noProof/>
        </w:rPr>
        <w:t>21</w:t>
      </w:r>
      <w:r>
        <w:rPr>
          <w:noProof/>
        </w:rPr>
        <w:fldChar w:fldCharType="end"/>
      </w:r>
    </w:p>
    <w:p w14:paraId="29642DE3" w14:textId="1F4EAAD3"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C.2 Transformations to industry</w:t>
      </w:r>
      <w:r>
        <w:rPr>
          <w:noProof/>
        </w:rPr>
        <w:tab/>
      </w:r>
      <w:r>
        <w:rPr>
          <w:noProof/>
        </w:rPr>
        <w:fldChar w:fldCharType="begin"/>
      </w:r>
      <w:r>
        <w:rPr>
          <w:noProof/>
        </w:rPr>
        <w:instrText xml:space="preserve"> PAGEREF _Toc152088323 \h </w:instrText>
      </w:r>
      <w:r>
        <w:rPr>
          <w:noProof/>
        </w:rPr>
      </w:r>
      <w:r>
        <w:rPr>
          <w:noProof/>
        </w:rPr>
        <w:fldChar w:fldCharType="separate"/>
      </w:r>
      <w:r>
        <w:rPr>
          <w:noProof/>
        </w:rPr>
        <w:t>22</w:t>
      </w:r>
      <w:r>
        <w:rPr>
          <w:noProof/>
        </w:rPr>
        <w:fldChar w:fldCharType="end"/>
      </w:r>
    </w:p>
    <w:p w14:paraId="03412FF7" w14:textId="6ECD7434"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C.3 Industry transformations’ technical costs</w:t>
      </w:r>
      <w:r>
        <w:rPr>
          <w:noProof/>
        </w:rPr>
        <w:tab/>
      </w:r>
      <w:r>
        <w:rPr>
          <w:noProof/>
        </w:rPr>
        <w:fldChar w:fldCharType="begin"/>
      </w:r>
      <w:r>
        <w:rPr>
          <w:noProof/>
        </w:rPr>
        <w:instrText xml:space="preserve"> PAGEREF _Toc152088324 \h </w:instrText>
      </w:r>
      <w:r>
        <w:rPr>
          <w:noProof/>
        </w:rPr>
      </w:r>
      <w:r>
        <w:rPr>
          <w:noProof/>
        </w:rPr>
        <w:fldChar w:fldCharType="separate"/>
      </w:r>
      <w:r>
        <w:rPr>
          <w:noProof/>
        </w:rPr>
        <w:t>24</w:t>
      </w:r>
      <w:r>
        <w:rPr>
          <w:noProof/>
        </w:rPr>
        <w:fldChar w:fldCharType="end"/>
      </w:r>
    </w:p>
    <w:p w14:paraId="76D9C9AE" w14:textId="70912F6D"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C.4. Non-technical benefits and costs of transforming industry</w:t>
      </w:r>
      <w:r>
        <w:rPr>
          <w:noProof/>
        </w:rPr>
        <w:tab/>
      </w:r>
      <w:r>
        <w:rPr>
          <w:noProof/>
        </w:rPr>
        <w:fldChar w:fldCharType="begin"/>
      </w:r>
      <w:r>
        <w:rPr>
          <w:noProof/>
        </w:rPr>
        <w:instrText xml:space="preserve"> PAGEREF _Toc152088325 \h </w:instrText>
      </w:r>
      <w:r>
        <w:rPr>
          <w:noProof/>
        </w:rPr>
      </w:r>
      <w:r>
        <w:rPr>
          <w:noProof/>
        </w:rPr>
        <w:fldChar w:fldCharType="separate"/>
      </w:r>
      <w:r>
        <w:rPr>
          <w:noProof/>
        </w:rPr>
        <w:t>25</w:t>
      </w:r>
      <w:r>
        <w:rPr>
          <w:noProof/>
        </w:rPr>
        <w:fldChar w:fldCharType="end"/>
      </w:r>
    </w:p>
    <w:p w14:paraId="1C1B05D6" w14:textId="43A9C69A"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D.1 Data and methods</w:t>
      </w:r>
      <w:r>
        <w:rPr>
          <w:noProof/>
        </w:rPr>
        <w:tab/>
      </w:r>
      <w:r>
        <w:rPr>
          <w:noProof/>
        </w:rPr>
        <w:fldChar w:fldCharType="begin"/>
      </w:r>
      <w:r>
        <w:rPr>
          <w:noProof/>
        </w:rPr>
        <w:instrText xml:space="preserve"> PAGEREF _Toc152088326 \h </w:instrText>
      </w:r>
      <w:r>
        <w:rPr>
          <w:noProof/>
        </w:rPr>
      </w:r>
      <w:r>
        <w:rPr>
          <w:noProof/>
        </w:rPr>
        <w:fldChar w:fldCharType="separate"/>
      </w:r>
      <w:r>
        <w:rPr>
          <w:noProof/>
        </w:rPr>
        <w:t>26</w:t>
      </w:r>
      <w:r>
        <w:rPr>
          <w:noProof/>
        </w:rPr>
        <w:fldChar w:fldCharType="end"/>
      </w:r>
    </w:p>
    <w:p w14:paraId="53BBA341" w14:textId="4E27CD30"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D.2 Transformations to energy and fuel production</w:t>
      </w:r>
      <w:r>
        <w:rPr>
          <w:noProof/>
        </w:rPr>
        <w:tab/>
      </w:r>
      <w:r>
        <w:rPr>
          <w:noProof/>
        </w:rPr>
        <w:fldChar w:fldCharType="begin"/>
      </w:r>
      <w:r>
        <w:rPr>
          <w:noProof/>
        </w:rPr>
        <w:instrText xml:space="preserve"> PAGEREF _Toc152088327 \h </w:instrText>
      </w:r>
      <w:r>
        <w:rPr>
          <w:noProof/>
        </w:rPr>
      </w:r>
      <w:r>
        <w:rPr>
          <w:noProof/>
        </w:rPr>
        <w:fldChar w:fldCharType="separate"/>
      </w:r>
      <w:r>
        <w:rPr>
          <w:noProof/>
        </w:rPr>
        <w:t>27</w:t>
      </w:r>
      <w:r>
        <w:rPr>
          <w:noProof/>
        </w:rPr>
        <w:fldChar w:fldCharType="end"/>
      </w:r>
    </w:p>
    <w:p w14:paraId="6072DD83" w14:textId="3A3E5CF6"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D.3 Energy and fuel production transformations’ technical costs</w:t>
      </w:r>
      <w:r>
        <w:rPr>
          <w:noProof/>
        </w:rPr>
        <w:tab/>
      </w:r>
      <w:r>
        <w:rPr>
          <w:noProof/>
        </w:rPr>
        <w:fldChar w:fldCharType="begin"/>
      </w:r>
      <w:r>
        <w:rPr>
          <w:noProof/>
        </w:rPr>
        <w:instrText xml:space="preserve"> PAGEREF _Toc152088328 \h </w:instrText>
      </w:r>
      <w:r>
        <w:rPr>
          <w:noProof/>
        </w:rPr>
      </w:r>
      <w:r>
        <w:rPr>
          <w:noProof/>
        </w:rPr>
        <w:fldChar w:fldCharType="separate"/>
      </w:r>
      <w:r>
        <w:rPr>
          <w:noProof/>
        </w:rPr>
        <w:t>28</w:t>
      </w:r>
      <w:r>
        <w:rPr>
          <w:noProof/>
        </w:rPr>
        <w:fldChar w:fldCharType="end"/>
      </w:r>
    </w:p>
    <w:p w14:paraId="31A8CFD2" w14:textId="512BAC26"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D.4 Non-technical benefits and costs of transforming energy</w:t>
      </w:r>
      <w:r>
        <w:rPr>
          <w:noProof/>
        </w:rPr>
        <w:tab/>
      </w:r>
      <w:r>
        <w:rPr>
          <w:noProof/>
        </w:rPr>
        <w:fldChar w:fldCharType="begin"/>
      </w:r>
      <w:r>
        <w:rPr>
          <w:noProof/>
        </w:rPr>
        <w:instrText xml:space="preserve"> PAGEREF _Toc152088329 \h </w:instrText>
      </w:r>
      <w:r>
        <w:rPr>
          <w:noProof/>
        </w:rPr>
      </w:r>
      <w:r>
        <w:rPr>
          <w:noProof/>
        </w:rPr>
        <w:fldChar w:fldCharType="separate"/>
      </w:r>
      <w:r>
        <w:rPr>
          <w:noProof/>
        </w:rPr>
        <w:t>29</w:t>
      </w:r>
      <w:r>
        <w:rPr>
          <w:noProof/>
        </w:rPr>
        <w:fldChar w:fldCharType="end"/>
      </w:r>
    </w:p>
    <w:p w14:paraId="34396DFA" w14:textId="21BA59BE"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E.1 Data and methods for historical and baseline projection results</w:t>
      </w:r>
      <w:r>
        <w:rPr>
          <w:noProof/>
        </w:rPr>
        <w:tab/>
      </w:r>
      <w:r>
        <w:rPr>
          <w:noProof/>
        </w:rPr>
        <w:fldChar w:fldCharType="begin"/>
      </w:r>
      <w:r>
        <w:rPr>
          <w:noProof/>
        </w:rPr>
        <w:instrText xml:space="preserve"> PAGEREF _Toc152088330 \h </w:instrText>
      </w:r>
      <w:r>
        <w:rPr>
          <w:noProof/>
        </w:rPr>
      </w:r>
      <w:r>
        <w:rPr>
          <w:noProof/>
        </w:rPr>
        <w:fldChar w:fldCharType="separate"/>
      </w:r>
      <w:r>
        <w:rPr>
          <w:noProof/>
        </w:rPr>
        <w:t>30</w:t>
      </w:r>
      <w:r>
        <w:rPr>
          <w:noProof/>
        </w:rPr>
        <w:fldChar w:fldCharType="end"/>
      </w:r>
    </w:p>
    <w:p w14:paraId="1A3CDCA0" w14:textId="709FAE5E"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E.2 Transformations to buildings</w:t>
      </w:r>
      <w:r>
        <w:rPr>
          <w:noProof/>
        </w:rPr>
        <w:tab/>
      </w:r>
      <w:r>
        <w:rPr>
          <w:noProof/>
        </w:rPr>
        <w:fldChar w:fldCharType="begin"/>
      </w:r>
      <w:r>
        <w:rPr>
          <w:noProof/>
        </w:rPr>
        <w:instrText xml:space="preserve"> PAGEREF _Toc152088331 \h </w:instrText>
      </w:r>
      <w:r>
        <w:rPr>
          <w:noProof/>
        </w:rPr>
      </w:r>
      <w:r>
        <w:rPr>
          <w:noProof/>
        </w:rPr>
        <w:fldChar w:fldCharType="separate"/>
      </w:r>
      <w:r>
        <w:rPr>
          <w:noProof/>
        </w:rPr>
        <w:t>31</w:t>
      </w:r>
      <w:r>
        <w:rPr>
          <w:noProof/>
        </w:rPr>
        <w:fldChar w:fldCharType="end"/>
      </w:r>
    </w:p>
    <w:p w14:paraId="2BE8A092" w14:textId="56CBE8C5"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E.3 Building transformations’ technical costs</w:t>
      </w:r>
      <w:r>
        <w:rPr>
          <w:noProof/>
        </w:rPr>
        <w:tab/>
      </w:r>
      <w:r>
        <w:rPr>
          <w:noProof/>
        </w:rPr>
        <w:fldChar w:fldCharType="begin"/>
      </w:r>
      <w:r>
        <w:rPr>
          <w:noProof/>
        </w:rPr>
        <w:instrText xml:space="preserve"> PAGEREF _Toc152088332 \h </w:instrText>
      </w:r>
      <w:r>
        <w:rPr>
          <w:noProof/>
        </w:rPr>
      </w:r>
      <w:r>
        <w:rPr>
          <w:noProof/>
        </w:rPr>
        <w:fldChar w:fldCharType="separate"/>
      </w:r>
      <w:r>
        <w:rPr>
          <w:noProof/>
        </w:rPr>
        <w:t>31</w:t>
      </w:r>
      <w:r>
        <w:rPr>
          <w:noProof/>
        </w:rPr>
        <w:fldChar w:fldCharType="end"/>
      </w:r>
    </w:p>
    <w:p w14:paraId="1664CE98" w14:textId="3ED07D60"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F.1 Data and methods</w:t>
      </w:r>
      <w:r>
        <w:rPr>
          <w:noProof/>
        </w:rPr>
        <w:tab/>
      </w:r>
      <w:r>
        <w:rPr>
          <w:noProof/>
        </w:rPr>
        <w:fldChar w:fldCharType="begin"/>
      </w:r>
      <w:r>
        <w:rPr>
          <w:noProof/>
        </w:rPr>
        <w:instrText xml:space="preserve"> PAGEREF _Toc152088333 \h </w:instrText>
      </w:r>
      <w:r>
        <w:rPr>
          <w:noProof/>
        </w:rPr>
      </w:r>
      <w:r>
        <w:rPr>
          <w:noProof/>
        </w:rPr>
        <w:fldChar w:fldCharType="separate"/>
      </w:r>
      <w:r>
        <w:rPr>
          <w:noProof/>
        </w:rPr>
        <w:t>33</w:t>
      </w:r>
      <w:r>
        <w:rPr>
          <w:noProof/>
        </w:rPr>
        <w:fldChar w:fldCharType="end"/>
      </w:r>
    </w:p>
    <w:p w14:paraId="3456509F" w14:textId="4FEE3EBB"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lastRenderedPageBreak/>
        <w:t>Table F.2 Transportation transformations</w:t>
      </w:r>
      <w:r>
        <w:rPr>
          <w:noProof/>
        </w:rPr>
        <w:tab/>
      </w:r>
      <w:r>
        <w:rPr>
          <w:noProof/>
        </w:rPr>
        <w:fldChar w:fldCharType="begin"/>
      </w:r>
      <w:r>
        <w:rPr>
          <w:noProof/>
        </w:rPr>
        <w:instrText xml:space="preserve"> PAGEREF _Toc152088334 \h </w:instrText>
      </w:r>
      <w:r>
        <w:rPr>
          <w:noProof/>
        </w:rPr>
      </w:r>
      <w:r>
        <w:rPr>
          <w:noProof/>
        </w:rPr>
        <w:fldChar w:fldCharType="separate"/>
      </w:r>
      <w:r>
        <w:rPr>
          <w:noProof/>
        </w:rPr>
        <w:t>35</w:t>
      </w:r>
      <w:r>
        <w:rPr>
          <w:noProof/>
        </w:rPr>
        <w:fldChar w:fldCharType="end"/>
      </w:r>
    </w:p>
    <w:p w14:paraId="6E5FAE76" w14:textId="129AD053"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F.3  Transforming transportation’s technical costs and benefits</w:t>
      </w:r>
      <w:r>
        <w:rPr>
          <w:noProof/>
        </w:rPr>
        <w:tab/>
      </w:r>
      <w:r>
        <w:rPr>
          <w:noProof/>
        </w:rPr>
        <w:fldChar w:fldCharType="begin"/>
      </w:r>
      <w:r>
        <w:rPr>
          <w:noProof/>
        </w:rPr>
        <w:instrText xml:space="preserve"> PAGEREF _Toc152088335 \h </w:instrText>
      </w:r>
      <w:r>
        <w:rPr>
          <w:noProof/>
        </w:rPr>
      </w:r>
      <w:r>
        <w:rPr>
          <w:noProof/>
        </w:rPr>
        <w:fldChar w:fldCharType="separate"/>
      </w:r>
      <w:r>
        <w:rPr>
          <w:noProof/>
        </w:rPr>
        <w:t>36</w:t>
      </w:r>
      <w:r>
        <w:rPr>
          <w:noProof/>
        </w:rPr>
        <w:fldChar w:fldCharType="end"/>
      </w:r>
    </w:p>
    <w:p w14:paraId="67B4E8BD" w14:textId="5AD052B8"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F.4 Other benefits and costs of transforming transportation</w:t>
      </w:r>
      <w:r>
        <w:rPr>
          <w:noProof/>
        </w:rPr>
        <w:tab/>
      </w:r>
      <w:r>
        <w:rPr>
          <w:noProof/>
        </w:rPr>
        <w:fldChar w:fldCharType="begin"/>
      </w:r>
      <w:r>
        <w:rPr>
          <w:noProof/>
        </w:rPr>
        <w:instrText xml:space="preserve"> PAGEREF _Toc152088336 \h </w:instrText>
      </w:r>
      <w:r>
        <w:rPr>
          <w:noProof/>
        </w:rPr>
      </w:r>
      <w:r>
        <w:rPr>
          <w:noProof/>
        </w:rPr>
        <w:fldChar w:fldCharType="separate"/>
      </w:r>
      <w:r>
        <w:rPr>
          <w:noProof/>
        </w:rPr>
        <w:t>37</w:t>
      </w:r>
      <w:r>
        <w:rPr>
          <w:noProof/>
        </w:rPr>
        <w:fldChar w:fldCharType="end"/>
      </w:r>
    </w:p>
    <w:p w14:paraId="22518EE0" w14:textId="712EB76A"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G.1 Wastewater treatment systems for industrial and domestic urban wastewater</w:t>
      </w:r>
      <w:r>
        <w:rPr>
          <w:noProof/>
        </w:rPr>
        <w:tab/>
      </w:r>
      <w:r>
        <w:rPr>
          <w:noProof/>
        </w:rPr>
        <w:fldChar w:fldCharType="begin"/>
      </w:r>
      <w:r>
        <w:rPr>
          <w:noProof/>
        </w:rPr>
        <w:instrText xml:space="preserve"> PAGEREF _Toc152088337 \h </w:instrText>
      </w:r>
      <w:r>
        <w:rPr>
          <w:noProof/>
        </w:rPr>
      </w:r>
      <w:r>
        <w:rPr>
          <w:noProof/>
        </w:rPr>
        <w:fldChar w:fldCharType="separate"/>
      </w:r>
      <w:r>
        <w:rPr>
          <w:noProof/>
        </w:rPr>
        <w:t>41</w:t>
      </w:r>
      <w:r>
        <w:rPr>
          <w:noProof/>
        </w:rPr>
        <w:fldChar w:fldCharType="end"/>
      </w:r>
    </w:p>
    <w:p w14:paraId="2DE2F6A7" w14:textId="09506A4D"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G.2 Domestic sanitation systems</w:t>
      </w:r>
      <w:r>
        <w:rPr>
          <w:noProof/>
        </w:rPr>
        <w:tab/>
      </w:r>
      <w:r>
        <w:rPr>
          <w:noProof/>
        </w:rPr>
        <w:fldChar w:fldCharType="begin"/>
      </w:r>
      <w:r>
        <w:rPr>
          <w:noProof/>
        </w:rPr>
        <w:instrText xml:space="preserve"> PAGEREF _Toc152088338 \h </w:instrText>
      </w:r>
      <w:r>
        <w:rPr>
          <w:noProof/>
        </w:rPr>
      </w:r>
      <w:r>
        <w:rPr>
          <w:noProof/>
        </w:rPr>
        <w:fldChar w:fldCharType="separate"/>
      </w:r>
      <w:r>
        <w:rPr>
          <w:noProof/>
        </w:rPr>
        <w:t>41</w:t>
      </w:r>
      <w:r>
        <w:rPr>
          <w:noProof/>
        </w:rPr>
        <w:fldChar w:fldCharType="end"/>
      </w:r>
    </w:p>
    <w:p w14:paraId="771D1EE2" w14:textId="4B35EA91"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G.3. Data and methods for historical and baseline projection results</w:t>
      </w:r>
      <w:r>
        <w:rPr>
          <w:noProof/>
        </w:rPr>
        <w:tab/>
      </w:r>
      <w:r>
        <w:rPr>
          <w:noProof/>
        </w:rPr>
        <w:fldChar w:fldCharType="begin"/>
      </w:r>
      <w:r>
        <w:rPr>
          <w:noProof/>
        </w:rPr>
        <w:instrText xml:space="preserve"> PAGEREF _Toc152088339 \h </w:instrText>
      </w:r>
      <w:r>
        <w:rPr>
          <w:noProof/>
        </w:rPr>
      </w:r>
      <w:r>
        <w:rPr>
          <w:noProof/>
        </w:rPr>
        <w:fldChar w:fldCharType="separate"/>
      </w:r>
      <w:r>
        <w:rPr>
          <w:noProof/>
        </w:rPr>
        <w:t>42</w:t>
      </w:r>
      <w:r>
        <w:rPr>
          <w:noProof/>
        </w:rPr>
        <w:fldChar w:fldCharType="end"/>
      </w:r>
    </w:p>
    <w:p w14:paraId="3336C97A" w14:textId="7B7DBB70"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G.4. Transformations to wastewater</w:t>
      </w:r>
      <w:r>
        <w:rPr>
          <w:noProof/>
        </w:rPr>
        <w:tab/>
      </w:r>
      <w:r>
        <w:rPr>
          <w:noProof/>
        </w:rPr>
        <w:fldChar w:fldCharType="begin"/>
      </w:r>
      <w:r>
        <w:rPr>
          <w:noProof/>
        </w:rPr>
        <w:instrText xml:space="preserve"> PAGEREF _Toc152088340 \h </w:instrText>
      </w:r>
      <w:r>
        <w:rPr>
          <w:noProof/>
        </w:rPr>
      </w:r>
      <w:r>
        <w:rPr>
          <w:noProof/>
        </w:rPr>
        <w:fldChar w:fldCharType="separate"/>
      </w:r>
      <w:r>
        <w:rPr>
          <w:noProof/>
        </w:rPr>
        <w:t>42</w:t>
      </w:r>
      <w:r>
        <w:rPr>
          <w:noProof/>
        </w:rPr>
        <w:fldChar w:fldCharType="end"/>
      </w:r>
    </w:p>
    <w:p w14:paraId="57DC0D15" w14:textId="775BEDF6"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G.5 Wastewater management’s technical costs</w:t>
      </w:r>
      <w:r>
        <w:rPr>
          <w:noProof/>
        </w:rPr>
        <w:tab/>
      </w:r>
      <w:r>
        <w:rPr>
          <w:noProof/>
        </w:rPr>
        <w:fldChar w:fldCharType="begin"/>
      </w:r>
      <w:r>
        <w:rPr>
          <w:noProof/>
        </w:rPr>
        <w:instrText xml:space="preserve"> PAGEREF _Toc152088341 \h </w:instrText>
      </w:r>
      <w:r>
        <w:rPr>
          <w:noProof/>
        </w:rPr>
      </w:r>
      <w:r>
        <w:rPr>
          <w:noProof/>
        </w:rPr>
        <w:fldChar w:fldCharType="separate"/>
      </w:r>
      <w:r>
        <w:rPr>
          <w:noProof/>
        </w:rPr>
        <w:t>43</w:t>
      </w:r>
      <w:r>
        <w:rPr>
          <w:noProof/>
        </w:rPr>
        <w:fldChar w:fldCharType="end"/>
      </w:r>
    </w:p>
    <w:p w14:paraId="2FEECE93" w14:textId="2B80D1B8"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G.6 Non-technical benefits and costs of transforming wastewater</w:t>
      </w:r>
      <w:r>
        <w:rPr>
          <w:noProof/>
        </w:rPr>
        <w:tab/>
      </w:r>
      <w:r>
        <w:rPr>
          <w:noProof/>
        </w:rPr>
        <w:fldChar w:fldCharType="begin"/>
      </w:r>
      <w:r>
        <w:rPr>
          <w:noProof/>
        </w:rPr>
        <w:instrText xml:space="preserve"> PAGEREF _Toc152088342 \h </w:instrText>
      </w:r>
      <w:r>
        <w:rPr>
          <w:noProof/>
        </w:rPr>
      </w:r>
      <w:r>
        <w:rPr>
          <w:noProof/>
        </w:rPr>
        <w:fldChar w:fldCharType="separate"/>
      </w:r>
      <w:r>
        <w:rPr>
          <w:noProof/>
        </w:rPr>
        <w:t>44</w:t>
      </w:r>
      <w:r>
        <w:rPr>
          <w:noProof/>
        </w:rPr>
        <w:fldChar w:fldCharType="end"/>
      </w:r>
    </w:p>
    <w:p w14:paraId="77779F1D" w14:textId="6D7920F6"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G.7 Solid waste management systems</w:t>
      </w:r>
      <w:r>
        <w:rPr>
          <w:noProof/>
        </w:rPr>
        <w:tab/>
      </w:r>
      <w:r>
        <w:rPr>
          <w:noProof/>
        </w:rPr>
        <w:fldChar w:fldCharType="begin"/>
      </w:r>
      <w:r>
        <w:rPr>
          <w:noProof/>
        </w:rPr>
        <w:instrText xml:space="preserve"> PAGEREF _Toc152088343 \h </w:instrText>
      </w:r>
      <w:r>
        <w:rPr>
          <w:noProof/>
        </w:rPr>
      </w:r>
      <w:r>
        <w:rPr>
          <w:noProof/>
        </w:rPr>
        <w:fldChar w:fldCharType="separate"/>
      </w:r>
      <w:r>
        <w:rPr>
          <w:noProof/>
        </w:rPr>
        <w:t>45</w:t>
      </w:r>
      <w:r>
        <w:rPr>
          <w:noProof/>
        </w:rPr>
        <w:fldChar w:fldCharType="end"/>
      </w:r>
    </w:p>
    <w:p w14:paraId="432000D7" w14:textId="62BAA2E4"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sidRPr="007E4199">
        <w:rPr>
          <w:rFonts w:eastAsia="Arial"/>
          <w:noProof/>
        </w:rPr>
        <w:t>Table G.8 Data and methods for historical and baseline projection results</w:t>
      </w:r>
      <w:r>
        <w:rPr>
          <w:noProof/>
        </w:rPr>
        <w:tab/>
      </w:r>
      <w:r>
        <w:rPr>
          <w:noProof/>
        </w:rPr>
        <w:fldChar w:fldCharType="begin"/>
      </w:r>
      <w:r>
        <w:rPr>
          <w:noProof/>
        </w:rPr>
        <w:instrText xml:space="preserve"> PAGEREF _Toc152088344 \h </w:instrText>
      </w:r>
      <w:r>
        <w:rPr>
          <w:noProof/>
        </w:rPr>
      </w:r>
      <w:r>
        <w:rPr>
          <w:noProof/>
        </w:rPr>
        <w:fldChar w:fldCharType="separate"/>
      </w:r>
      <w:r>
        <w:rPr>
          <w:noProof/>
        </w:rPr>
        <w:t>46</w:t>
      </w:r>
      <w:r>
        <w:rPr>
          <w:noProof/>
        </w:rPr>
        <w:fldChar w:fldCharType="end"/>
      </w:r>
    </w:p>
    <w:p w14:paraId="3DCD01C3" w14:textId="315A990F"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G.9 Transformations affecting solid waste</w:t>
      </w:r>
      <w:r>
        <w:rPr>
          <w:noProof/>
        </w:rPr>
        <w:tab/>
      </w:r>
      <w:r>
        <w:rPr>
          <w:noProof/>
        </w:rPr>
        <w:fldChar w:fldCharType="begin"/>
      </w:r>
      <w:r>
        <w:rPr>
          <w:noProof/>
        </w:rPr>
        <w:instrText xml:space="preserve"> PAGEREF _Toc152088345 \h </w:instrText>
      </w:r>
      <w:r>
        <w:rPr>
          <w:noProof/>
        </w:rPr>
      </w:r>
      <w:r>
        <w:rPr>
          <w:noProof/>
        </w:rPr>
        <w:fldChar w:fldCharType="separate"/>
      </w:r>
      <w:r>
        <w:rPr>
          <w:noProof/>
        </w:rPr>
        <w:t>47</w:t>
      </w:r>
      <w:r>
        <w:rPr>
          <w:noProof/>
        </w:rPr>
        <w:fldChar w:fldCharType="end"/>
      </w:r>
    </w:p>
    <w:p w14:paraId="7CC95E84" w14:textId="05C7A688"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G.10  Waste reduction’s technical costs</w:t>
      </w:r>
      <w:r>
        <w:rPr>
          <w:noProof/>
        </w:rPr>
        <w:tab/>
      </w:r>
      <w:r>
        <w:rPr>
          <w:noProof/>
        </w:rPr>
        <w:fldChar w:fldCharType="begin"/>
      </w:r>
      <w:r>
        <w:rPr>
          <w:noProof/>
        </w:rPr>
        <w:instrText xml:space="preserve"> PAGEREF _Toc152088346 \h </w:instrText>
      </w:r>
      <w:r>
        <w:rPr>
          <w:noProof/>
        </w:rPr>
      </w:r>
      <w:r>
        <w:rPr>
          <w:noProof/>
        </w:rPr>
        <w:fldChar w:fldCharType="separate"/>
      </w:r>
      <w:r>
        <w:rPr>
          <w:noProof/>
        </w:rPr>
        <w:t>48</w:t>
      </w:r>
      <w:r>
        <w:rPr>
          <w:noProof/>
        </w:rPr>
        <w:fldChar w:fldCharType="end"/>
      </w:r>
    </w:p>
    <w:p w14:paraId="543BF57F" w14:textId="72DD7C67"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G.11 Solid waste management’s technical costs</w:t>
      </w:r>
      <w:r>
        <w:rPr>
          <w:noProof/>
        </w:rPr>
        <w:tab/>
      </w:r>
      <w:r>
        <w:rPr>
          <w:noProof/>
        </w:rPr>
        <w:fldChar w:fldCharType="begin"/>
      </w:r>
      <w:r>
        <w:rPr>
          <w:noProof/>
        </w:rPr>
        <w:instrText xml:space="preserve"> PAGEREF _Toc152088347 \h </w:instrText>
      </w:r>
      <w:r>
        <w:rPr>
          <w:noProof/>
        </w:rPr>
      </w:r>
      <w:r>
        <w:rPr>
          <w:noProof/>
        </w:rPr>
        <w:fldChar w:fldCharType="separate"/>
      </w:r>
      <w:r>
        <w:rPr>
          <w:noProof/>
        </w:rPr>
        <w:t>48</w:t>
      </w:r>
      <w:r>
        <w:rPr>
          <w:noProof/>
        </w:rPr>
        <w:fldChar w:fldCharType="end"/>
      </w:r>
    </w:p>
    <w:p w14:paraId="1B45F99B" w14:textId="3EA26CDF" w:rsidR="00752B0C" w:rsidRPr="00752B0C" w:rsidRDefault="00752B0C">
      <w:pPr>
        <w:pStyle w:val="TableofFigures"/>
        <w:tabs>
          <w:tab w:val="right" w:leader="dot" w:pos="9350"/>
        </w:tabs>
        <w:rPr>
          <w:rFonts w:asciiTheme="minorHAnsi" w:eastAsiaTheme="minorEastAsia" w:hAnsiTheme="minorHAnsi" w:cstheme="minorBidi"/>
          <w:noProof/>
          <w:sz w:val="22"/>
          <w:szCs w:val="22"/>
          <w:lang w:eastAsia="es-MX"/>
        </w:rPr>
      </w:pPr>
      <w:r>
        <w:rPr>
          <w:noProof/>
        </w:rPr>
        <w:t>Table G.12 Solid waste management’s non-GHG benefits</w:t>
      </w:r>
      <w:r>
        <w:rPr>
          <w:noProof/>
        </w:rPr>
        <w:tab/>
      </w:r>
      <w:r>
        <w:rPr>
          <w:noProof/>
        </w:rPr>
        <w:fldChar w:fldCharType="begin"/>
      </w:r>
      <w:r>
        <w:rPr>
          <w:noProof/>
        </w:rPr>
        <w:instrText xml:space="preserve"> PAGEREF _Toc152088348 \h </w:instrText>
      </w:r>
      <w:r>
        <w:rPr>
          <w:noProof/>
        </w:rPr>
      </w:r>
      <w:r>
        <w:rPr>
          <w:noProof/>
        </w:rPr>
        <w:fldChar w:fldCharType="separate"/>
      </w:r>
      <w:r>
        <w:rPr>
          <w:noProof/>
        </w:rPr>
        <w:t>49</w:t>
      </w:r>
      <w:r>
        <w:rPr>
          <w:noProof/>
        </w:rPr>
        <w:fldChar w:fldCharType="end"/>
      </w:r>
    </w:p>
    <w:p w14:paraId="34EECF7D" w14:textId="66857B6F" w:rsidR="00145FE7" w:rsidRPr="00A61DF4" w:rsidRDefault="008B128B" w:rsidP="00B01162">
      <w:pPr>
        <w:ind w:left="360"/>
        <w:sectPr w:rsidR="00145FE7" w:rsidRPr="00A61DF4" w:rsidSect="007305FC">
          <w:pgSz w:w="12240" w:h="15840"/>
          <w:pgMar w:top="1440" w:right="1440" w:bottom="1440" w:left="1440" w:header="720" w:footer="720" w:gutter="0"/>
          <w:pgNumType w:fmt="lowerRoman" w:start="3"/>
          <w:cols w:space="720"/>
          <w:docGrid w:linePitch="326"/>
        </w:sectPr>
      </w:pPr>
      <w:r w:rsidRPr="00A61DF4">
        <w:fldChar w:fldCharType="end"/>
      </w:r>
      <w:r w:rsidR="006633C9" w:rsidRPr="00A61DF4">
        <w:t xml:space="preserve"> </w:t>
      </w:r>
    </w:p>
    <w:p w14:paraId="61468537" w14:textId="688FF4DD" w:rsidR="007E74EA" w:rsidRDefault="39B700C4">
      <w:pPr>
        <w:pStyle w:val="Heading1"/>
      </w:pPr>
      <w:bookmarkStart w:id="25" w:name="_Toc152088233"/>
      <w:proofErr w:type="spellStart"/>
      <w:r>
        <w:lastRenderedPageBreak/>
        <w:t>SiSePuede</w:t>
      </w:r>
      <w:proofErr w:type="spellEnd"/>
      <w:r>
        <w:t xml:space="preserve"> Analytical Framework</w:t>
      </w:r>
      <w:bookmarkEnd w:id="25"/>
    </w:p>
    <w:p w14:paraId="103B69F4" w14:textId="64A31237" w:rsidR="007B2D8A" w:rsidRDefault="7654BBD9">
      <w:proofErr w:type="spellStart"/>
      <w:r>
        <w:t>SiSePuede</w:t>
      </w:r>
      <w:proofErr w:type="spellEnd"/>
      <w:r>
        <w:t xml:space="preserve"> is an open source, robust modeling framework for emission accounting based on the 2006 IPCC Guidelines for National Greenhouse Gas Inventories (Eggleston et al., 2006) and subsequent 2019 Revision </w:t>
      </w:r>
      <w:r w:rsidRPr="00EB046C">
        <w:t>(Buendia et al., 2019). The framework, which is written in Python and Julia, includes several analytical components used to facilitate</w:t>
      </w:r>
      <w:r>
        <w:t xml:space="preserve"> exploratory modeling of sectoral transformations and their effects on demands and emissions, including an integrated multisector emissions model; an uncertainty quantification system based on Latin Hypercube sampling; and scalable database generation and scenario management. </w:t>
      </w:r>
    </w:p>
    <w:p w14:paraId="28C5215C" w14:textId="131CCBCB" w:rsidR="002714DF" w:rsidRDefault="5D8E75AF" w:rsidP="39B700C4">
      <w:r>
        <w:t xml:space="preserve">The </w:t>
      </w:r>
      <w:proofErr w:type="spellStart"/>
      <w:r>
        <w:t>SiSePuede</w:t>
      </w:r>
      <w:proofErr w:type="spellEnd"/>
      <w:r>
        <w:t xml:space="preserve"> integrated emission model includes four emission accounting sectors—Agriculture, Forestry, and Land Use (AFOLU), Circular Economy (waste management), Energy, and Industrial Processes and Product Use (IPPU)—in addition to a shared driver sector, the Socioeconomic sector.  Each sector is divided into multiple accounting subsectors, which include refined emissions that correspond to different IPCC emission accounting codes.</w:t>
      </w:r>
    </w:p>
    <w:p w14:paraId="44A0AD1B" w14:textId="459F689E" w:rsidR="5D8E75AF" w:rsidRDefault="5D8E75AF" w:rsidP="5D8E75AF"/>
    <w:p w14:paraId="5FA0BE96" w14:textId="0D2B5D7C" w:rsidR="39B700C4" w:rsidRDefault="39B700C4" w:rsidP="39B700C4"/>
    <w:p w14:paraId="42305923" w14:textId="77777777" w:rsidR="009E373B" w:rsidRDefault="002714DF" w:rsidP="009E373B">
      <w:pPr>
        <w:keepNext/>
        <w:jc w:val="center"/>
      </w:pPr>
      <w:r>
        <w:rPr>
          <w:noProof/>
        </w:rPr>
        <w:drawing>
          <wp:inline distT="0" distB="0" distL="0" distR="0" wp14:anchorId="4D9535AB" wp14:editId="2FC0F72A">
            <wp:extent cx="5542901" cy="4365034"/>
            <wp:effectExtent l="0" t="0" r="1270" b="0"/>
            <wp:docPr id="404463195" name="Picture 404463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63195"/>
                    <pic:cNvPicPr/>
                  </pic:nvPicPr>
                  <pic:blipFill>
                    <a:blip r:embed="rId19">
                      <a:extLst>
                        <a:ext uri="{28A0092B-C50C-407E-A947-70E740481C1C}">
                          <a14:useLocalDpi xmlns:a14="http://schemas.microsoft.com/office/drawing/2010/main" val="0"/>
                        </a:ext>
                      </a:extLst>
                    </a:blip>
                    <a:stretch>
                      <a:fillRect/>
                    </a:stretch>
                  </pic:blipFill>
                  <pic:spPr>
                    <a:xfrm>
                      <a:off x="0" y="0"/>
                      <a:ext cx="5542901" cy="4365034"/>
                    </a:xfrm>
                    <a:prstGeom prst="rect">
                      <a:avLst/>
                    </a:prstGeom>
                  </pic:spPr>
                </pic:pic>
              </a:graphicData>
            </a:graphic>
          </wp:inline>
        </w:drawing>
      </w:r>
    </w:p>
    <w:p w14:paraId="05C4376B" w14:textId="4E6D4460" w:rsidR="39B700C4" w:rsidRDefault="39B700C4" w:rsidP="00667429">
      <w:pPr>
        <w:pStyle w:val="FigurePlacement"/>
      </w:pPr>
      <w:r>
        <w:t xml:space="preserve">Note: Arrows indicate data flows between submodules in </w:t>
      </w:r>
      <w:proofErr w:type="spellStart"/>
      <w:r>
        <w:t>SiSePuede</w:t>
      </w:r>
      <w:proofErr w:type="spellEnd"/>
      <w:r>
        <w:t>.</w:t>
      </w:r>
    </w:p>
    <w:p w14:paraId="094B8264" w14:textId="0C8D1145" w:rsidR="002714DF" w:rsidRDefault="48B0C125" w:rsidP="0004323B">
      <w:pPr>
        <w:pStyle w:val="Heading7"/>
      </w:pPr>
      <w:bookmarkStart w:id="26" w:name="_Toc152088179"/>
      <w:r>
        <w:lastRenderedPageBreak/>
        <w:t xml:space="preserve">Figure </w:t>
      </w:r>
      <w:r w:rsidR="39B700C4" w:rsidRPr="0004323B">
        <w:fldChar w:fldCharType="begin"/>
      </w:r>
      <w:r w:rsidR="39B700C4">
        <w:instrText xml:space="preserve"> SEQ Figure \* ARABIC </w:instrText>
      </w:r>
      <w:r w:rsidR="39B700C4" w:rsidRPr="0004323B">
        <w:fldChar w:fldCharType="separate"/>
      </w:r>
      <w:r w:rsidRPr="48B0C125">
        <w:t>1</w:t>
      </w:r>
      <w:r w:rsidR="39B700C4" w:rsidRPr="0004323B">
        <w:fldChar w:fldCharType="end"/>
      </w:r>
      <w:r>
        <w:t xml:space="preserve">. Technical modeling framework for </w:t>
      </w:r>
      <w:proofErr w:type="spellStart"/>
      <w:r>
        <w:t>SiSePuede</w:t>
      </w:r>
      <w:proofErr w:type="spellEnd"/>
      <w:r>
        <w:t>.</w:t>
      </w:r>
      <w:bookmarkEnd w:id="26"/>
    </w:p>
    <w:p w14:paraId="1333DADA" w14:textId="77777777" w:rsidR="002714DF" w:rsidRPr="003F3E53" w:rsidRDefault="002714DF" w:rsidP="27D37F11"/>
    <w:p w14:paraId="49AC945D" w14:textId="5BB500C0" w:rsidR="00243246" w:rsidRPr="003F3E53" w:rsidRDefault="0CDBF178" w:rsidP="27B2A08E">
      <w:r>
        <w:t>AFOLU models six subsectors: agriculture, forestry, land use, livestock, livestock manure management, and soil. These six sectors are based on volume 4 of the IPCC guidance for national greenhouse gas (GHG) inventories and include extensive treatment of key emission phenomena, including crop residues and burning, forest sequestration, land-use conversion and use, enteric fermentation, manure management, fertilizer application, and soil carbon sequestration in mineral and organic soils. The land-use subsector models land-use transitions directly as a discrete Markov chain, allowing for a detailed accounting of emissions stemming from land-use conversion. Furthermore, it includes a novel mechanism, known as the land-use reallocation factor, to model land-use changes that occur in response to changing demands for livestock and crops and reconcile these demands with exogenous expectations about land-use changes. Demands for crops and livestock production generally are based on historical production, imports, and exports and are responsive to changes in trade and gross domestic product (GDP), GDP/capita, and population.  </w:t>
      </w:r>
    </w:p>
    <w:p w14:paraId="7CC48F7E" w14:textId="38B2AB5B" w:rsidR="00243246" w:rsidRPr="003F3E53" w:rsidRDefault="27B2A08E" w:rsidP="27B2A08E">
      <w:r>
        <w:t>Circular Economy includes three subsectors: liquid waste, solid waste, and wastewater treatment. These three sectors are derived from volume 5 of the IPCC guidance for national greenhouse gas inventories and include detailed emissions estimates from wastewater treatment and management pathways, solid waste treatment pathways (including a first-order decay model of landfilled waste), and recycling, which then gets passed to the industrial production model to estimate changes for producing virgin materials. Waste generation primarily is driven by per-person generation factors, which are responsive to changes in GDP, GDP/capita, and population and other sectors, including livestock manure management and supply-chain loss in agriculture. </w:t>
      </w:r>
    </w:p>
    <w:p w14:paraId="1BC1E191" w14:textId="19BE8B48" w:rsidR="00243246" w:rsidRPr="003F3E53" w:rsidRDefault="7654BBD9" w:rsidP="00243246">
      <w:r>
        <w:t>Energy includes nine model subsectors, six of which are emission subsectors: carbon capture and sequestration, energy fuels, energy storage, energy technology (fuel production, including electricity), fugitive emissions, industrial energy, stationary combustion and other energy, transportation, and transportation demands. These sectors include estimates of energy demands, emissions from fuel combustion, and fuel consumption using information from other sectors as input, including GDP, industrial production, number of households, and more. All energy demands for fuel production–including electricity, petroleum refinement, coal mining, natural gas production and processing, and hydrogen production–are passed to a least-cost optimization model developed in Julia NEMO (</w:t>
      </w:r>
      <w:r w:rsidRPr="00AD010B">
        <w:t>SEI</w:t>
      </w:r>
      <w:r>
        <w:t>, 2023) to estimate emissions from energy and fuel production.</w:t>
      </w:r>
    </w:p>
    <w:p w14:paraId="77F736D6" w14:textId="074E0791" w:rsidR="00243246" w:rsidRPr="003F3E53" w:rsidRDefault="48B0C125" w:rsidP="48B0C125">
      <w:r>
        <w:t xml:space="preserve">IPPU is based on volume 3 of the IPCC Guidance for National Greenhouse Gas (GHG) Inventories. The IPPU sector includes estimates of emissions from a range of gases released during industrial production, including a by-gas accounting of several fluorinated compounds (including HFCs, PFCs, and other FCs) derived from other bottom-up estimates in the literature. Industrial production primarily is driven by domestic demands and trade and is responsive to changes in GDP, GDP/capita, and recycling (for applicable industries). In the </w:t>
      </w:r>
      <w:proofErr w:type="spellStart"/>
      <w:r>
        <w:t>SiSePuede</w:t>
      </w:r>
      <w:proofErr w:type="spellEnd"/>
      <w:r>
        <w:t xml:space="preserve"> </w:t>
      </w:r>
      <w:r w:rsidR="00FD68F2">
        <w:t>D</w:t>
      </w:r>
      <w:r w:rsidR="00FD68F2" w:rsidRPr="00FD68F2">
        <w:t xml:space="preserve">irected </w:t>
      </w:r>
      <w:r w:rsidR="00FD68F2">
        <w:t>A</w:t>
      </w:r>
      <w:r w:rsidR="00FD68F2" w:rsidRPr="00FD68F2">
        <w:t xml:space="preserve">cyclic </w:t>
      </w:r>
      <w:r w:rsidR="00FD68F2">
        <w:t>G</w:t>
      </w:r>
      <w:r w:rsidR="00FD68F2" w:rsidRPr="00FD68F2">
        <w:t>raph</w:t>
      </w:r>
      <w:r w:rsidR="00FD68F2">
        <w:t xml:space="preserve"> (</w:t>
      </w:r>
      <w:r>
        <w:t>DAG</w:t>
      </w:r>
      <w:r w:rsidR="00FD68F2">
        <w:t>)</w:t>
      </w:r>
      <w:r>
        <w:t>, industrial production functions are stored in IPPU and accessed in both Circular Economy and AFOLU.</w:t>
      </w:r>
    </w:p>
    <w:p w14:paraId="61FFB4AA" w14:textId="3C35665A" w:rsidR="00243246" w:rsidRDefault="27B2A08E">
      <w:r>
        <w:lastRenderedPageBreak/>
        <w:t>Finally, the Socioeconomic sector includes two subsectors: general and economy. These two subsectors are used to manage exogenously defined drivers that are shared across emission models, such as GDP and population. The Socioeconomic subsector includes some simple calculations–such as GDP/capita, the number of households, and various rates of growth in drivers—but does not account for any emissions.</w:t>
      </w:r>
    </w:p>
    <w:p w14:paraId="3EA822B6" w14:textId="3D69E05B" w:rsidR="00F5092B" w:rsidRDefault="0CDBF178" w:rsidP="27B2A08E">
      <w:proofErr w:type="spellStart"/>
      <w:r>
        <w:t>SiSePuede</w:t>
      </w:r>
      <w:proofErr w:type="spellEnd"/>
      <w:r>
        <w:t xml:space="preserve"> accounts for gas-specific emissions across several greenhouse gases, including methane, carbon dioxide, nitrous oxide (CH4, CO2, N2O), and numerous PFCs, HFCs, and other fluorinated compounds. Accounting can be set to reflect different global warming potentials (GWP), including 20-, 100-, and 500- year GWPs.</w:t>
      </w:r>
    </w:p>
    <w:p w14:paraId="12B52DB9" w14:textId="3A755BAC" w:rsidR="00F5092B" w:rsidRDefault="27B2A08E" w:rsidP="00F5092B">
      <w:pPr>
        <w:pStyle w:val="Heading2"/>
      </w:pPr>
      <w:bookmarkStart w:id="27" w:name="_Toc152088234"/>
      <w:proofErr w:type="spellStart"/>
      <w:r>
        <w:t>SiSePuede</w:t>
      </w:r>
      <w:proofErr w:type="spellEnd"/>
      <w:r>
        <w:t xml:space="preserve"> Calibration</w:t>
      </w:r>
      <w:bookmarkEnd w:id="27"/>
    </w:p>
    <w:p w14:paraId="01263BEB" w14:textId="77777777" w:rsidR="00F5092B" w:rsidRDefault="00F5092B" w:rsidP="00243246"/>
    <w:p w14:paraId="6DA9F9F5" w14:textId="34F0FC73" w:rsidR="00F5092B" w:rsidRDefault="27B2A08E" w:rsidP="27B2A08E">
      <w:r>
        <w:t xml:space="preserve">Figure </w:t>
      </w:r>
      <w:r w:rsidR="00F608B5">
        <w:t>2</w:t>
      </w:r>
      <w:r>
        <w:t xml:space="preserve"> describes the calibration process for </w:t>
      </w:r>
      <w:proofErr w:type="spellStart"/>
      <w:r>
        <w:t>SiSePuede</w:t>
      </w:r>
      <w:proofErr w:type="spellEnd"/>
      <w:r>
        <w:t xml:space="preserve"> and how this interrelates with simulation runs. In the first step, two sets of input parameters are defined: a) parameters that have observed historical data and b) parameters that need to be estimated through calibration. For the latter, historical emissions are the response of interest used in the calibration process. The calibration process searches for a set of calibrated parameters that minimize the error between the model-simulated emissions and observed emissions. This process occurs separately for each sector.</w:t>
      </w:r>
    </w:p>
    <w:p w14:paraId="2CE7211E" w14:textId="1FB4067F" w:rsidR="00F5092B" w:rsidRDefault="27B2A08E" w:rsidP="27B2A08E">
      <w:r>
        <w:t>A minimization problem is defined where the objective function to be minimized is the mean square error between the simulated and observed series of carbon dioxide equivalent (CO2e) emissions of each sector.</w:t>
      </w:r>
    </w:p>
    <w:p w14:paraId="39EE5224" w14:textId="77777777" w:rsidR="00F5092B" w:rsidRPr="00530CD6" w:rsidRDefault="00F5092B" w:rsidP="00F5092B"/>
    <w:p w14:paraId="06D20B8B" w14:textId="10CECE23" w:rsidR="00F5092B" w:rsidRPr="007516BE" w:rsidRDefault="00560F69" w:rsidP="00F5092B">
      <w:pPr>
        <w:jc w:val="center"/>
        <w:rPr>
          <w:lang w:val="pt-BR"/>
        </w:rPr>
      </w:pPr>
      <m:oMathPara>
        <m:oMath>
          <m:func>
            <m:funcPr>
              <m:ctrlPr>
                <w:rPr>
                  <w:rFonts w:ascii="Cambria Math" w:hAnsi="Cambria Math"/>
                </w:rPr>
              </m:ctrlPr>
            </m:funcPr>
            <m:fName>
              <m:r>
                <m:rPr>
                  <m:sty m:val="p"/>
                </m:rPr>
                <w:rPr>
                  <w:rFonts w:ascii="Cambria Math" w:hAnsi="Cambria Math"/>
                  <w:lang w:val="pt-BR"/>
                </w:rPr>
                <m:t>min</m:t>
              </m:r>
            </m:fName>
            <m:e>
              <m:f>
                <m:fPr>
                  <m:ctrlPr>
                    <w:rPr>
                      <w:rFonts w:ascii="Cambria Math" w:hAnsi="Cambria Math"/>
                    </w:rPr>
                  </m:ctrlPr>
                </m:fPr>
                <m:num>
                  <m:r>
                    <w:rPr>
                      <w:rFonts w:ascii="Cambria Math" w:hAnsi="Cambria Math"/>
                      <w:lang w:val="pt-BR"/>
                    </w:rPr>
                    <m:t>1</m:t>
                  </m:r>
                </m:num>
                <m:den>
                  <m:r>
                    <w:rPr>
                      <w:rFonts w:ascii="Cambria Math" w:hAnsi="Cambria Math"/>
                    </w:rPr>
                    <m:t>T</m:t>
                  </m:r>
                </m:den>
              </m:f>
              <m:nary>
                <m:naryPr>
                  <m:chr m:val="∑"/>
                  <m:ctrlPr>
                    <w:rPr>
                      <w:rFonts w:ascii="Cambria Math" w:hAnsi="Cambria Math"/>
                    </w:rPr>
                  </m:ctrlPr>
                </m:naryPr>
                <m:sub>
                  <m:r>
                    <w:rPr>
                      <w:rFonts w:ascii="Cambria Math" w:hAnsi="Cambria Math"/>
                    </w:rPr>
                    <m:t>t</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CO</m:t>
                              </m:r>
                            </m:e>
                            <m:sub>
                              <m:r>
                                <w:rPr>
                                  <w:rFonts w:ascii="Cambria Math" w:hAnsi="Cambria Math"/>
                                  <w:lang w:val="pt-BR"/>
                                </w:rPr>
                                <m:t>2</m:t>
                              </m:r>
                            </m:sub>
                          </m:sSub>
                          <m:r>
                            <m:rPr>
                              <m:nor/>
                            </m:rPr>
                            <w:rPr>
                              <w:rFonts w:ascii="Cambria Math"/>
                              <w:lang w:val="pt-BR"/>
                            </w:rPr>
                            <m:t>e</m:t>
                          </m:r>
                          <m:r>
                            <m:rPr>
                              <m:nor/>
                            </m:rPr>
                            <w:rPr>
                              <w:lang w:val="pt-BR"/>
                            </w:rPr>
                            <m:t> </m:t>
                          </m:r>
                          <m:sSub>
                            <m:sSubPr>
                              <m:ctrlPr>
                                <w:rPr>
                                  <w:rFonts w:ascii="Cambria Math" w:hAnsi="Cambria Math"/>
                                </w:rPr>
                              </m:ctrlPr>
                            </m:sSubPr>
                            <m:e>
                              <m:r>
                                <m:rPr>
                                  <m:nor/>
                                </m:rPr>
                                <w:rPr>
                                  <w:lang w:val="pt-BR"/>
                                </w:rPr>
                                <m:t>emissions</m:t>
                              </m:r>
                            </m:e>
                            <m:sub>
                              <m:r>
                                <w:rPr>
                                  <w:rFonts w:ascii="Cambria Math" w:hAnsi="Cambria Math"/>
                                </w:rPr>
                                <m:t>s</m:t>
                              </m:r>
                              <m:r>
                                <w:rPr>
                                  <w:rFonts w:ascii="Cambria Math" w:hAnsi="Cambria Math"/>
                                  <w:lang w:val="pt-BR"/>
                                </w:rPr>
                                <m:t>,</m:t>
                              </m:r>
                              <m:r>
                                <w:rPr>
                                  <w:rFonts w:ascii="Cambria Math" w:hAnsi="Cambria Math"/>
                                </w:rPr>
                                <m:t>t</m:t>
                              </m:r>
                            </m:sub>
                          </m:sSub>
                          <m:r>
                            <w:rPr>
                              <w:rFonts w:ascii="Cambria Math" w:hAnsi="Cambria Math"/>
                              <w:lang w:val="pt-BR"/>
                            </w:rPr>
                            <m:t>-</m:t>
                          </m:r>
                          <m:acc>
                            <m:accPr>
                              <m:ctrlPr>
                                <w:rPr>
                                  <w:rFonts w:ascii="Cambria Math" w:hAnsi="Cambria Math"/>
                                </w:rPr>
                              </m:ctrlPr>
                            </m:accPr>
                            <m:e>
                              <m:sSub>
                                <m:sSubPr>
                                  <m:ctrlPr>
                                    <w:rPr>
                                      <w:rFonts w:ascii="Cambria Math" w:hAnsi="Cambria Math"/>
                                      <w:i/>
                                    </w:rPr>
                                  </m:ctrlPr>
                                </m:sSubPr>
                                <m:e>
                                  <m:r>
                                    <w:rPr>
                                      <w:rFonts w:ascii="Cambria Math" w:hAnsi="Cambria Math"/>
                                    </w:rPr>
                                    <m:t>CO</m:t>
                                  </m:r>
                                </m:e>
                                <m:sub>
                                  <m:r>
                                    <w:rPr>
                                      <w:rFonts w:ascii="Cambria Math" w:hAnsi="Cambria Math"/>
                                      <w:lang w:val="pt-BR"/>
                                    </w:rPr>
                                    <m:t>2</m:t>
                                  </m:r>
                                </m:sub>
                              </m:sSub>
                              <m:r>
                                <m:rPr>
                                  <m:nor/>
                                </m:rPr>
                                <w:rPr>
                                  <w:rFonts w:ascii="Cambria Math"/>
                                  <w:lang w:val="pt-BR"/>
                                </w:rPr>
                                <m:t>e</m:t>
                              </m:r>
                              <m:r>
                                <m:rPr>
                                  <m:nor/>
                                </m:rPr>
                                <w:rPr>
                                  <w:lang w:val="pt-BR"/>
                                </w:rPr>
                                <m:t> </m:t>
                              </m:r>
                              <m:sSub>
                                <m:sSubPr>
                                  <m:ctrlPr>
                                    <w:rPr>
                                      <w:rFonts w:ascii="Cambria Math" w:hAnsi="Cambria Math"/>
                                    </w:rPr>
                                  </m:ctrlPr>
                                </m:sSubPr>
                                <m:e>
                                  <m:r>
                                    <m:rPr>
                                      <m:nor/>
                                    </m:rPr>
                                    <w:rPr>
                                      <w:lang w:val="pt-BR"/>
                                    </w:rPr>
                                    <m:t>emissions</m:t>
                                  </m:r>
                                </m:e>
                                <m:sub>
                                  <m:r>
                                    <w:rPr>
                                      <w:rFonts w:ascii="Cambria Math" w:hAnsi="Cambria Math"/>
                                    </w:rPr>
                                    <m:t>s</m:t>
                                  </m:r>
                                  <m:r>
                                    <w:rPr>
                                      <w:rFonts w:ascii="Cambria Math" w:hAnsi="Cambria Math"/>
                                      <w:lang w:val="pt-BR"/>
                                    </w:rPr>
                                    <m:t>,</m:t>
                                  </m:r>
                                  <m:r>
                                    <w:rPr>
                                      <w:rFonts w:ascii="Cambria Math" w:hAnsi="Cambria Math"/>
                                    </w:rPr>
                                    <m:t>t</m:t>
                                  </m:r>
                                </m:sub>
                              </m:sSub>
                            </m:e>
                          </m:acc>
                        </m:e>
                      </m:d>
                    </m:e>
                    <m:sup>
                      <m:r>
                        <w:rPr>
                          <w:rFonts w:ascii="Cambria Math" w:hAnsi="Cambria Math"/>
                          <w:lang w:val="pt-BR"/>
                        </w:rPr>
                        <m:t>2</m:t>
                      </m:r>
                    </m:sup>
                  </m:sSup>
                </m:e>
              </m:nary>
            </m:e>
          </m:func>
          <m:r>
            <w:rPr>
              <w:rFonts w:ascii="Cambria Math" w:hAnsi="Cambria Math"/>
              <w:lang w:val="pt-BR"/>
            </w:rPr>
            <m:t> </m:t>
          </m:r>
        </m:oMath>
      </m:oMathPara>
    </w:p>
    <w:p w14:paraId="43118C84" w14:textId="77777777" w:rsidR="00F5092B" w:rsidRPr="00EB03D8" w:rsidRDefault="00F5092B" w:rsidP="00F5092B">
      <w:pPr>
        <w:jc w:val="center"/>
        <w:rPr>
          <w:lang w:val="pt-BR"/>
        </w:rPr>
      </w:pPr>
      <w:r w:rsidRPr="00EB03D8">
        <w:rPr>
          <w:lang w:val="pt-BR"/>
        </w:rPr>
        <w:t>s.t</w:t>
      </w:r>
    </w:p>
    <w:p w14:paraId="13488690" w14:textId="77777777" w:rsidR="00F5092B" w:rsidRPr="0072744E" w:rsidRDefault="00560F69" w:rsidP="00F5092B">
      <w:pPr>
        <w:jc w:val="center"/>
        <w:rPr>
          <w:lang w:val="pt-BR"/>
        </w:rPr>
      </w:pPr>
      <m:oMathPara>
        <m:oMath>
          <m:sSub>
            <m:sSubPr>
              <m:ctrlPr>
                <w:rPr>
                  <w:rFonts w:ascii="Cambria Math" w:hAnsi="Cambria Math"/>
                </w:rPr>
              </m:ctrlPr>
            </m:sSubPr>
            <m:e>
              <m:r>
                <w:rPr>
                  <w:rFonts w:ascii="Cambria Math" w:hAnsi="Cambria Math"/>
                </w:rPr>
                <m:t>x</m:t>
              </m:r>
            </m:e>
            <m:sub>
              <m:r>
                <w:rPr>
                  <w:rFonts w:ascii="Cambria Math" w:hAnsi="Cambria Math"/>
                  <w:lang w:val="pt-BR"/>
                </w:rPr>
                <m:t>1</m:t>
              </m:r>
            </m:sub>
          </m:sSub>
          <m:r>
            <w:rPr>
              <w:rFonts w:ascii="Cambria Math" w:hAnsi="Cambria Math"/>
              <w:lang w:val="pt-BR"/>
            </w:rPr>
            <m:t>, </m:t>
          </m:r>
          <m:sSub>
            <m:sSubPr>
              <m:ctrlPr>
                <w:rPr>
                  <w:rFonts w:ascii="Cambria Math" w:hAnsi="Cambria Math"/>
                </w:rPr>
              </m:ctrlPr>
            </m:sSubPr>
            <m:e>
              <m:r>
                <w:rPr>
                  <w:rFonts w:ascii="Cambria Math" w:hAnsi="Cambria Math"/>
                </w:rPr>
                <m:t>x</m:t>
              </m:r>
            </m:e>
            <m:sub>
              <m:r>
                <w:rPr>
                  <w:rFonts w:ascii="Cambria Math" w:hAnsi="Cambria Math"/>
                  <w:lang w:val="pt-BR"/>
                </w:rPr>
                <m:t>2</m:t>
              </m:r>
            </m:sub>
          </m:sSub>
          <m:r>
            <w:rPr>
              <w:rFonts w:ascii="Cambria Math" w:hAnsi="Cambria Math"/>
              <w:lang w:val="pt-BR"/>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lang w:val="pt-BR"/>
            </w:rPr>
            <m:t> ∈</m:t>
          </m:r>
          <m:d>
            <m:dPr>
              <m:ctrlPr>
                <w:rPr>
                  <w:rFonts w:ascii="Cambria Math" w:hAnsi="Cambria Math"/>
                </w:rPr>
              </m:ctrlPr>
            </m:dPr>
            <m:e>
              <m:r>
                <w:rPr>
                  <w:rFonts w:ascii="Cambria Math" w:hAnsi="Cambria Math"/>
                  <w:lang w:val="pt-BR"/>
                </w:rPr>
                <m:t>0,</m:t>
              </m:r>
              <m:r>
                <w:rPr>
                  <w:rFonts w:ascii="Cambria Math" w:hAnsi="Cambria Math"/>
                </w:rPr>
                <m:t>c</m:t>
              </m:r>
            </m:e>
          </m:d>
          <m:r>
            <w:rPr>
              <w:rFonts w:ascii="Cambria Math" w:hAnsi="Cambria Math"/>
              <w:lang w:val="pt-BR"/>
            </w:rPr>
            <m:t>,   </m:t>
          </m:r>
          <m:r>
            <w:rPr>
              <w:rFonts w:ascii="Cambria Math" w:hAnsi="Cambria Math"/>
            </w:rPr>
            <m:t>w</m:t>
          </m:r>
          <m:r>
            <w:rPr>
              <w:rFonts w:ascii="Cambria Math" w:hAnsi="Cambria Math"/>
              <w:lang w:val="pt-BR"/>
            </w:rPr>
            <m:t>h</m:t>
          </m:r>
          <m:r>
            <w:rPr>
              <w:rFonts w:ascii="Cambria Math" w:hAnsi="Cambria Math"/>
            </w:rPr>
            <m:t>ere</m:t>
          </m:r>
          <m:r>
            <w:rPr>
              <w:rFonts w:ascii="Cambria Math" w:hAnsi="Cambria Math"/>
              <w:lang w:val="pt-BR"/>
            </w:rPr>
            <m:t> </m:t>
          </m:r>
          <m:r>
            <w:rPr>
              <w:rFonts w:ascii="Cambria Math" w:hAnsi="Cambria Math"/>
            </w:rPr>
            <m:t>c</m:t>
          </m:r>
          <m:r>
            <w:rPr>
              <w:rFonts w:ascii="Cambria Math" w:hAnsi="Cambria Math"/>
              <w:lang w:val="pt-BR"/>
            </w:rPr>
            <m:t> ∈ </m:t>
          </m:r>
          <m:r>
            <m:rPr>
              <m:nor/>
            </m:rPr>
            <w:rPr>
              <w:lang w:val="pt-BR"/>
            </w:rPr>
            <m:t>R</m:t>
          </m:r>
        </m:oMath>
      </m:oMathPara>
    </w:p>
    <w:p w14:paraId="605EF749" w14:textId="77777777" w:rsidR="00F5092B" w:rsidRPr="00EB03D8" w:rsidRDefault="00F5092B" w:rsidP="00F5092B">
      <w:pPr>
        <w:jc w:val="center"/>
        <w:rPr>
          <w:lang w:val="pt-BR"/>
        </w:rPr>
      </w:pPr>
    </w:p>
    <w:p w14:paraId="36419578" w14:textId="4EB951E2" w:rsidR="00F5092B" w:rsidRPr="00EB03D8" w:rsidRDefault="27B2A08E">
      <w:proofErr w:type="gramStart"/>
      <w:r>
        <w:t>where</w:t>
      </w:r>
      <w:proofErr w:type="gramEnd"/>
      <w:r>
        <w:t xml:space="preserve"> </w:t>
      </w:r>
    </w:p>
    <w:p w14:paraId="0D0FF04B" w14:textId="470868B7" w:rsidR="00F5092B" w:rsidRPr="00EB03D8" w:rsidRDefault="00560F69" w:rsidP="0CDBF178">
      <w:pPr>
        <w:pStyle w:val="ListParagraph"/>
        <w:numPr>
          <w:ilvl w:val="0"/>
          <w:numId w:val="36"/>
        </w:numPr>
        <w:rPr>
          <w:i/>
          <w:iCs/>
        </w:rPr>
      </w:pPr>
      <m:oMath>
        <m:acc>
          <m:accPr>
            <m:ctrlPr>
              <w:rPr>
                <w:rFonts w:ascii="Cambria Math" w:hAnsi="Cambria Math"/>
              </w:rPr>
            </m:ctrlPr>
          </m:accPr>
          <m:e>
            <m:r>
              <m:rPr>
                <m:nor/>
              </m:rPr>
              <m:t>C</m:t>
            </m:r>
            <m:sSub>
              <m:sSubPr>
                <m:ctrlPr>
                  <w:rPr>
                    <w:rFonts w:ascii="Cambria Math" w:hAnsi="Cambria Math"/>
                  </w:rPr>
                </m:ctrlPr>
              </m:sSubPr>
              <m:e>
                <m:r>
                  <w:rPr>
                    <w:rFonts w:ascii="Cambria Math" w:hAnsi="Cambria Math"/>
                  </w:rPr>
                  <m:t>O</m:t>
                </m:r>
              </m:e>
              <m:sub>
                <m:r>
                  <w:rPr>
                    <w:rFonts w:ascii="Cambria Math" w:hAnsi="Cambria Math"/>
                  </w:rPr>
                  <m:t>2</m:t>
                </m:r>
              </m:sub>
            </m:sSub>
            <m:r>
              <m:rPr>
                <m:nor/>
              </m:rPr>
              <w:rPr>
                <w:rFonts w:ascii="Cambria Math"/>
              </w:rPr>
              <m:t>e</m:t>
            </m:r>
            <m:r>
              <m:rPr>
                <m:nor/>
              </m:rPr>
              <m:t> </m:t>
            </m:r>
            <m:sSub>
              <m:sSubPr>
                <m:ctrlPr>
                  <w:rPr>
                    <w:rFonts w:ascii="Cambria Math" w:hAnsi="Cambria Math"/>
                  </w:rPr>
                </m:ctrlPr>
              </m:sSubPr>
              <m:e>
                <m:r>
                  <m:rPr>
                    <m:nor/>
                  </m:rPr>
                  <m:t>emissions</m:t>
                </m:r>
              </m:e>
              <m:sub>
                <m:r>
                  <w:rPr>
                    <w:rFonts w:ascii="Cambria Math" w:hAnsi="Cambria Math"/>
                  </w:rPr>
                  <m:t>s,t</m:t>
                </m:r>
              </m:sub>
            </m:sSub>
          </m:e>
        </m:acc>
      </m:oMath>
      <w:r w:rsidR="00F5092B" w:rsidRPr="00530CD6">
        <w:t xml:space="preserve"> is the </w:t>
      </w:r>
      <w:r w:rsidR="00F5092B">
        <w:t xml:space="preserve">estimated </w:t>
      </w:r>
      <w:r w:rsidR="00F5092B" w:rsidRPr="00530CD6">
        <w:t>CO</w:t>
      </w:r>
      <w:r w:rsidR="0CDBF178">
        <w:t>2</w:t>
      </w:r>
      <w:r w:rsidR="00F5092B">
        <w:t xml:space="preserve">e </w:t>
      </w:r>
      <w:proofErr w:type="spellStart"/>
      <w:r w:rsidR="0CDBF178">
        <w:t>SiSePuede</w:t>
      </w:r>
      <w:proofErr w:type="spellEnd"/>
      <w:r w:rsidR="00F5092B">
        <w:t xml:space="preserve"> </w:t>
      </w:r>
      <w:r w:rsidR="00F5092B" w:rsidRPr="00530CD6">
        <w:t>emission</w:t>
      </w:r>
      <w:r w:rsidR="00F5092B">
        <w:t>s</w:t>
      </w:r>
      <w:r w:rsidR="00F5092B" w:rsidRPr="00530CD6">
        <w:t xml:space="preserve"> </w:t>
      </w:r>
      <w:r w:rsidR="00F5092B">
        <w:t xml:space="preserve">in </w:t>
      </w:r>
      <w:r w:rsidR="00F5092B" w:rsidRPr="00530CD6">
        <w:t xml:space="preserve">sector </w:t>
      </w:r>
      <w:r w:rsidR="00F5092B" w:rsidRPr="0CDBF178">
        <w:rPr>
          <w:i/>
          <w:iCs/>
        </w:rPr>
        <w:t>s</w:t>
      </w:r>
      <w:r w:rsidR="00F5092B" w:rsidRPr="00530CD6">
        <w:t xml:space="preserve"> </w:t>
      </w:r>
      <w:r w:rsidR="00F5092B">
        <w:t>at</w:t>
      </w:r>
      <w:r w:rsidR="00F5092B" w:rsidRPr="00530CD6">
        <w:t xml:space="preserve"> time </w:t>
      </w:r>
      <w:proofErr w:type="gramStart"/>
      <w:r w:rsidR="00F5092B" w:rsidRPr="0CDBF178">
        <w:rPr>
          <w:i/>
          <w:iCs/>
        </w:rPr>
        <w:t>t</w:t>
      </w:r>
      <w:r w:rsidR="0CDBF178">
        <w:t>;</w:t>
      </w:r>
      <w:proofErr w:type="gramEnd"/>
      <w:r w:rsidR="00F5092B" w:rsidRPr="0CDBF178">
        <w:rPr>
          <w:i/>
          <w:iCs/>
        </w:rPr>
        <w:t xml:space="preserve"> </w:t>
      </w:r>
    </w:p>
    <w:p w14:paraId="37821C9A" w14:textId="7ADC608F" w:rsidR="00F5092B" w:rsidRDefault="00F5092B" w:rsidP="00F5092B">
      <w:pPr>
        <w:pStyle w:val="ListParagraph"/>
        <w:numPr>
          <w:ilvl w:val="0"/>
          <w:numId w:val="36"/>
        </w:numPr>
      </w:pPr>
      <m:oMath>
        <m:r>
          <m:rPr>
            <m:nor/>
          </m:rPr>
          <m:t>C</m:t>
        </m:r>
        <m:sSub>
          <m:sSubPr>
            <m:ctrlPr>
              <w:rPr>
                <w:rFonts w:ascii="Cambria Math" w:hAnsi="Cambria Math"/>
              </w:rPr>
            </m:ctrlPr>
          </m:sSubPr>
          <m:e>
            <m:r>
              <w:rPr>
                <w:rFonts w:ascii="Cambria Math" w:hAnsi="Cambria Math"/>
              </w:rPr>
              <m:t>O</m:t>
            </m:r>
          </m:e>
          <m:sub>
            <m:r>
              <w:rPr>
                <w:rFonts w:ascii="Cambria Math" w:hAnsi="Cambria Math"/>
              </w:rPr>
              <m:t>2</m:t>
            </m:r>
          </m:sub>
        </m:sSub>
        <m:r>
          <m:rPr>
            <m:nor/>
          </m:rPr>
          <w:rPr>
            <w:rFonts w:ascii="Cambria Math"/>
          </w:rPr>
          <m:t>e</m:t>
        </m:r>
        <m:r>
          <m:rPr>
            <m:nor/>
          </m:rPr>
          <m:t> </m:t>
        </m:r>
        <m:sSub>
          <m:sSubPr>
            <m:ctrlPr>
              <w:rPr>
                <w:rFonts w:ascii="Cambria Math" w:hAnsi="Cambria Math"/>
              </w:rPr>
            </m:ctrlPr>
          </m:sSubPr>
          <m:e>
            <m:r>
              <m:rPr>
                <m:nor/>
              </m:rPr>
              <m:t>emissions</m:t>
            </m:r>
          </m:e>
          <m:sub>
            <m:r>
              <w:rPr>
                <w:rFonts w:ascii="Cambria Math" w:hAnsi="Cambria Math"/>
              </w:rPr>
              <m:t>s,t</m:t>
            </m:r>
          </m:sub>
        </m:sSub>
      </m:oMath>
      <w:r w:rsidRPr="00530CD6">
        <w:t xml:space="preserve"> is the historical serie</w:t>
      </w:r>
      <w:r>
        <w:t>s (we used climate watch data for this study, but other sources can also be used)</w:t>
      </w:r>
      <w:r w:rsidR="27B2A08E" w:rsidRPr="27B2A08E">
        <w:t>; and</w:t>
      </w:r>
      <w:r w:rsidRPr="00530CD6">
        <w:t xml:space="preserve"> </w:t>
      </w:r>
    </w:p>
    <w:p w14:paraId="159011FF" w14:textId="6EA7DA17" w:rsidR="00F5092B" w:rsidRDefault="27B2A08E">
      <w:pPr>
        <w:pStyle w:val="ListParagraph"/>
        <w:numPr>
          <w:ilvl w:val="0"/>
          <w:numId w:val="36"/>
        </w:numPr>
      </w:pPr>
      <w:r>
        <w:t>v</w:t>
      </w:r>
      <w:r w:rsidR="00F5092B">
        <w:t>ector</w:t>
      </w:r>
      <w:r w:rsidR="00F5092B" w:rsidRPr="00530CD6">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m:t>
        </m:r>
      </m:oMath>
      <w:r w:rsidR="00F5092B">
        <w:t xml:space="preserve">is a set of </w:t>
      </w:r>
      <w:r w:rsidR="00F5092B" w:rsidRPr="00530CD6">
        <w:t>scaling factor</w:t>
      </w:r>
      <w:r w:rsidR="00F5092B">
        <w:t>s that multiply</w:t>
      </w:r>
      <w:r w:rsidR="00F5092B" w:rsidRPr="00530CD6">
        <w:t xml:space="preserve"> </w:t>
      </w:r>
      <w:r w:rsidR="00F5092B">
        <w:t xml:space="preserve">a set of </w:t>
      </w:r>
      <w:r w:rsidR="00F5092B" w:rsidRPr="00530CD6">
        <w:t>input variables to be calibrated</w:t>
      </w:r>
      <w:r w:rsidR="00F5092B">
        <w:t xml:space="preserve">. These calibrated parameters include factors for which we do not have data or for which we require a more reliable baseline. </w:t>
      </w:r>
    </w:p>
    <w:p w14:paraId="530F1324" w14:textId="77777777" w:rsidR="00F5092B" w:rsidRDefault="00F5092B" w:rsidP="00F5092B">
      <w:pPr>
        <w:ind w:firstLine="0"/>
      </w:pPr>
    </w:p>
    <w:p w14:paraId="045E2C11" w14:textId="4E5BA07B" w:rsidR="00F5092B" w:rsidRPr="00D82D68" w:rsidRDefault="27B2A08E" w:rsidP="27B2A08E">
      <w:pPr>
        <w:ind w:firstLine="0"/>
      </w:pPr>
      <w:r>
        <w:t xml:space="preserve">Once a calibrated set of input parameters is estimated for historical conditions, this set is then projected in the future varying as two groups of parameters: a) parameters that describe how transformations will evolve over time and b) parameters that describe how exogenous trends will evolve in the future. Then this database is used as an input database for </w:t>
      </w:r>
      <w:proofErr w:type="spellStart"/>
      <w:r>
        <w:t>SiSePuede</w:t>
      </w:r>
      <w:proofErr w:type="spellEnd"/>
      <w:r>
        <w:t xml:space="preserve">. For each </w:t>
      </w:r>
      <w:r>
        <w:lastRenderedPageBreak/>
        <w:t xml:space="preserve">input database, a </w:t>
      </w:r>
      <w:proofErr w:type="spellStart"/>
      <w:r>
        <w:t>SiSePuede</w:t>
      </w:r>
      <w:proofErr w:type="spellEnd"/>
      <w:r>
        <w:t xml:space="preserve"> simulation run will result in projected emissions, benefits, and costs over time. </w:t>
      </w:r>
    </w:p>
    <w:p w14:paraId="2BCD2F71" w14:textId="77777777" w:rsidR="00F5092B" w:rsidRDefault="00F5092B" w:rsidP="00F5092B">
      <w:pPr>
        <w:keepNext/>
      </w:pPr>
      <w:r w:rsidRPr="00C071CE">
        <w:rPr>
          <w:noProof/>
        </w:rPr>
        <w:drawing>
          <wp:inline distT="0" distB="0" distL="0" distR="0" wp14:anchorId="3E577176" wp14:editId="3BA89FBF">
            <wp:extent cx="5021271" cy="4733192"/>
            <wp:effectExtent l="0" t="0" r="8255" b="0"/>
            <wp:docPr id="104681368" name="Picture 10468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579" cy="4736310"/>
                    </a:xfrm>
                    <a:prstGeom prst="rect">
                      <a:avLst/>
                    </a:prstGeom>
                    <a:noFill/>
                    <a:ln>
                      <a:noFill/>
                    </a:ln>
                  </pic:spPr>
                </pic:pic>
              </a:graphicData>
            </a:graphic>
          </wp:inline>
        </w:drawing>
      </w:r>
    </w:p>
    <w:p w14:paraId="79A1BC6B" w14:textId="18A979DF" w:rsidR="00F5092B" w:rsidRDefault="27B2A08E" w:rsidP="27B2A08E">
      <w:pPr>
        <w:pStyle w:val="Heading7"/>
      </w:pPr>
      <w:bookmarkStart w:id="28" w:name="_Toc152088180"/>
      <w:r>
        <w:t>Figure</w:t>
      </w:r>
      <w:r w:rsidR="00F608B5">
        <w:t xml:space="preserve"> 2</w:t>
      </w:r>
      <w:r>
        <w:t>. Calibration workflow.</w:t>
      </w:r>
      <w:bookmarkEnd w:id="28"/>
    </w:p>
    <w:p w14:paraId="4CC641D1" w14:textId="77777777" w:rsidR="00F5092B" w:rsidRPr="00530CD6" w:rsidRDefault="00F5092B" w:rsidP="00F5092B">
      <w:pPr>
        <w:ind w:firstLine="0"/>
      </w:pPr>
    </w:p>
    <w:p w14:paraId="6CD7CCCF" w14:textId="77777777" w:rsidR="00F5092B" w:rsidRPr="00530CD6" w:rsidRDefault="00F5092B" w:rsidP="00F5092B">
      <w:r w:rsidRPr="00530CD6">
        <w:t>The minimization problem is solv</w:t>
      </w:r>
      <w:r>
        <w:t>ed</w:t>
      </w:r>
      <w:r w:rsidRPr="00530CD6">
        <w:t xml:space="preserve"> </w:t>
      </w:r>
      <w:r>
        <w:t>using</w:t>
      </w:r>
      <w:r w:rsidRPr="00530CD6">
        <w:t xml:space="preserve"> two bio</w:t>
      </w:r>
      <w:r>
        <w:t>-i</w:t>
      </w:r>
      <w:r w:rsidRPr="00530CD6">
        <w:t>nspired algorithm</w:t>
      </w:r>
      <w:r>
        <w:t>s</w:t>
      </w:r>
      <w:r w:rsidRPr="00530CD6">
        <w:t>:</w:t>
      </w:r>
    </w:p>
    <w:p w14:paraId="2DD911E5" w14:textId="1014CBCB" w:rsidR="00F5092B" w:rsidRDefault="27B2A08E" w:rsidP="00F5092B">
      <w:pPr>
        <w:pStyle w:val="ListParagraph"/>
        <w:numPr>
          <w:ilvl w:val="0"/>
          <w:numId w:val="35"/>
        </w:numPr>
        <w:spacing w:after="160" w:line="259" w:lineRule="auto"/>
      </w:pPr>
      <w:r>
        <w:t>Genetic binary (Sadri et al., 2006); and</w:t>
      </w:r>
    </w:p>
    <w:p w14:paraId="7B9038DB" w14:textId="56CDF32D" w:rsidR="00F5092B" w:rsidRDefault="27B2A08E" w:rsidP="00F5092B">
      <w:pPr>
        <w:pStyle w:val="ListParagraph"/>
        <w:numPr>
          <w:ilvl w:val="0"/>
          <w:numId w:val="35"/>
        </w:numPr>
        <w:spacing w:after="160" w:line="259" w:lineRule="auto"/>
      </w:pPr>
      <w:r>
        <w:t>Particle Swarm Optimization (PSO) (Wang et al., 2018).</w:t>
      </w:r>
    </w:p>
    <w:p w14:paraId="66E23260" w14:textId="7B09ADF9" w:rsidR="00F5092B" w:rsidRDefault="27B2A08E" w:rsidP="27B2A08E">
      <w:r>
        <w:t>Genetic algorithms balance exploitation and exploration. This balance is achieved by the individuals of the population’s selection mechanism based on their aptitude and the genetic crossover operator.  The PSO algorithm engages a group of individuals (particles) from different points in the search space, each guided by the collective action’s natural life principles to find an optimal solution.</w:t>
      </w:r>
    </w:p>
    <w:p w14:paraId="0EB380A4" w14:textId="77777777" w:rsidR="00F5092B" w:rsidRDefault="00F5092B" w:rsidP="00F5092B"/>
    <w:p w14:paraId="175ADF69" w14:textId="6411518A" w:rsidR="00F5092B" w:rsidRDefault="27B2A08E">
      <w:proofErr w:type="spellStart"/>
      <w:r>
        <w:t>SiSePuede</w:t>
      </w:r>
      <w:proofErr w:type="spellEnd"/>
      <w:r>
        <w:t xml:space="preserve"> calibration occurs via cross-validation such that the process is repeated randomly selecting subsets of the variation in the response of interest (i.e., sectorial emissions). Figures </w:t>
      </w:r>
      <w:r w:rsidR="00F608B5">
        <w:t>3</w:t>
      </w:r>
      <w:r>
        <w:t xml:space="preserve"> </w:t>
      </w:r>
      <w:r>
        <w:lastRenderedPageBreak/>
        <w:t xml:space="preserve">and </w:t>
      </w:r>
      <w:r w:rsidR="00F608B5">
        <w:t>4</w:t>
      </w:r>
      <w:r>
        <w:t xml:space="preserve"> exemplify the calibration performance for all countries considered in this study across two sectors: AFOLU and Liquid Waste. The dark blue line indicates known historical data of the response of interest (i.e., sector emissions), while the light-blue lines display simulated results for different instances of cross validation. As these figures show, a successful calibration process is on which different calibration instances revolve around the historical time series of the response of interest. </w:t>
      </w:r>
    </w:p>
    <w:p w14:paraId="14396BBB" w14:textId="77777777" w:rsidR="00F5092B" w:rsidRDefault="00F5092B" w:rsidP="00F5092B"/>
    <w:p w14:paraId="79E69B54" w14:textId="77777777" w:rsidR="00F5092B" w:rsidRDefault="00F5092B" w:rsidP="00F5092B">
      <w:pPr>
        <w:keepNext/>
      </w:pPr>
      <w:r w:rsidRPr="00BE2F0C">
        <w:rPr>
          <w:noProof/>
        </w:rPr>
        <w:drawing>
          <wp:inline distT="0" distB="0" distL="0" distR="0" wp14:anchorId="4F054118" wp14:editId="179F2657">
            <wp:extent cx="5943600" cy="2637155"/>
            <wp:effectExtent l="0" t="0" r="0" b="0"/>
            <wp:docPr id="8" name="Picture 8" descr="Diagram&#10;&#10;Description automatically generated">
              <a:extLst xmlns:a="http://schemas.openxmlformats.org/drawingml/2006/main">
                <a:ext uri="{FF2B5EF4-FFF2-40B4-BE49-F238E27FC236}">
                  <a16:creationId xmlns:a16="http://schemas.microsoft.com/office/drawing/2014/main" id="{206D4CA7-1CBF-6BC3-3326-51C12C1EF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206D4CA7-1CBF-6BC3-3326-51C12C1EFC2F}"/>
                        </a:ext>
                      </a:extLst>
                    </pic:cNvPr>
                    <pic:cNvPicPr>
                      <a:picLocks noChangeAspect="1"/>
                    </pic:cNvPicPr>
                  </pic:nvPicPr>
                  <pic:blipFill>
                    <a:blip r:embed="rId21"/>
                    <a:stretch>
                      <a:fillRect/>
                    </a:stretch>
                  </pic:blipFill>
                  <pic:spPr>
                    <a:xfrm>
                      <a:off x="0" y="0"/>
                      <a:ext cx="5943600" cy="2637155"/>
                    </a:xfrm>
                    <a:prstGeom prst="rect">
                      <a:avLst/>
                    </a:prstGeom>
                  </pic:spPr>
                </pic:pic>
              </a:graphicData>
            </a:graphic>
          </wp:inline>
        </w:drawing>
      </w:r>
    </w:p>
    <w:p w14:paraId="1EE1E0C6" w14:textId="65863E20" w:rsidR="00F5092B" w:rsidRDefault="0CDBF178">
      <w:pPr>
        <w:pStyle w:val="Heading7"/>
      </w:pPr>
      <w:bookmarkStart w:id="29" w:name="_Toc152088181"/>
      <w:r>
        <w:t xml:space="preserve">Figure </w:t>
      </w:r>
      <w:r w:rsidR="00F608B5">
        <w:t>3</w:t>
      </w:r>
      <w:r>
        <w:t>.  Agriculture, Forestry, and Land Use (AFOLU) calibration.</w:t>
      </w:r>
      <w:bookmarkEnd w:id="29"/>
    </w:p>
    <w:p w14:paraId="5A78DE20" w14:textId="77777777" w:rsidR="00F5092B" w:rsidRDefault="00F5092B" w:rsidP="00F5092B"/>
    <w:p w14:paraId="69EE556D" w14:textId="77777777" w:rsidR="00F5092B" w:rsidRDefault="00F5092B" w:rsidP="00F5092B">
      <w:pPr>
        <w:keepNext/>
      </w:pPr>
      <w:r w:rsidRPr="00D80422">
        <w:rPr>
          <w:noProof/>
        </w:rPr>
        <w:drawing>
          <wp:inline distT="0" distB="0" distL="0" distR="0" wp14:anchorId="4F8E8B4E" wp14:editId="2A8315EA">
            <wp:extent cx="5943600" cy="2409825"/>
            <wp:effectExtent l="0" t="0" r="0" b="9525"/>
            <wp:docPr id="3" name="Picture 3" descr="A screenshot of a computer screen&#10;&#10;Description automatically generated">
              <a:extLst xmlns:a="http://schemas.openxmlformats.org/drawingml/2006/main">
                <a:ext uri="{FF2B5EF4-FFF2-40B4-BE49-F238E27FC236}">
                  <a16:creationId xmlns:a16="http://schemas.microsoft.com/office/drawing/2014/main" id="{8B47F90E-A084-AF62-A60F-9C135ADCF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8B47F90E-A084-AF62-A60F-9C135ADCF36C}"/>
                        </a:ext>
                      </a:extLst>
                    </pic:cNvPr>
                    <pic:cNvPicPr>
                      <a:picLocks noChangeAspect="1"/>
                    </pic:cNvPicPr>
                  </pic:nvPicPr>
                  <pic:blipFill>
                    <a:blip r:embed="rId22"/>
                    <a:stretch>
                      <a:fillRect/>
                    </a:stretch>
                  </pic:blipFill>
                  <pic:spPr>
                    <a:xfrm>
                      <a:off x="0" y="0"/>
                      <a:ext cx="5943600" cy="2409825"/>
                    </a:xfrm>
                    <a:prstGeom prst="rect">
                      <a:avLst/>
                    </a:prstGeom>
                  </pic:spPr>
                </pic:pic>
              </a:graphicData>
            </a:graphic>
          </wp:inline>
        </w:drawing>
      </w:r>
    </w:p>
    <w:p w14:paraId="775034B3" w14:textId="5EEDA616" w:rsidR="00F5092B" w:rsidRDefault="27B2A08E" w:rsidP="27B2A08E">
      <w:pPr>
        <w:pStyle w:val="Heading7"/>
      </w:pPr>
      <w:bookmarkStart w:id="30" w:name="_Toc152088182"/>
      <w:r>
        <w:t xml:space="preserve">Figure </w:t>
      </w:r>
      <w:r w:rsidR="00F608B5">
        <w:t>4</w:t>
      </w:r>
      <w:r>
        <w:t>. Liquid waste calibration.</w:t>
      </w:r>
      <w:bookmarkEnd w:id="30"/>
    </w:p>
    <w:p w14:paraId="5B02ABC4" w14:textId="001D9690" w:rsidR="00F5092B" w:rsidRDefault="00F5092B" w:rsidP="00F5092B">
      <w:r>
        <w:t xml:space="preserve">Each instance of cross-validation is associated with a specific database of input parameters, such that, after cross-validation, for each calibration parameter, point-estimates that aggregate </w:t>
      </w:r>
      <w:r>
        <w:lastRenderedPageBreak/>
        <w:t xml:space="preserve">the behavior across the cross-validation set can be estimated. Figure </w:t>
      </w:r>
      <w:r w:rsidR="00F608B5">
        <w:t>5</w:t>
      </w:r>
      <w:r>
        <w:t xml:space="preserve"> shows this exercise for a subset of calibration parameters. Note that since this process is carried out for each country used in the simulation, it is possible to estimate and compare mean and variance variation across countries.</w:t>
      </w:r>
    </w:p>
    <w:p w14:paraId="108457E5" w14:textId="5CFD8575" w:rsidR="00F5092B" w:rsidRDefault="27B2A08E">
      <w:r>
        <w:t xml:space="preserve">Once simulations are executed, it is possible to run the model using the mean values of cross-validation as input parameters to the model. However, because using the mean value of cross-validation will result in an initial condition different to the one observed—for example, in the last available data point of historical data—it is possible to rescale the simulation data such that the simulation’s intertemporal variation reflects the initial conditions of a particular emissions trajectory more accurately. </w:t>
      </w:r>
    </w:p>
    <w:p w14:paraId="402CAFED" w14:textId="77777777" w:rsidR="00F5092B" w:rsidRDefault="00F5092B" w:rsidP="00F5092B"/>
    <w:p w14:paraId="0D65F8BC" w14:textId="77777777" w:rsidR="00F5092B" w:rsidRDefault="00F5092B" w:rsidP="00F5092B">
      <w:pPr>
        <w:keepNext/>
      </w:pPr>
      <w:r>
        <w:rPr>
          <w:noProof/>
        </w:rPr>
        <w:drawing>
          <wp:inline distT="0" distB="0" distL="0" distR="0" wp14:anchorId="01EC7F0A" wp14:editId="48ABFDD3">
            <wp:extent cx="5943600" cy="2546985"/>
            <wp:effectExtent l="0" t="0" r="0" b="5715"/>
            <wp:docPr id="7" name="Picture 7" descr="A white sheet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FF2B5EF4-FFF2-40B4-BE49-F238E27FC236}">
                          <a16:creationId xmlns:w16du="http://schemas.microsoft.com/office/word/2023/wordml/word16du"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03B2837-7FFF-6FB6-C55E-105E8BD44808}"/>
                        </a:ext>
                      </a:extLst>
                    </a:blip>
                    <a:stretch>
                      <a:fillRect/>
                    </a:stretch>
                  </pic:blipFill>
                  <pic:spPr>
                    <a:xfrm>
                      <a:off x="0" y="0"/>
                      <a:ext cx="5943600" cy="2546985"/>
                    </a:xfrm>
                    <a:prstGeom prst="rect">
                      <a:avLst/>
                    </a:prstGeom>
                  </pic:spPr>
                </pic:pic>
              </a:graphicData>
            </a:graphic>
          </wp:inline>
        </w:drawing>
      </w:r>
    </w:p>
    <w:p w14:paraId="21F5CC43" w14:textId="3A0D471D" w:rsidR="00F5092B" w:rsidRPr="003F3E53" w:rsidRDefault="0CDBF178" w:rsidP="0CDBF178">
      <w:pPr>
        <w:pStyle w:val="Heading7"/>
      </w:pPr>
      <w:bookmarkStart w:id="31" w:name="_Toc152088183"/>
      <w:r>
        <w:t xml:space="preserve">Figure </w:t>
      </w:r>
      <w:r w:rsidR="00F608B5">
        <w:t>5</w:t>
      </w:r>
      <w:r>
        <w:t>. Point estimate and standard deviation of estimated parameters.</w:t>
      </w:r>
      <w:bookmarkEnd w:id="31"/>
    </w:p>
    <w:p w14:paraId="76A360FA" w14:textId="77777777" w:rsidR="00F5092B" w:rsidRDefault="00F5092B" w:rsidP="00F5092B">
      <w:pPr>
        <w:pStyle w:val="Heading2"/>
      </w:pPr>
      <w:bookmarkStart w:id="32" w:name="_Toc152088235"/>
      <w:r>
        <w:t>Contrast with Other Modeling Approaches</w:t>
      </w:r>
      <w:bookmarkEnd w:id="32"/>
    </w:p>
    <w:p w14:paraId="74CC43FD" w14:textId="1797F617" w:rsidR="00F5092B" w:rsidRPr="003F3E53" w:rsidRDefault="223EE9A8">
      <w:proofErr w:type="spellStart"/>
      <w:r>
        <w:t>SiSePuede</w:t>
      </w:r>
      <w:proofErr w:type="spellEnd"/>
      <w:r>
        <w:t xml:space="preserve"> takes a unique, sectoral transformation-centered approach to modeling emissions, contrasting with other common modeling techniques. For example, integrated assessment models (IAMs) are used to model biophysical emissions processes as driven by anthropogenic activity, and some include biophysical feedback. In accordance with IPCC inventory guidelines, </w:t>
      </w:r>
      <w:proofErr w:type="spellStart"/>
      <w:r>
        <w:t>SiSePuede</w:t>
      </w:r>
      <w:proofErr w:type="spellEnd"/>
      <w:r>
        <w:t xml:space="preserve"> bases emissions on emission factors that respond to drivers, though certain phenomena—such as methane emissions from anaerobic decomposition in solid waste landfills, which are modeled using a first-order decay model—include biophysical treatments. Biophysical feedback such as impacts of climate change on hydropower production or crop yield factors are treated as uncertain factors that can be explored within reasonable expected ranges.</w:t>
      </w:r>
    </w:p>
    <w:p w14:paraId="5B5933C6" w14:textId="4454C936" w:rsidR="00F5092B" w:rsidRPr="003F3E53" w:rsidRDefault="223EE9A8">
      <w:r>
        <w:t xml:space="preserve">Given their computational requirements, IAMs require significant computational power for evaluating portfolios of specific policy transformations and sectoral actions because they are often massive and chaotic, requiring extensive time and computational power to assess a single scenario. The relative numerical simplicity of calculations in </w:t>
      </w:r>
      <w:proofErr w:type="spellStart"/>
      <w:r>
        <w:t>SiSePuede</w:t>
      </w:r>
      <w:proofErr w:type="spellEnd"/>
      <w:r>
        <w:t xml:space="preserve"> and the integrated </w:t>
      </w:r>
      <w:r>
        <w:lastRenderedPageBreak/>
        <w:t xml:space="preserve">uncertainty framework allow extensive exploration over uncertainties at highly refined levels, facilitating a robust exploration of strategies. </w:t>
      </w:r>
      <w:proofErr w:type="spellStart"/>
      <w:r>
        <w:t>SiSePuede</w:t>
      </w:r>
      <w:proofErr w:type="spellEnd"/>
      <w:r>
        <w:t xml:space="preserve"> endogenizes uncertainty exploration through Latin Hypercube sampling across exogenous uncertainties and intervention effects, a robust data management system, and scalable computational architecture.</w:t>
      </w:r>
    </w:p>
    <w:p w14:paraId="08241E4E" w14:textId="341004C2" w:rsidR="00F5092B" w:rsidRDefault="223EE9A8" w:rsidP="223EE9A8">
      <w:proofErr w:type="spellStart"/>
      <w:r>
        <w:t>SiSePuede</w:t>
      </w:r>
      <w:proofErr w:type="spellEnd"/>
      <w:r>
        <w:t xml:space="preserve"> also differs significantly from general- and partial-equilibrium models (PEMs and GEMs). Equilibrium models, which endogenize economic outcomes based on exogenous factors such as prices, are another class of models paired with emission factors to estimate how changes in economic activity may drive emissions changes. However, while GEMs advantageously endogenize demands, they can be extremely difficult to calibrate and solve, especially when exploring large parameter and variable spaces, such as supplies and demands for a refined range of products and services across an entire economy. While </w:t>
      </w:r>
      <w:proofErr w:type="spellStart"/>
      <w:r>
        <w:t>SiSePuede</w:t>
      </w:r>
      <w:proofErr w:type="spellEnd"/>
      <w:r>
        <w:t xml:space="preserve"> does not endogenize supplies and demands through market-clearing conditions, it does facilitate exploration over combinations of prices and behaviors that then can be used to identify policy-relevant scenarios across a range of potential futures.</w:t>
      </w:r>
    </w:p>
    <w:p w14:paraId="6CAB54F9" w14:textId="33330358" w:rsidR="00F5092B" w:rsidRDefault="223EE9A8" w:rsidP="223EE9A8">
      <w:proofErr w:type="spellStart"/>
      <w:r>
        <w:t>SiSePuede</w:t>
      </w:r>
      <w:proofErr w:type="spellEnd"/>
      <w:r>
        <w:t xml:space="preserve"> relies on some key assumptions to deal with potential conflicts that may arise from the use of exogenous variable specifications. Most notably, consider the interaction between agriculture and livestock demands and land use. Demand for crops and animal products are modeled endogenously as a combination of historical demand, import fractions, exogenous exports, red meat consumption behavior, changes to productivity, and elasticities to GDP and GDP/capita (used as an endogenous proxy for average income). Land-use transition probabilities also are defined exogenously in the model, representing expectations for region’s future land use. Because cattle and cropland drive extensive shifts in land use, these two trajectories can come into conflict if left unresolved.</w:t>
      </w:r>
    </w:p>
    <w:p w14:paraId="03E7CEF8" w14:textId="0646F5F6" w:rsidR="00F5092B" w:rsidRDefault="223EE9A8" w:rsidP="27B2A08E">
      <w:r>
        <w:t xml:space="preserve"> To reconcile differences in exogenous specifications of demands for land use, </w:t>
      </w:r>
      <w:proofErr w:type="spellStart"/>
      <w:r>
        <w:t>SiSePuede</w:t>
      </w:r>
      <w:proofErr w:type="spellEnd"/>
      <w:r>
        <w:t xml:space="preserve"> introduces a novel parameter referred to as the </w:t>
      </w:r>
      <w:r w:rsidRPr="223EE9A8">
        <w:rPr>
          <w:i/>
          <w:iCs/>
        </w:rPr>
        <w:t>land-use reallocation factor</w:t>
      </w:r>
      <w:r>
        <w:t xml:space="preserve">. The land-use reallocation factor represents the fraction of land needed (or not needed) for crop and livestock production that is adjusted to ensure land use meets demands. In the initial state, demands for crop and livestock production are combined with land-use prevalence to determine a baseline carrying capacity for grazing livestock. As livestock stock demands change, baseline carrying capacities—which can be scaled up or down to represent changes to productivity—are used to estimate land-use requirements needed to fulfill these domestic production demands. If demands for crops or livestock increase, then more land is required. Alternatively, if livestock demands decrease or carrying capacities increase, more land may be available for restoration or reforestation, critical components of decarbonization pathways. </w:t>
      </w:r>
    </w:p>
    <w:p w14:paraId="219BF219" w14:textId="79B4B643" w:rsidR="00F5092B" w:rsidRDefault="00F5092B" w:rsidP="223EE9A8">
      <w:r>
        <w:t xml:space="preserve">The </w:t>
      </w:r>
      <w:r w:rsidR="223EE9A8">
        <w:t>land-use</w:t>
      </w:r>
      <w:r>
        <w:t xml:space="preserve"> reallocation factor determines the fraction of </w:t>
      </w:r>
      <w:r w:rsidR="223EE9A8">
        <w:t>land-use</w:t>
      </w:r>
      <w:r>
        <w:t xml:space="preserve"> deficit, or how much is needed less how much is specified, that is reallocated away from exogenous transition trajectories to meet demands for grazeland. Using this value, columns on the </w:t>
      </w:r>
      <w:r w:rsidR="223EE9A8">
        <w:t>land-use</w:t>
      </w:r>
      <w:r>
        <w:t xml:space="preserve"> transition matrix</w:t>
      </w:r>
      <w:r w:rsidRPr="5E49E436">
        <w:rPr>
          <w:rStyle w:val="FootnoteReference"/>
        </w:rPr>
        <w:footnoteReference w:id="2"/>
      </w:r>
      <w:r>
        <w:t xml:space="preserve"> are scaled accordingly to ensure transitions into grazeland meet demands. If</w:t>
      </w:r>
      <w:r w:rsidRPr="003F3E53">
        <w:t xml:space="preserve"> the factor is 0, then no land use is reallocated away from exogenous </w:t>
      </w:r>
      <w:r w:rsidR="223EE9A8">
        <w:t>land-use</w:t>
      </w:r>
      <w:r>
        <w:t xml:space="preserve"> transition </w:t>
      </w:r>
      <w:r w:rsidRPr="003F3E53">
        <w:t>trajectories, and all livestock demands that exceed carrying capacity are used to adjust exports</w:t>
      </w:r>
      <w:r>
        <w:t>, while</w:t>
      </w:r>
      <w:r w:rsidRPr="003F3E53">
        <w:t xml:space="preserve"> deficits are met </w:t>
      </w:r>
      <w:r w:rsidRPr="003F3E53">
        <w:lastRenderedPageBreak/>
        <w:t xml:space="preserve">with new imports. If the factor is set to 1, then transition probabilities are scaled to ensure that pastures and croplands will meet production demands </w:t>
      </w:r>
      <w:r w:rsidR="223EE9A8">
        <w:t>precisely</w:t>
      </w:r>
      <w:r w:rsidRPr="003F3E53">
        <w:t>. Any value in-between is the fraction of land that is moved away from exogenous specification through column scaling, representing a mix between the two approaches.</w:t>
      </w:r>
    </w:p>
    <w:p w14:paraId="43260B63" w14:textId="2389AEEF" w:rsidR="00243246" w:rsidRDefault="27B2A08E">
      <w:pPr>
        <w:pStyle w:val="Heading2"/>
      </w:pPr>
      <w:bookmarkStart w:id="33" w:name="_Toc152088236"/>
      <w:r>
        <w:t xml:space="preserve">Accessing </w:t>
      </w:r>
      <w:proofErr w:type="spellStart"/>
      <w:r>
        <w:t>SiSePuede</w:t>
      </w:r>
      <w:bookmarkEnd w:id="33"/>
      <w:proofErr w:type="spellEnd"/>
    </w:p>
    <w:p w14:paraId="13B08C55" w14:textId="7495BE1C" w:rsidR="00243246" w:rsidRDefault="65F79D52" w:rsidP="27B2A08E">
      <w:r>
        <w:t xml:space="preserve">The complete documentation for </w:t>
      </w:r>
      <w:proofErr w:type="spellStart"/>
      <w:r>
        <w:t>SiSePuede</w:t>
      </w:r>
      <w:proofErr w:type="spellEnd"/>
      <w:r>
        <w:t xml:space="preserve">—including the installation instructions, detailed mathematical specifications, variable information, and schema—are available at </w:t>
      </w:r>
      <w:hyperlink r:id="rId24">
        <w:r w:rsidRPr="65F79D52">
          <w:rPr>
            <w:rStyle w:val="Hyperlink"/>
          </w:rPr>
          <w:t>https://sisepuede.readthedocs.io</w:t>
        </w:r>
      </w:hyperlink>
      <w:r>
        <w:t xml:space="preserve">. </w:t>
      </w:r>
      <w:proofErr w:type="spellStart"/>
      <w:r>
        <w:t>SiSePuede</w:t>
      </w:r>
      <w:proofErr w:type="spellEnd"/>
      <w:r>
        <w:t xml:space="preserve"> is written in Python and Julia. </w:t>
      </w:r>
      <w:proofErr w:type="spellStart"/>
      <w:r>
        <w:t>NemoMod</w:t>
      </w:r>
      <w:proofErr w:type="spellEnd"/>
      <w:r>
        <w:t xml:space="preserve"> was developed by Stockholm Environmental Institute and is available under the Apache 2.0 License from </w:t>
      </w:r>
      <w:hyperlink r:id="rId25">
        <w:r w:rsidRPr="65F79D52">
          <w:rPr>
            <w:rStyle w:val="Hyperlink"/>
          </w:rPr>
          <w:t>https://github.com/sei-international/NemoMod.jl</w:t>
        </w:r>
      </w:hyperlink>
      <w:r>
        <w:t xml:space="preserve">. Python and Julia model code are available for use under the GNU Public License at </w:t>
      </w:r>
      <w:hyperlink r:id="rId26">
        <w:r w:rsidRPr="65F79D52">
          <w:rPr>
            <w:rStyle w:val="Hyperlink"/>
          </w:rPr>
          <w:t>https://github.com/jcsyme/sisepuede</w:t>
        </w:r>
      </w:hyperlink>
      <w:r>
        <w:t xml:space="preserve">, and a precompiled Docker image can be used to run the latest version of the model, available at </w:t>
      </w:r>
      <w:hyperlink r:id="rId27">
        <w:r w:rsidRPr="65F79D52">
          <w:rPr>
            <w:rStyle w:val="Hyperlink"/>
          </w:rPr>
          <w:t>https://hub.docker.com/r/jsyme816/sisepuede</w:t>
        </w:r>
      </w:hyperlink>
      <w:r>
        <w:t>.</w:t>
      </w:r>
    </w:p>
    <w:p w14:paraId="78C37889" w14:textId="77777777" w:rsidR="00243246" w:rsidRDefault="00243246" w:rsidP="00243246">
      <w:pPr>
        <w:spacing w:line="240" w:lineRule="auto"/>
        <w:ind w:firstLine="0"/>
      </w:pPr>
    </w:p>
    <w:p w14:paraId="121BD4C0" w14:textId="77777777" w:rsidR="0012647D" w:rsidRDefault="0012647D">
      <w:pPr>
        <w:spacing w:line="240" w:lineRule="auto"/>
        <w:ind w:firstLine="0"/>
        <w:rPr>
          <w:rFonts w:ascii="Arial" w:hAnsi="Arial"/>
          <w:sz w:val="32"/>
          <w:szCs w:val="20"/>
        </w:rPr>
      </w:pPr>
      <w:r>
        <w:br w:type="page"/>
      </w:r>
    </w:p>
    <w:p w14:paraId="6AA751D4" w14:textId="3B219347" w:rsidR="00005A8E" w:rsidRDefault="00005A8E" w:rsidP="00F20463">
      <w:pPr>
        <w:pStyle w:val="Heading1"/>
      </w:pPr>
      <w:bookmarkStart w:id="34" w:name="_Toc152088237"/>
      <w:r>
        <w:lastRenderedPageBreak/>
        <w:t xml:space="preserve">Appendix A. </w:t>
      </w:r>
      <w:r w:rsidR="00361758">
        <w:t>Agriculture</w:t>
      </w:r>
      <w:bookmarkEnd w:id="34"/>
    </w:p>
    <w:p w14:paraId="4512AFA7" w14:textId="0870E759" w:rsidR="00986F5E" w:rsidRDefault="00383EA7" w:rsidP="00383EA7">
      <w:r>
        <w:t>The agricultural sector consists of crop and livestock production.</w:t>
      </w:r>
      <w:r w:rsidR="00C24A53" w:rsidRPr="00C24A53">
        <w:t xml:space="preserve"> </w:t>
      </w:r>
      <w:r w:rsidR="00C24A53">
        <w:t xml:space="preserve">The demand for crops and livestock is driven by population and GDP growth. Crops and livestock are distinguished by type according to FAO </w:t>
      </w:r>
      <w:r w:rsidR="0077535C">
        <w:t>categories</w:t>
      </w:r>
      <w:r w:rsidR="00D805DD">
        <w:t xml:space="preserve">. </w:t>
      </w:r>
      <w:r w:rsidR="00D86583">
        <w:t>We discuss crop and livestock production separately.</w:t>
      </w:r>
    </w:p>
    <w:p w14:paraId="7A2B9252" w14:textId="1A0F4049" w:rsidR="00DC45C0" w:rsidRDefault="6C25EBEF" w:rsidP="008B550E">
      <w:pPr>
        <w:pStyle w:val="Heading2"/>
      </w:pPr>
      <w:bookmarkStart w:id="35" w:name="_Toc152088238"/>
      <w:r>
        <w:t>Crops</w:t>
      </w:r>
      <w:bookmarkEnd w:id="35"/>
    </w:p>
    <w:p w14:paraId="62B17AC9" w14:textId="4808B4F1" w:rsidR="00986F5E" w:rsidRPr="00B94640" w:rsidRDefault="6C25EBEF" w:rsidP="6C25EBEF">
      <w:pPr>
        <w:pStyle w:val="Heading3"/>
      </w:pPr>
      <w:bookmarkStart w:id="36" w:name="_Toc152088239"/>
      <w:r>
        <w:t xml:space="preserve">Crop historical data and </w:t>
      </w:r>
      <w:proofErr w:type="gramStart"/>
      <w:r>
        <w:t>projections</w:t>
      </w:r>
      <w:bookmarkEnd w:id="36"/>
      <w:proofErr w:type="gramEnd"/>
    </w:p>
    <w:p w14:paraId="4DC04C48" w14:textId="5D5E1F90" w:rsidR="00986F5E" w:rsidRDefault="6C25EBEF" w:rsidP="6C25EBEF">
      <w:r>
        <w:t>Emissions in crops are produced by the release of soil carbon in tillage, fertilizer applications and crop liming, crop burning, organic material’s decomposition, and methane emissions from paddy rice fields. Fossil fuels burned by on-farm equipment are accounted for in industrial energy, where demands for energy are driven by agriculture and livestock production. Agriculture emissions are a product of the data in Table A.1.</w:t>
      </w:r>
    </w:p>
    <w:p w14:paraId="653B4922" w14:textId="055C2E4F" w:rsidR="00986F5E" w:rsidRDefault="0CDBF178">
      <w:pPr>
        <w:pStyle w:val="Heading9"/>
      </w:pPr>
      <w:bookmarkStart w:id="37" w:name="_Toc152088309"/>
      <w:r w:rsidRPr="0CDBF178">
        <w:rPr>
          <w:rFonts w:eastAsia="Arial"/>
        </w:rPr>
        <w:t>Table A.1 Data and methods</w:t>
      </w:r>
      <w:bookmarkEnd w:id="37"/>
      <w:r w:rsidRPr="0CDBF178">
        <w:rPr>
          <w:rFonts w:eastAsia="Arial"/>
        </w:rPr>
        <w:t xml:space="preserve"> </w:t>
      </w:r>
    </w:p>
    <w:tbl>
      <w:tblPr>
        <w:tblStyle w:val="TableGrid"/>
        <w:tblW w:w="0" w:type="auto"/>
        <w:tblLayout w:type="fixed"/>
        <w:tblLook w:val="0620" w:firstRow="1" w:lastRow="0" w:firstColumn="0" w:lastColumn="0" w:noHBand="1" w:noVBand="1"/>
      </w:tblPr>
      <w:tblGrid>
        <w:gridCol w:w="2430"/>
        <w:gridCol w:w="3330"/>
        <w:gridCol w:w="3600"/>
      </w:tblGrid>
      <w:tr w:rsidR="00986F5E" w14:paraId="2C79C9E7" w14:textId="77777777" w:rsidTr="65F79D52">
        <w:trPr>
          <w:cnfStyle w:val="100000000000" w:firstRow="1" w:lastRow="0" w:firstColumn="0" w:lastColumn="0" w:oddVBand="0" w:evenVBand="0" w:oddHBand="0" w:evenHBand="0" w:firstRowFirstColumn="0" w:firstRowLastColumn="0" w:lastRowFirstColumn="0" w:lastRowLastColumn="0"/>
          <w:trHeight w:val="15"/>
        </w:trPr>
        <w:tc>
          <w:tcPr>
            <w:tcW w:w="2430" w:type="dxa"/>
            <w:tcBorders>
              <w:left w:val="nil"/>
              <w:right w:val="nil"/>
            </w:tcBorders>
            <w:vAlign w:val="bottom"/>
          </w:tcPr>
          <w:p w14:paraId="2E719B88" w14:textId="77777777" w:rsidR="00986F5E" w:rsidRDefault="00986F5E" w:rsidP="006D2776">
            <w:r>
              <w:rPr>
                <w:rFonts w:eastAsia="Arial" w:cs="Arial"/>
                <w:b/>
                <w:bCs/>
                <w:sz w:val="18"/>
                <w:szCs w:val="18"/>
              </w:rPr>
              <w:t>Data</w:t>
            </w:r>
          </w:p>
        </w:tc>
        <w:tc>
          <w:tcPr>
            <w:tcW w:w="3330" w:type="dxa"/>
            <w:tcBorders>
              <w:left w:val="nil"/>
              <w:right w:val="nil"/>
            </w:tcBorders>
          </w:tcPr>
          <w:p w14:paraId="576885C0" w14:textId="39400D05" w:rsidR="00986F5E" w:rsidRDefault="6C25EBEF" w:rsidP="6C25EBEF">
            <w:pPr>
              <w:jc w:val="center"/>
            </w:pPr>
            <w:r w:rsidRPr="6C25EBEF">
              <w:rPr>
                <w:rFonts w:eastAsia="Arial" w:cs="Arial"/>
                <w:b/>
                <w:bCs/>
                <w:sz w:val="18"/>
                <w:szCs w:val="18"/>
              </w:rPr>
              <w:t>Method for historical data</w:t>
            </w:r>
          </w:p>
        </w:tc>
        <w:tc>
          <w:tcPr>
            <w:tcW w:w="3600" w:type="dxa"/>
            <w:tcBorders>
              <w:left w:val="nil"/>
              <w:right w:val="nil"/>
            </w:tcBorders>
          </w:tcPr>
          <w:p w14:paraId="5FDFEC51" w14:textId="1C98F707" w:rsidR="00986F5E" w:rsidRDefault="6C25EBEF">
            <w:pPr>
              <w:jc w:val="center"/>
            </w:pPr>
            <w:r w:rsidRPr="6C25EBEF">
              <w:rPr>
                <w:rFonts w:eastAsia="Arial" w:cs="Arial"/>
                <w:b/>
                <w:bCs/>
                <w:sz w:val="18"/>
                <w:szCs w:val="18"/>
              </w:rPr>
              <w:t>Method for projections</w:t>
            </w:r>
          </w:p>
        </w:tc>
      </w:tr>
      <w:tr w:rsidR="00986F5E" w14:paraId="5339AF21" w14:textId="77777777" w:rsidTr="65F79D52">
        <w:tc>
          <w:tcPr>
            <w:tcW w:w="2430" w:type="dxa"/>
            <w:tcBorders>
              <w:top w:val="nil"/>
              <w:left w:val="nil"/>
              <w:bottom w:val="nil"/>
              <w:right w:val="nil"/>
            </w:tcBorders>
          </w:tcPr>
          <w:p w14:paraId="57435AAA" w14:textId="30E55612" w:rsidR="00986F5E" w:rsidRDefault="00986F5E" w:rsidP="006D2776">
            <w:pPr>
              <w:pStyle w:val="TableBody"/>
            </w:pPr>
            <w:r>
              <w:rPr>
                <w:rFonts w:eastAsia="Arial"/>
              </w:rPr>
              <w:t xml:space="preserve">Quantity of </w:t>
            </w:r>
            <w:r w:rsidR="00D96A4D">
              <w:rPr>
                <w:rFonts w:eastAsia="Arial"/>
              </w:rPr>
              <w:t>agricultural</w:t>
            </w:r>
            <w:r>
              <w:rPr>
                <w:rFonts w:eastAsia="Arial"/>
              </w:rPr>
              <w:t xml:space="preserve"> </w:t>
            </w:r>
            <w:r w:rsidR="00D96A4D">
              <w:rPr>
                <w:rFonts w:eastAsia="Arial"/>
              </w:rPr>
              <w:t>demand</w:t>
            </w:r>
            <w:r>
              <w:rPr>
                <w:rFonts w:eastAsia="Arial"/>
              </w:rPr>
              <w:t xml:space="preserve"> per </w:t>
            </w:r>
            <w:r w:rsidR="00D96A4D">
              <w:rPr>
                <w:rFonts w:eastAsia="Arial"/>
              </w:rPr>
              <w:t>agricultural category per country</w:t>
            </w:r>
          </w:p>
        </w:tc>
        <w:tc>
          <w:tcPr>
            <w:tcW w:w="3330" w:type="dxa"/>
            <w:tcBorders>
              <w:top w:val="nil"/>
              <w:left w:val="nil"/>
              <w:bottom w:val="nil"/>
              <w:right w:val="nil"/>
            </w:tcBorders>
          </w:tcPr>
          <w:p w14:paraId="61F90517" w14:textId="1540D56A" w:rsidR="00986F5E" w:rsidRPr="0021021C" w:rsidRDefault="6C25EBEF" w:rsidP="00D44A2E">
            <w:pPr>
              <w:pStyle w:val="TableBody"/>
              <w:rPr>
                <w:rFonts w:eastAsia="Arial"/>
              </w:rPr>
            </w:pPr>
            <w:r w:rsidRPr="6C25EBEF">
              <w:rPr>
                <w:rFonts w:eastAsia="Arial"/>
              </w:rPr>
              <w:t>Production volumes are estimated using the United Nations Food and Agriculture Organization (FAO) Production database (FAO, 2023c)</w:t>
            </w:r>
          </w:p>
          <w:p w14:paraId="5D46E446" w14:textId="77777777" w:rsidR="0030766C" w:rsidRPr="0021021C" w:rsidRDefault="0030766C" w:rsidP="00D44A2E">
            <w:pPr>
              <w:pStyle w:val="TableBody"/>
              <w:rPr>
                <w:rFonts w:eastAsia="Arial"/>
              </w:rPr>
            </w:pPr>
          </w:p>
          <w:p w14:paraId="4DFA0AFE" w14:textId="52686F01" w:rsidR="00986F5E" w:rsidRDefault="65F79D52">
            <w:pPr>
              <w:pStyle w:val="TableBody"/>
            </w:pPr>
            <w:r w:rsidRPr="65F79D52">
              <w:rPr>
                <w:rFonts w:eastAsia="Arial"/>
              </w:rPr>
              <w:t xml:space="preserve">Exports and import volumes are estimated using the FAO Trade database (FAO, 2023d) </w:t>
            </w:r>
          </w:p>
        </w:tc>
        <w:tc>
          <w:tcPr>
            <w:tcW w:w="3600" w:type="dxa"/>
            <w:tcBorders>
              <w:top w:val="nil"/>
              <w:left w:val="nil"/>
              <w:bottom w:val="nil"/>
              <w:right w:val="nil"/>
            </w:tcBorders>
          </w:tcPr>
          <w:p w14:paraId="1D7D26BB" w14:textId="1B0D8F23" w:rsidR="001B1CDA" w:rsidRDefault="48B0C125">
            <w:pPr>
              <w:pStyle w:val="TableBody"/>
              <w:rPr>
                <w:rFonts w:eastAsia="Arial"/>
              </w:rPr>
            </w:pPr>
            <w:r w:rsidRPr="48B0C125">
              <w:rPr>
                <w:rFonts w:eastAsia="Arial"/>
              </w:rPr>
              <w:t xml:space="preserve">We use the US Department of Agriculture (USDA) Commodity and Food Elasticities Database for estimating crop demand income elasticities by country. We combine these elasticities with gross domestic product (GDP) per capita projections to estimate baseline demand.  </w:t>
            </w:r>
          </w:p>
          <w:p w14:paraId="0C8486F2" w14:textId="018FA020" w:rsidR="00986F5E" w:rsidRPr="007D76B3" w:rsidRDefault="00986F5E" w:rsidP="006D2776">
            <w:pPr>
              <w:pStyle w:val="TableBody"/>
              <w:rPr>
                <w:rFonts w:eastAsia="Arial"/>
              </w:rPr>
            </w:pPr>
            <w:r w:rsidRPr="0021021C">
              <w:rPr>
                <w:rFonts w:eastAsia="Arial"/>
              </w:rPr>
              <w:t xml:space="preserve"> </w:t>
            </w:r>
          </w:p>
        </w:tc>
      </w:tr>
      <w:tr w:rsidR="00986F5E" w14:paraId="51157C6B" w14:textId="77777777" w:rsidTr="65F79D52">
        <w:trPr>
          <w:trHeight w:val="185"/>
        </w:trPr>
        <w:tc>
          <w:tcPr>
            <w:tcW w:w="2430" w:type="dxa"/>
            <w:tcBorders>
              <w:top w:val="nil"/>
              <w:left w:val="nil"/>
              <w:bottom w:val="nil"/>
              <w:right w:val="nil"/>
            </w:tcBorders>
          </w:tcPr>
          <w:p w14:paraId="67006E2F" w14:textId="122C4EF9" w:rsidR="00986F5E" w:rsidRDefault="008E365B" w:rsidP="006D2776">
            <w:pPr>
              <w:pStyle w:val="TableBody"/>
              <w:rPr>
                <w:rFonts w:eastAsia="Arial"/>
              </w:rPr>
            </w:pPr>
            <w:r>
              <w:rPr>
                <w:rFonts w:eastAsia="Arial"/>
              </w:rPr>
              <w:t>Yield</w:t>
            </w:r>
            <w:r w:rsidR="00986F5E">
              <w:rPr>
                <w:rFonts w:eastAsia="Arial"/>
              </w:rPr>
              <w:t xml:space="preserve"> (</w:t>
            </w:r>
            <w:r>
              <w:rPr>
                <w:rFonts w:eastAsia="Arial"/>
              </w:rPr>
              <w:t>land area and fertilizer</w:t>
            </w:r>
            <w:r w:rsidR="00831260">
              <w:rPr>
                <w:rFonts w:eastAsia="Arial"/>
              </w:rPr>
              <w:t xml:space="preserve"> and other inputs</w:t>
            </w:r>
            <w:r w:rsidR="00986F5E">
              <w:rPr>
                <w:rFonts w:eastAsia="Arial"/>
              </w:rPr>
              <w:t xml:space="preserve"> </w:t>
            </w:r>
            <w:r w:rsidR="00831260">
              <w:rPr>
                <w:rFonts w:eastAsia="Arial"/>
              </w:rPr>
              <w:t>needed</w:t>
            </w:r>
            <w:r w:rsidR="00986F5E">
              <w:rPr>
                <w:rFonts w:eastAsia="Arial"/>
              </w:rPr>
              <w:t xml:space="preserve"> per unit of </w:t>
            </w:r>
            <w:r w:rsidR="00D96A4D">
              <w:rPr>
                <w:rFonts w:eastAsia="Arial"/>
              </w:rPr>
              <w:t>crop</w:t>
            </w:r>
            <w:r w:rsidR="00986F5E">
              <w:rPr>
                <w:rFonts w:eastAsia="Arial"/>
              </w:rPr>
              <w:t xml:space="preserve"> output)</w:t>
            </w:r>
          </w:p>
        </w:tc>
        <w:tc>
          <w:tcPr>
            <w:tcW w:w="3330" w:type="dxa"/>
            <w:tcBorders>
              <w:top w:val="nil"/>
              <w:left w:val="nil"/>
              <w:bottom w:val="nil"/>
              <w:right w:val="nil"/>
            </w:tcBorders>
          </w:tcPr>
          <w:p w14:paraId="263556F6" w14:textId="21DEF3A4" w:rsidR="00986F5E" w:rsidRPr="0021021C" w:rsidRDefault="0055688E" w:rsidP="006D2776">
            <w:pPr>
              <w:pStyle w:val="TableBody"/>
              <w:rPr>
                <w:rFonts w:eastAsia="Arial"/>
              </w:rPr>
            </w:pPr>
            <w:r w:rsidRPr="0021021C">
              <w:rPr>
                <w:rFonts w:eastAsia="Arial"/>
              </w:rPr>
              <w:t>Yields and area harvested</w:t>
            </w:r>
            <w:r w:rsidR="00D85AEF" w:rsidRPr="0021021C">
              <w:rPr>
                <w:rFonts w:eastAsia="Arial"/>
              </w:rPr>
              <w:t xml:space="preserve"> figures are estimated using FAO Production database (FAO, 2023</w:t>
            </w:r>
            <w:r w:rsidR="00FA4126" w:rsidRPr="0021021C">
              <w:rPr>
                <w:rFonts w:eastAsia="Arial"/>
              </w:rPr>
              <w:t>c</w:t>
            </w:r>
            <w:r w:rsidR="00D85AEF" w:rsidRPr="0021021C">
              <w:rPr>
                <w:rFonts w:eastAsia="Arial"/>
              </w:rPr>
              <w:t xml:space="preserve">) </w:t>
            </w:r>
          </w:p>
          <w:p w14:paraId="632937EA" w14:textId="77777777" w:rsidR="00D85AEF" w:rsidRPr="0021021C" w:rsidRDefault="00D85AEF" w:rsidP="006D2776">
            <w:pPr>
              <w:pStyle w:val="TableBody"/>
              <w:rPr>
                <w:rFonts w:eastAsia="Arial"/>
              </w:rPr>
            </w:pPr>
          </w:p>
          <w:p w14:paraId="1690022E" w14:textId="56233871" w:rsidR="00986F5E" w:rsidRPr="7726BEE2" w:rsidRDefault="00D85AEF" w:rsidP="006D2776">
            <w:pPr>
              <w:pStyle w:val="TableBody"/>
              <w:rPr>
                <w:rFonts w:eastAsia="Arial"/>
              </w:rPr>
            </w:pPr>
            <w:r w:rsidRPr="0021021C">
              <w:rPr>
                <w:rFonts w:eastAsia="Arial"/>
              </w:rPr>
              <w:t xml:space="preserve">Fertilizer use </w:t>
            </w:r>
            <w:r w:rsidR="004C5AE9" w:rsidRPr="0021021C">
              <w:rPr>
                <w:rFonts w:eastAsia="Arial"/>
              </w:rPr>
              <w:t xml:space="preserve">is estimated based on data from the International </w:t>
            </w:r>
            <w:r w:rsidR="00F20BB4" w:rsidRPr="0021021C">
              <w:rPr>
                <w:rFonts w:eastAsia="Arial"/>
              </w:rPr>
              <w:t>Fertilizer Association (IFA, 2023)</w:t>
            </w:r>
          </w:p>
        </w:tc>
        <w:tc>
          <w:tcPr>
            <w:tcW w:w="3600" w:type="dxa"/>
            <w:tcBorders>
              <w:top w:val="nil"/>
              <w:left w:val="nil"/>
              <w:bottom w:val="nil"/>
              <w:right w:val="nil"/>
            </w:tcBorders>
          </w:tcPr>
          <w:p w14:paraId="4E6AFAD2" w14:textId="77777777" w:rsidR="00986F5E" w:rsidRPr="0021021C" w:rsidRDefault="002B6C60" w:rsidP="002B6C60">
            <w:pPr>
              <w:pStyle w:val="TableBody"/>
              <w:rPr>
                <w:rFonts w:eastAsia="Arial"/>
              </w:rPr>
            </w:pPr>
            <w:r w:rsidRPr="0021021C">
              <w:rPr>
                <w:rFonts w:eastAsia="Arial"/>
              </w:rPr>
              <w:t xml:space="preserve">Yields are projected to grow 1.6% per year from 2020 to 2050. </w:t>
            </w:r>
          </w:p>
          <w:p w14:paraId="18D7DF97" w14:textId="77777777" w:rsidR="002B6C60" w:rsidRPr="0021021C" w:rsidRDefault="002B6C60" w:rsidP="002B6C60">
            <w:pPr>
              <w:pStyle w:val="TableBody"/>
              <w:rPr>
                <w:rFonts w:eastAsia="Arial"/>
              </w:rPr>
            </w:pPr>
          </w:p>
          <w:p w14:paraId="7A9046A1" w14:textId="2EBFCF0E" w:rsidR="002B6C60" w:rsidRPr="0021021C" w:rsidRDefault="6C25EBEF" w:rsidP="002B6C60">
            <w:pPr>
              <w:pStyle w:val="TableBody"/>
              <w:rPr>
                <w:rFonts w:eastAsia="Arial"/>
              </w:rPr>
            </w:pPr>
            <w:r w:rsidRPr="6C25EBEF">
              <w:rPr>
                <w:rFonts w:eastAsia="Arial"/>
              </w:rPr>
              <w:t xml:space="preserve">Areas and volumes of production, exports, and imports are determined endogenously in the simulation. </w:t>
            </w:r>
          </w:p>
          <w:p w14:paraId="601CEF4E" w14:textId="7E987D62" w:rsidR="00986F5E" w:rsidRPr="3126604F" w:rsidRDefault="00986F5E" w:rsidP="006D2776">
            <w:pPr>
              <w:pStyle w:val="TableBody"/>
              <w:rPr>
                <w:rFonts w:eastAsia="Arial"/>
              </w:rPr>
            </w:pPr>
          </w:p>
        </w:tc>
      </w:tr>
      <w:tr w:rsidR="00986F5E" w14:paraId="3E3434EE" w14:textId="77777777" w:rsidTr="65F79D52">
        <w:tc>
          <w:tcPr>
            <w:tcW w:w="2430" w:type="dxa"/>
            <w:tcBorders>
              <w:top w:val="nil"/>
              <w:left w:val="nil"/>
              <w:bottom w:val="nil"/>
              <w:right w:val="nil"/>
            </w:tcBorders>
          </w:tcPr>
          <w:p w14:paraId="4EB93FA6" w14:textId="769D8806" w:rsidR="00986F5E" w:rsidRDefault="00986F5E" w:rsidP="006D2776">
            <w:pPr>
              <w:pStyle w:val="TableBody"/>
            </w:pPr>
            <w:r>
              <w:rPr>
                <w:rFonts w:eastAsia="Arial"/>
              </w:rPr>
              <w:t xml:space="preserve">Emissions intensity (emissions per </w:t>
            </w:r>
            <w:r w:rsidR="00733F06">
              <w:rPr>
                <w:rFonts w:eastAsia="Arial"/>
              </w:rPr>
              <w:t>ton of crop produced</w:t>
            </w:r>
            <w:r w:rsidR="000A24A1">
              <w:rPr>
                <w:rFonts w:eastAsia="Arial"/>
              </w:rPr>
              <w:t>)</w:t>
            </w:r>
          </w:p>
        </w:tc>
        <w:tc>
          <w:tcPr>
            <w:tcW w:w="3330" w:type="dxa"/>
            <w:tcBorders>
              <w:top w:val="nil"/>
              <w:left w:val="nil"/>
              <w:bottom w:val="nil"/>
              <w:right w:val="nil"/>
            </w:tcBorders>
          </w:tcPr>
          <w:p w14:paraId="287A6208" w14:textId="0F1264C0" w:rsidR="00986F5E" w:rsidRPr="006A1B28" w:rsidRDefault="6C25EBEF" w:rsidP="006D2776">
            <w:pPr>
              <w:pStyle w:val="TableBody"/>
              <w:rPr>
                <w:rFonts w:eastAsia="Arial"/>
              </w:rPr>
            </w:pPr>
            <w:r w:rsidRPr="6C25EBEF">
              <w:rPr>
                <w:rFonts w:eastAsia="Arial"/>
              </w:rPr>
              <w:t xml:space="preserve">Fertilizer use emission factors based on </w:t>
            </w:r>
            <w:r w:rsidRPr="6C25EBEF">
              <w:t>Intergovernmental Panel on Climate Change</w:t>
            </w:r>
            <w:r w:rsidRPr="6C25EBEF">
              <w:rPr>
                <w:rFonts w:eastAsia="Arial"/>
              </w:rPr>
              <w:t xml:space="preserve"> Guidelines for National Greenhouse Gas Inventories, Table 11.1, volume 4 (IPPC, 2019)</w:t>
            </w:r>
          </w:p>
        </w:tc>
        <w:tc>
          <w:tcPr>
            <w:tcW w:w="3600" w:type="dxa"/>
            <w:tcBorders>
              <w:top w:val="nil"/>
              <w:left w:val="nil"/>
              <w:bottom w:val="nil"/>
              <w:right w:val="nil"/>
            </w:tcBorders>
          </w:tcPr>
          <w:p w14:paraId="45969DE5" w14:textId="1263C801" w:rsidR="00986F5E" w:rsidRDefault="6C25EBEF" w:rsidP="006D2776">
            <w:pPr>
              <w:pStyle w:val="TableBody"/>
              <w:rPr>
                <w:rFonts w:eastAsia="Arial"/>
              </w:rPr>
            </w:pPr>
            <w:r w:rsidRPr="6C25EBEF">
              <w:rPr>
                <w:rFonts w:eastAsia="Arial"/>
              </w:rPr>
              <w:t>Factors are assumed to remain constant under baseline conditions (i.e., no transformations).</w:t>
            </w:r>
          </w:p>
        </w:tc>
      </w:tr>
      <w:tr w:rsidR="00986F5E" w14:paraId="46F99AF1" w14:textId="77777777" w:rsidTr="65F79D52">
        <w:tc>
          <w:tcPr>
            <w:tcW w:w="2430" w:type="dxa"/>
            <w:tcBorders>
              <w:top w:val="nil"/>
              <w:left w:val="nil"/>
              <w:bottom w:val="nil"/>
              <w:right w:val="nil"/>
            </w:tcBorders>
          </w:tcPr>
          <w:p w14:paraId="599FEF28" w14:textId="77777777" w:rsidR="00986F5E" w:rsidRDefault="00986F5E" w:rsidP="006D2776">
            <w:pPr>
              <w:pStyle w:val="TableBody"/>
              <w:rPr>
                <w:rFonts w:eastAsia="Arial"/>
              </w:rPr>
            </w:pPr>
            <w:r>
              <w:rPr>
                <w:rFonts w:eastAsia="Arial"/>
              </w:rPr>
              <w:t>Total emissions</w:t>
            </w:r>
          </w:p>
        </w:tc>
        <w:tc>
          <w:tcPr>
            <w:tcW w:w="3330" w:type="dxa"/>
            <w:tcBorders>
              <w:top w:val="nil"/>
              <w:left w:val="nil"/>
              <w:bottom w:val="nil"/>
              <w:right w:val="nil"/>
            </w:tcBorders>
          </w:tcPr>
          <w:p w14:paraId="67A6BC61" w14:textId="4C6E6EB7" w:rsidR="00986F5E" w:rsidRDefault="6C25EBEF">
            <w:pPr>
              <w:pStyle w:val="TableBody"/>
              <w:rPr>
                <w:rFonts w:eastAsia="Arial"/>
              </w:rPr>
            </w:pPr>
            <w:r w:rsidRPr="6C25EBEF">
              <w:rPr>
                <w:rFonts w:eastAsia="Arial"/>
              </w:rPr>
              <w:t>Historical sector emissions are used in the calibration process. Emissions data for calibration are obtained from Climate Watch (2022)</w:t>
            </w:r>
          </w:p>
        </w:tc>
        <w:tc>
          <w:tcPr>
            <w:tcW w:w="3600" w:type="dxa"/>
            <w:tcBorders>
              <w:top w:val="nil"/>
              <w:left w:val="nil"/>
              <w:bottom w:val="nil"/>
              <w:right w:val="nil"/>
            </w:tcBorders>
          </w:tcPr>
          <w:p w14:paraId="0295C6D5" w14:textId="5E50D8F5" w:rsidR="00986F5E" w:rsidRDefault="003606B1" w:rsidP="006D2776">
            <w:pPr>
              <w:pStyle w:val="TableBody"/>
              <w:rPr>
                <w:rFonts w:eastAsia="Arial"/>
              </w:rPr>
            </w:pPr>
            <w:r>
              <w:rPr>
                <w:rFonts w:eastAsia="Arial"/>
              </w:rPr>
              <w:t xml:space="preserve">Production of different crops </w:t>
            </w:r>
            <w:r w:rsidR="00FE1127">
              <w:rPr>
                <w:rFonts w:eastAsia="Arial"/>
              </w:rPr>
              <w:t xml:space="preserve">and technologies and practices used in agriculture determine emissions levels. </w:t>
            </w:r>
          </w:p>
        </w:tc>
      </w:tr>
      <w:tr w:rsidR="00986F5E" w:rsidRPr="00126325" w14:paraId="7B16724B" w14:textId="77777777" w:rsidTr="65F79D52">
        <w:trPr>
          <w:trHeight w:val="19"/>
        </w:trPr>
        <w:tc>
          <w:tcPr>
            <w:tcW w:w="9360" w:type="dxa"/>
            <w:gridSpan w:val="3"/>
            <w:tcBorders>
              <w:top w:val="single" w:sz="4" w:space="0" w:color="auto"/>
              <w:left w:val="nil"/>
              <w:bottom w:val="nil"/>
              <w:right w:val="nil"/>
            </w:tcBorders>
          </w:tcPr>
          <w:p w14:paraId="26DCAE46" w14:textId="04F0D0BB" w:rsidR="00986F5E" w:rsidRPr="00126325" w:rsidRDefault="0CDBF178" w:rsidP="006D2776">
            <w:pPr>
              <w:pStyle w:val="TableNote"/>
              <w:rPr>
                <w:rFonts w:eastAsia="Arial"/>
              </w:rPr>
            </w:pPr>
            <w:r w:rsidRPr="0CDBF178">
              <w:rPr>
                <w:rFonts w:eastAsia="Arial"/>
              </w:rPr>
              <w:t xml:space="preserve">Note: To map </w:t>
            </w:r>
            <w:proofErr w:type="spellStart"/>
            <w:r>
              <w:t>SiSePuede</w:t>
            </w:r>
            <w:proofErr w:type="spellEnd"/>
            <w:r w:rsidRPr="0CDBF178">
              <w:rPr>
                <w:rFonts w:eastAsia="Arial"/>
              </w:rPr>
              <w:t xml:space="preserve"> crops categories to FAO crops categories, we developed data crosswalks that allow us to aggregate statistical information from FAO to be used as input in </w:t>
            </w:r>
            <w:proofErr w:type="spellStart"/>
            <w:r>
              <w:t>SiSePuede</w:t>
            </w:r>
            <w:proofErr w:type="spellEnd"/>
            <w:r w:rsidRPr="0CDBF178">
              <w:rPr>
                <w:rFonts w:eastAsia="Arial"/>
              </w:rPr>
              <w:t>.</w:t>
            </w:r>
          </w:p>
        </w:tc>
      </w:tr>
    </w:tbl>
    <w:p w14:paraId="2F296918" w14:textId="77777777" w:rsidR="00986F5E" w:rsidRDefault="00986F5E" w:rsidP="00383EA7"/>
    <w:p w14:paraId="3AF9AB52" w14:textId="3AE7F0AA" w:rsidR="00884C7D" w:rsidRPr="002804AA" w:rsidRDefault="6C25EBEF">
      <w:pPr>
        <w:pStyle w:val="Heading3"/>
      </w:pPr>
      <w:bookmarkStart w:id="38" w:name="_Toc152088240"/>
      <w:r>
        <w:lastRenderedPageBreak/>
        <w:t>Transforming crops</w:t>
      </w:r>
      <w:bookmarkEnd w:id="38"/>
    </w:p>
    <w:p w14:paraId="355B418F" w14:textId="74D3CCA4" w:rsidR="0038243C" w:rsidRDefault="7654BBD9">
      <w:r>
        <w:t>While many individual practices can address emissions from crop production, we broadly group practices into three transformations: improving the use of fertilizers, expanding conservation agriculture, and improving rice management, consistent with strategies from the Environmental Protection Agency or EPA (</w:t>
      </w:r>
      <w:r w:rsidRPr="002C57DD">
        <w:t>2019) and McKinsey (</w:t>
      </w:r>
      <w:r w:rsidR="002C57DD" w:rsidRPr="002C57DD">
        <w:t xml:space="preserve">2019 &amp; </w:t>
      </w:r>
      <w:r w:rsidRPr="002C57DD">
        <w:t>2020) that</w:t>
      </w:r>
      <w:r>
        <w:t xml:space="preserve"> are non-duplicative and have significant applicability in Latin America and the </w:t>
      </w:r>
      <w:proofErr w:type="spellStart"/>
      <w:r>
        <w:t>Carribean</w:t>
      </w:r>
      <w:proofErr w:type="spellEnd"/>
      <w:r>
        <w:t xml:space="preserve"> (LAC</w:t>
      </w:r>
      <w:r w:rsidRPr="00667429">
        <w:t>)</w:t>
      </w:r>
      <w:r>
        <w:t>. The fourth, discussed in the section “Crosscutting Changes in Agriculture” is to increase overall sector productivity, in ways that do not specifically target emissions.</w:t>
      </w:r>
    </w:p>
    <w:p w14:paraId="7C9C525A" w14:textId="56831BF2" w:rsidR="009318D8" w:rsidRPr="00DF07E5" w:rsidRDefault="0CDBF178" w:rsidP="0CDBF178">
      <w:r>
        <w:t xml:space="preserve">Table A.2 shows transformations to reduce emissions from crops. Table A.3 shows the technical costs and benefits of these transformations, and Table A.4 shows the sector-specific non-technical costs and benefits. The costs and benefits of transforming agriculture on energy and waste management are valued endogenously in those sectors. </w:t>
      </w:r>
    </w:p>
    <w:p w14:paraId="0654C1D2" w14:textId="77777777" w:rsidR="009318D8" w:rsidRDefault="009318D8" w:rsidP="00891900"/>
    <w:p w14:paraId="35B9F9CA" w14:textId="49F4034B" w:rsidR="009A565E" w:rsidRDefault="0CDBF178">
      <w:pPr>
        <w:pStyle w:val="Heading9"/>
      </w:pPr>
      <w:bookmarkStart w:id="39" w:name="_Toc152088310"/>
      <w:r>
        <w:t>Table A.2 Crop transformations</w:t>
      </w:r>
      <w:bookmarkEnd w:id="39"/>
    </w:p>
    <w:tbl>
      <w:tblPr>
        <w:tblStyle w:val="TableGrid"/>
        <w:tblW w:w="5000" w:type="pct"/>
        <w:tblCellMar>
          <w:top w:w="86" w:type="dxa"/>
          <w:bottom w:w="86" w:type="dxa"/>
        </w:tblCellMar>
        <w:tblLook w:val="0620" w:firstRow="1" w:lastRow="0" w:firstColumn="0" w:lastColumn="0" w:noHBand="1" w:noVBand="1"/>
      </w:tblPr>
      <w:tblGrid>
        <w:gridCol w:w="1710"/>
        <w:gridCol w:w="4140"/>
        <w:gridCol w:w="3510"/>
      </w:tblGrid>
      <w:tr w:rsidR="003D7EFF" w:rsidRPr="00C114A8" w14:paraId="5F02169F" w14:textId="77777777" w:rsidTr="7654BBD9">
        <w:trPr>
          <w:cnfStyle w:val="100000000000" w:firstRow="1" w:lastRow="0" w:firstColumn="0" w:lastColumn="0" w:oddVBand="0" w:evenVBand="0" w:oddHBand="0" w:evenHBand="0" w:firstRowFirstColumn="0" w:firstRowLastColumn="0" w:lastRowFirstColumn="0" w:lastRowLastColumn="0"/>
          <w:trHeight w:val="20"/>
        </w:trPr>
        <w:tc>
          <w:tcPr>
            <w:tcW w:w="1710" w:type="dxa"/>
            <w:tcMar>
              <w:top w:w="0" w:type="nil"/>
              <w:bottom w:w="0" w:type="nil"/>
              <w:right w:w="0" w:type="nil"/>
            </w:tcMar>
          </w:tcPr>
          <w:p w14:paraId="4E01E977" w14:textId="77777777" w:rsidR="003D7EFF" w:rsidRPr="00C114A8" w:rsidRDefault="003D7EFF" w:rsidP="00512378">
            <w:pPr>
              <w:pStyle w:val="TableColHeading"/>
              <w:jc w:val="left"/>
            </w:pPr>
            <w:r>
              <w:t>Transformation</w:t>
            </w:r>
          </w:p>
        </w:tc>
        <w:tc>
          <w:tcPr>
            <w:tcW w:w="4140" w:type="dxa"/>
          </w:tcPr>
          <w:p w14:paraId="3A6664C7" w14:textId="77777777" w:rsidR="003D7EFF" w:rsidRPr="00C114A8" w:rsidRDefault="003D7EFF" w:rsidP="00512378">
            <w:pPr>
              <w:pStyle w:val="TableColHeading"/>
            </w:pPr>
            <w:r>
              <w:t>Description</w:t>
            </w:r>
          </w:p>
        </w:tc>
        <w:tc>
          <w:tcPr>
            <w:tcW w:w="3510" w:type="dxa"/>
          </w:tcPr>
          <w:p w14:paraId="05350B60" w14:textId="4990EADA" w:rsidR="003D7EFF" w:rsidRDefault="003D7EFF" w:rsidP="00512378">
            <w:pPr>
              <w:pStyle w:val="TableColHeading"/>
            </w:pPr>
            <w:r>
              <w:t>Implementation</w:t>
            </w:r>
            <w:r w:rsidR="004D708D">
              <w:t xml:space="preserve"> (by 2050)</w:t>
            </w:r>
          </w:p>
        </w:tc>
      </w:tr>
      <w:tr w:rsidR="005A607C" w:rsidRPr="00C114A8" w14:paraId="174863CA" w14:textId="77777777" w:rsidTr="7654BBD9">
        <w:tc>
          <w:tcPr>
            <w:tcW w:w="1710" w:type="dxa"/>
            <w:tcBorders>
              <w:bottom w:val="nil"/>
            </w:tcBorders>
            <w:tcMar>
              <w:top w:w="0" w:type="nil"/>
              <w:bottom w:w="0" w:type="nil"/>
              <w:right w:w="0" w:type="nil"/>
            </w:tcMar>
          </w:tcPr>
          <w:p w14:paraId="3B087194" w14:textId="72BE6254" w:rsidR="005A607C" w:rsidRDefault="0CDBF178" w:rsidP="0CDBF178">
            <w:pPr>
              <w:pStyle w:val="TableBody"/>
            </w:pPr>
            <w:r>
              <w:t>Reduce excess fertilizer use</w:t>
            </w:r>
          </w:p>
        </w:tc>
        <w:tc>
          <w:tcPr>
            <w:tcW w:w="4140" w:type="dxa"/>
            <w:tcBorders>
              <w:bottom w:val="nil"/>
            </w:tcBorders>
          </w:tcPr>
          <w:p w14:paraId="4DFA0ADD" w14:textId="2AF82EAF" w:rsidR="005A607C" w:rsidRDefault="7654BBD9" w:rsidP="0CDBF178">
            <w:pPr>
              <w:pStyle w:val="TableBody"/>
            </w:pPr>
            <w:r>
              <w:t xml:space="preserve">Use of fertilizer in agriculture is the primary source </w:t>
            </w:r>
            <w:r w:rsidRPr="002C57DD">
              <w:t>of anthropogenic nitrous oxide (N2O) emissions (Tian et al., 2020). Global</w:t>
            </w:r>
            <w:r>
              <w:t xml:space="preserve"> overuse and misapplication of N2O is a significant and avoidable contributor to these emissions (</w:t>
            </w:r>
            <w:r w:rsidRPr="002C57DD">
              <w:t>McKinsey et al., 2020). This</w:t>
            </w:r>
            <w:r>
              <w:t xml:space="preserve"> strategy targets applying excess nitrogen (i.e., the amount of fertilizer that can be reduced without affecting yield), which is highest in countries such as China and India that subsidize fertilizer use but is also significant in Latin America (West et al., 201</w:t>
            </w:r>
            <w:r w:rsidR="002D4C96">
              <w:t>7</w:t>
            </w:r>
            <w:r>
              <w:t>). Ta</w:t>
            </w:r>
            <w:r w:rsidRPr="00E1500D">
              <w:t>ble X.2 specifies</w:t>
            </w:r>
            <w:r>
              <w:t xml:space="preserve"> per-hectare nitrogen (N) input that is not taken up by harvested crops, of which 10-30% could be avoided without an impact on yield.</w:t>
            </w:r>
          </w:p>
        </w:tc>
        <w:tc>
          <w:tcPr>
            <w:tcW w:w="3510" w:type="dxa"/>
            <w:tcBorders>
              <w:bottom w:val="nil"/>
            </w:tcBorders>
          </w:tcPr>
          <w:p w14:paraId="652DB768" w14:textId="4648A52C" w:rsidR="00A1188B" w:rsidRDefault="0CDBF178" w:rsidP="0CDBF178">
            <w:pPr>
              <w:pStyle w:val="TableBody"/>
            </w:pPr>
            <w:r>
              <w:t>Any fertilizer historically applied beyond the benefits it yields is avoided.</w:t>
            </w:r>
          </w:p>
          <w:p w14:paraId="0C7FA0CC" w14:textId="3CF5A8C8" w:rsidR="005A607C" w:rsidRDefault="005A607C" w:rsidP="00F55563">
            <w:pPr>
              <w:pStyle w:val="TableBody"/>
            </w:pPr>
          </w:p>
        </w:tc>
      </w:tr>
      <w:tr w:rsidR="00DD0E5E" w:rsidRPr="00C114A8" w14:paraId="19EAC1E8" w14:textId="77777777" w:rsidTr="7654BBD9">
        <w:tc>
          <w:tcPr>
            <w:tcW w:w="1710" w:type="dxa"/>
            <w:tcMar>
              <w:top w:w="0" w:type="nil"/>
              <w:bottom w:w="0" w:type="nil"/>
              <w:right w:w="0" w:type="nil"/>
            </w:tcMar>
          </w:tcPr>
          <w:p w14:paraId="039418D3" w14:textId="440AD240" w:rsidR="00DD0E5E" w:rsidRDefault="0CDBF178" w:rsidP="0CDBF178">
            <w:pPr>
              <w:pStyle w:val="TableBody"/>
            </w:pPr>
            <w:r>
              <w:t>Expand conservation agriculture</w:t>
            </w:r>
          </w:p>
        </w:tc>
        <w:tc>
          <w:tcPr>
            <w:tcW w:w="4140" w:type="dxa"/>
          </w:tcPr>
          <w:p w14:paraId="6388FC57" w14:textId="3329426C" w:rsidR="00DD0E5E" w:rsidRPr="00F27387" w:rsidRDefault="7654BBD9" w:rsidP="7654BBD9">
            <w:pPr>
              <w:pStyle w:val="TableBody"/>
            </w:pPr>
            <w:r>
              <w:t>Conservation agriculture is the term given to agricultural practices that seek to preserve soil and ecosystem health. FAO describes three inter-related practices: minimum tilling, maintaining permanent soil cover, and diversifying plant species (FAO, 2022). While Latin America is already a leader in no-till practices (</w:t>
            </w:r>
            <w:r w:rsidRPr="002C57DD">
              <w:t>McKinsey et al., 2020; Kassam et al., 2019; Sperow, 2020), there is room for improving these practices’</w:t>
            </w:r>
            <w:r>
              <w:t xml:space="preserve"> extent and scope, particularly given the poor quality of some current efforts (Kassam, 2019).</w:t>
            </w:r>
          </w:p>
        </w:tc>
        <w:tc>
          <w:tcPr>
            <w:tcW w:w="3510" w:type="dxa"/>
          </w:tcPr>
          <w:p w14:paraId="19457D75" w14:textId="4FB6DA10" w:rsidR="00DD0E5E" w:rsidRDefault="0CDBF178" w:rsidP="00512378">
            <w:pPr>
              <w:pStyle w:val="TableBody"/>
            </w:pPr>
            <w:r>
              <w:t>High-quality conservation agricultural practices are expanded to 80% of crop land on which grains and staples are grown, excluding rice (which is addressed in the next transformation).</w:t>
            </w:r>
          </w:p>
        </w:tc>
      </w:tr>
      <w:tr w:rsidR="004919BD" w:rsidRPr="00C114A8" w14:paraId="49A79B72" w14:textId="77777777" w:rsidTr="7654BBD9">
        <w:tc>
          <w:tcPr>
            <w:tcW w:w="1710" w:type="dxa"/>
            <w:tcBorders>
              <w:top w:val="nil"/>
              <w:bottom w:val="nil"/>
            </w:tcBorders>
            <w:tcMar>
              <w:top w:w="0" w:type="nil"/>
              <w:bottom w:w="0" w:type="nil"/>
              <w:right w:w="0" w:type="nil"/>
            </w:tcMar>
          </w:tcPr>
          <w:p w14:paraId="4D86EB72" w14:textId="458F3699" w:rsidR="004919BD" w:rsidRDefault="0CDBF178" w:rsidP="0CDBF178">
            <w:pPr>
              <w:pStyle w:val="TableBody"/>
            </w:pPr>
            <w:r>
              <w:t>Improve rice management</w:t>
            </w:r>
          </w:p>
        </w:tc>
        <w:tc>
          <w:tcPr>
            <w:tcW w:w="4140" w:type="dxa"/>
            <w:tcBorders>
              <w:top w:val="nil"/>
              <w:bottom w:val="nil"/>
            </w:tcBorders>
          </w:tcPr>
          <w:p w14:paraId="4C035B97" w14:textId="46CD198F" w:rsidR="004919BD" w:rsidRDefault="7654BBD9" w:rsidP="00512378">
            <w:pPr>
              <w:pStyle w:val="TableBody"/>
            </w:pPr>
            <w:r>
              <w:t xml:space="preserve">Many practices can reduce emissions associated with growing rice, including improved water management, fertilizer practices, tillage practices, rice variety choices, residue management, and seeding </w:t>
            </w:r>
            <w:r w:rsidRPr="002C57DD">
              <w:t>practices (McKinsey et al., 2020</w:t>
            </w:r>
            <w:r>
              <w:t>; Chirinda et al., 2018).</w:t>
            </w:r>
          </w:p>
        </w:tc>
        <w:tc>
          <w:tcPr>
            <w:tcW w:w="3510" w:type="dxa"/>
            <w:tcBorders>
              <w:top w:val="nil"/>
              <w:bottom w:val="nil"/>
            </w:tcBorders>
          </w:tcPr>
          <w:p w14:paraId="37DD8E44" w14:textId="02C43371" w:rsidR="004919BD" w:rsidRDefault="0042563F" w:rsidP="00512378">
            <w:pPr>
              <w:pStyle w:val="TableBody"/>
            </w:pPr>
            <w:r>
              <w:t>All rice growing is transitioned to these improved practices.</w:t>
            </w:r>
          </w:p>
        </w:tc>
      </w:tr>
      <w:tr w:rsidR="00A00755" w:rsidRPr="00C114A8" w14:paraId="7C484F54" w14:textId="77777777" w:rsidTr="7654BBD9">
        <w:tc>
          <w:tcPr>
            <w:tcW w:w="1710" w:type="dxa"/>
            <w:tcBorders>
              <w:top w:val="nil"/>
              <w:bottom w:val="nil"/>
            </w:tcBorders>
            <w:tcMar>
              <w:top w:w="0" w:type="nil"/>
              <w:bottom w:w="0" w:type="nil"/>
              <w:right w:w="0" w:type="nil"/>
            </w:tcMar>
          </w:tcPr>
          <w:p w14:paraId="2B835307" w14:textId="6A057F07" w:rsidR="00A00755" w:rsidRDefault="0CDBF178" w:rsidP="0CDBF178">
            <w:pPr>
              <w:pStyle w:val="TableBody"/>
            </w:pPr>
            <w:r>
              <w:lastRenderedPageBreak/>
              <w:t>Improve sector productivity</w:t>
            </w:r>
          </w:p>
        </w:tc>
        <w:tc>
          <w:tcPr>
            <w:tcW w:w="4140" w:type="dxa"/>
            <w:tcBorders>
              <w:top w:val="nil"/>
              <w:bottom w:val="nil"/>
            </w:tcBorders>
          </w:tcPr>
          <w:p w14:paraId="6814EAC3" w14:textId="6201B318" w:rsidR="00A00755" w:rsidRDefault="0CDBF178">
            <w:pPr>
              <w:pStyle w:val="TableBody"/>
            </w:pPr>
            <w:r>
              <w:t xml:space="preserve">This encompasses many sector-wide improvements that increase productivity. </w:t>
            </w:r>
          </w:p>
        </w:tc>
        <w:tc>
          <w:tcPr>
            <w:tcW w:w="3510" w:type="dxa"/>
            <w:tcBorders>
              <w:top w:val="nil"/>
              <w:bottom w:val="nil"/>
            </w:tcBorders>
          </w:tcPr>
          <w:p w14:paraId="057F3607" w14:textId="699477B7" w:rsidR="00A00755" w:rsidRDefault="0CDBF178">
            <w:pPr>
              <w:pStyle w:val="TableBody"/>
            </w:pPr>
            <w:r>
              <w:t>This is described in the section “Crosscutting Agriculture Changes.”</w:t>
            </w:r>
          </w:p>
        </w:tc>
      </w:tr>
      <w:tr w:rsidR="00A00755" w:rsidRPr="00C114A8" w14:paraId="05BC55D7" w14:textId="77777777" w:rsidTr="7654BBD9">
        <w:trPr>
          <w:trHeight w:val="300"/>
        </w:trPr>
        <w:tc>
          <w:tcPr>
            <w:tcW w:w="0" w:type="dxa"/>
            <w:gridSpan w:val="3"/>
            <w:tcBorders>
              <w:top w:val="single" w:sz="4" w:space="0" w:color="auto"/>
              <w:bottom w:val="nil"/>
            </w:tcBorders>
            <w:tcMar>
              <w:top w:w="0" w:type="nil"/>
              <w:bottom w:w="0" w:type="nil"/>
              <w:right w:w="0" w:type="nil"/>
            </w:tcMar>
          </w:tcPr>
          <w:p w14:paraId="0AC6BFE4" w14:textId="7198ECEE" w:rsidR="00A00755" w:rsidRDefault="0CDBF178" w:rsidP="0CDBF178">
            <w:pPr>
              <w:pStyle w:val="TableBody"/>
            </w:pPr>
            <w:r w:rsidRPr="000C0227">
              <w:t>Notes:</w:t>
            </w:r>
            <w:r w:rsidR="7654BBD9" w:rsidRPr="000C0227">
              <w:t xml:space="preserve"> </w:t>
            </w:r>
            <w:r w:rsidRPr="000C0227">
              <w:t>West</w:t>
            </w:r>
            <w:r w:rsidR="7654BBD9" w:rsidRPr="000C0227">
              <w:t xml:space="preserve"> </w:t>
            </w:r>
            <w:r w:rsidRPr="000C0227">
              <w:t>et al. (201</w:t>
            </w:r>
            <w:r w:rsidR="002D4C96" w:rsidRPr="000C0227">
              <w:t>7</w:t>
            </w:r>
            <w:r w:rsidRPr="000C0227">
              <w:t>) estimate</w:t>
            </w:r>
            <w:r>
              <w:t xml:space="preserve"> the excess </w:t>
            </w:r>
            <w:r w:rsidR="7654BBD9">
              <w:t>N</w:t>
            </w:r>
            <w:r>
              <w:t xml:space="preserve"> per hectare </w:t>
            </w:r>
            <w:r w:rsidR="7654BBD9">
              <w:t xml:space="preserve">(ha) </w:t>
            </w:r>
            <w:r>
              <w:t xml:space="preserve">per country globally (measured as the difference between rates of nutrient input versus nutrient removal from plant harvesting). They estimate that 10-30% could be removed without impact on yield. Data </w:t>
            </w:r>
            <w:r w:rsidR="7654BBD9">
              <w:t>are</w:t>
            </w:r>
            <w:r>
              <w:t xml:space="preserve"> available for download </w:t>
            </w:r>
            <w:proofErr w:type="gramStart"/>
            <w:r>
              <w:t xml:space="preserve">at </w:t>
            </w:r>
            <w:r w:rsidR="7654BBD9">
              <w:t>;</w:t>
            </w:r>
            <w:proofErr w:type="gramEnd"/>
            <w:r>
              <w:t xml:space="preserve"> accessed May 25, 2022). </w:t>
            </w:r>
          </w:p>
        </w:tc>
      </w:tr>
    </w:tbl>
    <w:p w14:paraId="7E4E3FAB" w14:textId="77777777" w:rsidR="00884C7D" w:rsidRDefault="00884C7D" w:rsidP="00CE6A27"/>
    <w:p w14:paraId="37C20AEF" w14:textId="075C9010" w:rsidR="009C1591" w:rsidRPr="002804AA" w:rsidRDefault="0CDBF178" w:rsidP="0CDBF178">
      <w:pPr>
        <w:pStyle w:val="Heading9"/>
      </w:pPr>
      <w:bookmarkStart w:id="40" w:name="_Toc152088311"/>
      <w:r>
        <w:t>Table A.3 Crop transformations’ technical costs</w:t>
      </w:r>
      <w:bookmarkEnd w:id="40"/>
    </w:p>
    <w:tbl>
      <w:tblPr>
        <w:tblStyle w:val="TableGrid"/>
        <w:tblW w:w="9360" w:type="dxa"/>
        <w:tblBorders>
          <w:top w:val="single" w:sz="4" w:space="0" w:color="auto"/>
          <w:bottom w:val="single" w:sz="4" w:space="0" w:color="auto"/>
        </w:tblBorders>
        <w:tblLayout w:type="fixed"/>
        <w:tblLook w:val="0620" w:firstRow="1" w:lastRow="0" w:firstColumn="0" w:lastColumn="0" w:noHBand="1" w:noVBand="1"/>
      </w:tblPr>
      <w:tblGrid>
        <w:gridCol w:w="2518"/>
        <w:gridCol w:w="3057"/>
        <w:gridCol w:w="3785"/>
      </w:tblGrid>
      <w:tr w:rsidR="0061705C" w14:paraId="2344E113"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518" w:type="dxa"/>
            <w:tcBorders>
              <w:top w:val="single" w:sz="4" w:space="0" w:color="auto"/>
              <w:bottom w:val="single" w:sz="4" w:space="0" w:color="auto"/>
            </w:tcBorders>
            <w:vAlign w:val="bottom"/>
          </w:tcPr>
          <w:p w14:paraId="5641C799" w14:textId="77777777" w:rsidR="0061705C" w:rsidRDefault="0061705C" w:rsidP="003928DF">
            <w:pPr>
              <w:pStyle w:val="TableColHeading"/>
            </w:pPr>
            <w:r w:rsidRPr="37345C14">
              <w:rPr>
                <w:rFonts w:eastAsia="Arial"/>
              </w:rPr>
              <w:t>Transformation</w:t>
            </w:r>
          </w:p>
        </w:tc>
        <w:tc>
          <w:tcPr>
            <w:tcW w:w="3057" w:type="dxa"/>
            <w:tcBorders>
              <w:top w:val="single" w:sz="4" w:space="0" w:color="auto"/>
              <w:bottom w:val="single" w:sz="4" w:space="0" w:color="auto"/>
            </w:tcBorders>
          </w:tcPr>
          <w:p w14:paraId="349321B5" w14:textId="08488080" w:rsidR="0061705C" w:rsidRDefault="0CDBF178" w:rsidP="0CDBF178">
            <w:pPr>
              <w:pStyle w:val="TableColHeading"/>
              <w:rPr>
                <w:rFonts w:eastAsia="Arial"/>
              </w:rPr>
            </w:pPr>
            <w:r w:rsidRPr="0CDBF178">
              <w:rPr>
                <w:rFonts w:eastAsia="Arial"/>
              </w:rPr>
              <w:t>Technical costs</w:t>
            </w:r>
            <w:r w:rsidR="0061705C">
              <w:br/>
            </w:r>
            <w:r w:rsidRPr="0CDBF178">
              <w:rPr>
                <w:rFonts w:eastAsia="Arial"/>
              </w:rPr>
              <w:t>(Labor cost average in 2019 USD)</w:t>
            </w:r>
          </w:p>
          <w:p w14:paraId="0B80F087" w14:textId="77777777" w:rsidR="0061705C" w:rsidRPr="003928DF" w:rsidRDefault="0061705C" w:rsidP="003928DF">
            <w:pPr>
              <w:pStyle w:val="TableColHeading"/>
              <w:rPr>
                <w:b w:val="0"/>
                <w:bCs/>
              </w:rPr>
            </w:pPr>
            <w:r w:rsidRPr="003928DF">
              <w:rPr>
                <w:rFonts w:eastAsia="Arial"/>
                <w:b w:val="0"/>
                <w:bCs/>
              </w:rPr>
              <w:t>(Negative values indicate avoided costs, i.e., savings)</w:t>
            </w:r>
          </w:p>
        </w:tc>
        <w:tc>
          <w:tcPr>
            <w:tcW w:w="3785" w:type="dxa"/>
            <w:tcBorders>
              <w:top w:val="single" w:sz="4" w:space="0" w:color="auto"/>
              <w:bottom w:val="single" w:sz="4" w:space="0" w:color="auto"/>
            </w:tcBorders>
          </w:tcPr>
          <w:p w14:paraId="6C98215D" w14:textId="447130A7" w:rsidR="0061705C" w:rsidRDefault="0CDBF178" w:rsidP="0CDBF178">
            <w:pPr>
              <w:pStyle w:val="TableColHeading"/>
            </w:pPr>
            <w:r w:rsidRPr="0CDBF178">
              <w:rPr>
                <w:rFonts w:eastAsia="Arial"/>
              </w:rPr>
              <w:t>Notes and data sources</w:t>
            </w:r>
          </w:p>
        </w:tc>
      </w:tr>
      <w:tr w:rsidR="008400B8" w:rsidRPr="00C114A8" w14:paraId="60D81127" w14:textId="77777777" w:rsidTr="7654BBD9">
        <w:tblPrEx>
          <w:tblCellMar>
            <w:top w:w="86" w:type="dxa"/>
            <w:bottom w:w="86" w:type="dxa"/>
          </w:tblCellMar>
        </w:tblPrEx>
        <w:tc>
          <w:tcPr>
            <w:tcW w:w="2518" w:type="dxa"/>
            <w:tcBorders>
              <w:top w:val="single" w:sz="4" w:space="0" w:color="auto"/>
            </w:tcBorders>
            <w:tcMar>
              <w:top w:w="0" w:type="nil"/>
              <w:bottom w:w="0" w:type="nil"/>
              <w:right w:w="0" w:type="nil"/>
            </w:tcMar>
          </w:tcPr>
          <w:p w14:paraId="2AB13363" w14:textId="48B6A5E0" w:rsidR="008400B8" w:rsidRDefault="0CDBF178" w:rsidP="0CDBF178">
            <w:pPr>
              <w:pStyle w:val="TableBody"/>
            </w:pPr>
            <w:r>
              <w:t xml:space="preserve">Reduce excess fertilizer use </w:t>
            </w:r>
          </w:p>
        </w:tc>
        <w:tc>
          <w:tcPr>
            <w:tcW w:w="3057" w:type="dxa"/>
            <w:tcBorders>
              <w:top w:val="single" w:sz="4" w:space="0" w:color="auto"/>
            </w:tcBorders>
          </w:tcPr>
          <w:p w14:paraId="47C12FF5" w14:textId="71AD390A" w:rsidR="008400B8" w:rsidRDefault="0061705C" w:rsidP="00C95299">
            <w:pPr>
              <w:pStyle w:val="TableBody"/>
            </w:pPr>
            <w:r>
              <w:t>-</w:t>
            </w:r>
            <w:r w:rsidR="008400B8">
              <w:t>$200/ton of fertilizer</w:t>
            </w:r>
          </w:p>
        </w:tc>
        <w:tc>
          <w:tcPr>
            <w:tcW w:w="3785" w:type="dxa"/>
            <w:tcBorders>
              <w:top w:val="single" w:sz="4" w:space="0" w:color="auto"/>
            </w:tcBorders>
          </w:tcPr>
          <w:p w14:paraId="646586E1" w14:textId="32F86C89" w:rsidR="008400B8" w:rsidRPr="000C0227" w:rsidRDefault="7654BBD9" w:rsidP="00512378">
            <w:pPr>
              <w:pStyle w:val="TableBody"/>
            </w:pPr>
            <w:r w:rsidRPr="000C0227">
              <w:t>West (20</w:t>
            </w:r>
            <w:r w:rsidR="002D4C96" w:rsidRPr="000C0227">
              <w:t>17</w:t>
            </w:r>
            <w:r w:rsidRPr="000C0227">
              <w:t>), Good and Beatty (2011).</w:t>
            </w:r>
          </w:p>
          <w:p w14:paraId="2BACE396" w14:textId="1D260BAD" w:rsidR="008400B8" w:rsidRPr="000C0227" w:rsidRDefault="0CDBF178">
            <w:pPr>
              <w:pStyle w:val="TableBody"/>
            </w:pPr>
            <w:r w:rsidRPr="000C0227">
              <w:t>We calculate the cost of eliminating excess N as the avoided cost of fertilizer using the minimum, average, and maximum costs per ton of urea over the past five years available for download</w:t>
            </w:r>
            <w:r w:rsidR="005A562F" w:rsidRPr="000C0227">
              <w:t xml:space="preserve">, </w:t>
            </w:r>
            <w:r w:rsidRPr="000C0227">
              <w:t>accessed June 17, 2023.</w:t>
            </w:r>
          </w:p>
          <w:p w14:paraId="5959B094" w14:textId="25F463FF" w:rsidR="008400B8" w:rsidRPr="000C0227" w:rsidRDefault="008400B8" w:rsidP="00512378">
            <w:pPr>
              <w:pStyle w:val="TableBody"/>
            </w:pPr>
          </w:p>
        </w:tc>
      </w:tr>
      <w:tr w:rsidR="008400B8" w:rsidRPr="00C114A8" w14:paraId="6EA3AA0F" w14:textId="77777777" w:rsidTr="7654BBD9">
        <w:tblPrEx>
          <w:tblCellMar>
            <w:top w:w="86" w:type="dxa"/>
            <w:bottom w:w="86" w:type="dxa"/>
          </w:tblCellMar>
        </w:tblPrEx>
        <w:tc>
          <w:tcPr>
            <w:tcW w:w="2518" w:type="dxa"/>
            <w:tcMar>
              <w:top w:w="0" w:type="nil"/>
              <w:bottom w:w="0" w:type="nil"/>
              <w:right w:w="0" w:type="nil"/>
            </w:tcMar>
          </w:tcPr>
          <w:p w14:paraId="30FE80F1" w14:textId="031DFF22" w:rsidR="008400B8" w:rsidRDefault="0CDBF178" w:rsidP="0CDBF178">
            <w:pPr>
              <w:pStyle w:val="TableBody"/>
            </w:pPr>
            <w:r>
              <w:t xml:space="preserve">Expand conservation agriculture </w:t>
            </w:r>
          </w:p>
        </w:tc>
        <w:tc>
          <w:tcPr>
            <w:tcW w:w="3057" w:type="dxa"/>
          </w:tcPr>
          <w:p w14:paraId="7692CE81" w14:textId="7D6EB881" w:rsidR="008400B8" w:rsidRDefault="00033AFF" w:rsidP="00C95299">
            <w:pPr>
              <w:pStyle w:val="TableBody"/>
            </w:pPr>
            <w:r>
              <w:t>-$</w:t>
            </w:r>
            <w:r w:rsidR="00B706A7">
              <w:t>2</w:t>
            </w:r>
            <w:r>
              <w:t>0/ha</w:t>
            </w:r>
            <w:r w:rsidR="00C95299">
              <w:t xml:space="preserve"> </w:t>
            </w:r>
            <w:r w:rsidR="00E529A1">
              <w:t>under conservation agriculture</w:t>
            </w:r>
          </w:p>
        </w:tc>
        <w:tc>
          <w:tcPr>
            <w:tcW w:w="3785" w:type="dxa"/>
          </w:tcPr>
          <w:p w14:paraId="7909237F" w14:textId="398F7D26" w:rsidR="008400B8" w:rsidRDefault="7654BBD9" w:rsidP="7654BBD9">
            <w:pPr>
              <w:pStyle w:val="TableBody"/>
            </w:pPr>
            <w:r>
              <w:t>Savings from avoided fuel and labor expenditures make this transformation a technical cost savings. Crop-specific estimates include savings of $232/ha for soy and $84/ha for maize (SHP, EDF, and Isom [2021]), and general savings estimated at $23/</w:t>
            </w:r>
            <w:r w:rsidRPr="00BC1D32">
              <w:t>ha (Frank et al., 2018). We estimate $20/ha.</w:t>
            </w:r>
          </w:p>
        </w:tc>
      </w:tr>
      <w:tr w:rsidR="008400B8" w:rsidRPr="00C114A8" w14:paraId="264B24BF" w14:textId="77777777" w:rsidTr="7654BBD9">
        <w:tblPrEx>
          <w:tblCellMar>
            <w:top w:w="86" w:type="dxa"/>
            <w:bottom w:w="86" w:type="dxa"/>
          </w:tblCellMar>
        </w:tblPrEx>
        <w:tc>
          <w:tcPr>
            <w:tcW w:w="2518" w:type="dxa"/>
            <w:tcMar>
              <w:top w:w="0" w:type="nil"/>
              <w:bottom w:w="0" w:type="nil"/>
              <w:right w:w="0" w:type="nil"/>
            </w:tcMar>
          </w:tcPr>
          <w:p w14:paraId="2EE5D2A6" w14:textId="5F0BA43E" w:rsidR="008400B8" w:rsidRDefault="0CDBF178" w:rsidP="0CDBF178">
            <w:pPr>
              <w:pStyle w:val="TableBody"/>
            </w:pPr>
            <w:r>
              <w:t>Improve rice management</w:t>
            </w:r>
          </w:p>
        </w:tc>
        <w:tc>
          <w:tcPr>
            <w:tcW w:w="3057" w:type="dxa"/>
          </w:tcPr>
          <w:p w14:paraId="348A7D45" w14:textId="6A938226" w:rsidR="008400B8" w:rsidRDefault="00C95299" w:rsidP="00C95299">
            <w:pPr>
              <w:pStyle w:val="TableBody"/>
            </w:pPr>
            <w:r>
              <w:t>-$30/ha</w:t>
            </w:r>
            <w:r w:rsidR="00E529A1">
              <w:t xml:space="preserve"> under improved rice management</w:t>
            </w:r>
          </w:p>
        </w:tc>
        <w:tc>
          <w:tcPr>
            <w:tcW w:w="3785" w:type="dxa"/>
          </w:tcPr>
          <w:p w14:paraId="3FF49D81" w14:textId="20828ECE" w:rsidR="008400B8" w:rsidRDefault="7654BBD9" w:rsidP="0CDBF178">
            <w:pPr>
              <w:pStyle w:val="TableBody"/>
            </w:pPr>
            <w:r w:rsidRPr="00BC1D32">
              <w:t>McKinsey (2020) describes</w:t>
            </w:r>
            <w:r>
              <w:t xml:space="preserve"> various rice-management practices and techniques that can yield significant carbon reductions, all at negative technical cost. Chirinda et al.'s (2018) metanalysis of rice management describes impacts on greenhouse gases (GHGs) and yields in Latin America for a variety of these practices, and we use that data to inform the ranges. Chakraborty et al. (2017, Supplementary Table S8) describes the difference in costs for these practices globally, which we adapt here, adjusting in dollar values from 2017 to 2019.</w:t>
            </w:r>
          </w:p>
        </w:tc>
      </w:tr>
    </w:tbl>
    <w:p w14:paraId="2159B6EB" w14:textId="77777777" w:rsidR="0070500E" w:rsidRDefault="0070500E" w:rsidP="00884C7D"/>
    <w:p w14:paraId="0D805273" w14:textId="77777777" w:rsidR="00BE457F" w:rsidRDefault="00BE457F" w:rsidP="00884C7D"/>
    <w:p w14:paraId="286CE552" w14:textId="77777777" w:rsidR="00BE457F" w:rsidRDefault="00BE457F" w:rsidP="00884C7D"/>
    <w:p w14:paraId="323976A1" w14:textId="77777777" w:rsidR="00B122C8" w:rsidRDefault="00B122C8" w:rsidP="00884C7D"/>
    <w:p w14:paraId="55DA7EF4" w14:textId="45C97073" w:rsidR="00B315E3" w:rsidRPr="00387044" w:rsidRDefault="0CDBF178" w:rsidP="0CDBF178">
      <w:pPr>
        <w:pStyle w:val="Heading9"/>
        <w:rPr>
          <w:rFonts w:eastAsia="Arial"/>
        </w:rPr>
      </w:pPr>
      <w:bookmarkStart w:id="41" w:name="_Toc152088312"/>
      <w:r w:rsidRPr="0CDBF178">
        <w:rPr>
          <w:rFonts w:eastAsia="Arial"/>
        </w:rPr>
        <w:t xml:space="preserve">Table A.4 </w:t>
      </w:r>
      <w:proofErr w:type="gramStart"/>
      <w:r w:rsidRPr="0CDBF178">
        <w:rPr>
          <w:rFonts w:eastAsia="Arial"/>
        </w:rPr>
        <w:t>Non-technical</w:t>
      </w:r>
      <w:proofErr w:type="gramEnd"/>
      <w:r w:rsidRPr="0CDBF178">
        <w:rPr>
          <w:rFonts w:eastAsia="Arial"/>
        </w:rPr>
        <w:t xml:space="preserve"> benefits and costs of transforming agriculture</w:t>
      </w:r>
      <w:bookmarkEnd w:id="41"/>
    </w:p>
    <w:tbl>
      <w:tblPr>
        <w:tblStyle w:val="TableGrid"/>
        <w:tblW w:w="0" w:type="auto"/>
        <w:tblLayout w:type="fixed"/>
        <w:tblLook w:val="0620" w:firstRow="1" w:lastRow="0" w:firstColumn="0" w:lastColumn="0" w:noHBand="1" w:noVBand="1"/>
      </w:tblPr>
      <w:tblGrid>
        <w:gridCol w:w="2610"/>
        <w:gridCol w:w="2880"/>
        <w:gridCol w:w="3870"/>
      </w:tblGrid>
      <w:tr w:rsidR="00B315E3" w14:paraId="7444B4FE" w14:textId="77777777" w:rsidTr="0CDBF178">
        <w:trPr>
          <w:cnfStyle w:val="100000000000" w:firstRow="1" w:lastRow="0" w:firstColumn="0" w:lastColumn="0" w:oddVBand="0" w:evenVBand="0" w:oddHBand="0" w:evenHBand="0" w:firstRowFirstColumn="0" w:firstRowLastColumn="0" w:lastRowFirstColumn="0" w:lastRowLastColumn="0"/>
          <w:trHeight w:val="15"/>
        </w:trPr>
        <w:tc>
          <w:tcPr>
            <w:tcW w:w="2610" w:type="dxa"/>
            <w:tcBorders>
              <w:left w:val="nil"/>
              <w:right w:val="nil"/>
            </w:tcBorders>
            <w:vAlign w:val="bottom"/>
          </w:tcPr>
          <w:p w14:paraId="00A8F72C" w14:textId="5B07D4AD" w:rsidR="00B315E3" w:rsidRDefault="0CDBF178">
            <w:r w:rsidRPr="0CDBF178">
              <w:rPr>
                <w:rFonts w:eastAsia="Arial" w:cs="Arial"/>
                <w:b/>
                <w:bCs/>
                <w:sz w:val="18"/>
                <w:szCs w:val="18"/>
              </w:rPr>
              <w:t>Benefit or cost</w:t>
            </w:r>
          </w:p>
        </w:tc>
        <w:tc>
          <w:tcPr>
            <w:tcW w:w="2880" w:type="dxa"/>
            <w:tcBorders>
              <w:left w:val="nil"/>
              <w:right w:val="nil"/>
            </w:tcBorders>
          </w:tcPr>
          <w:p w14:paraId="6D1EF320" w14:textId="77777777" w:rsidR="00B315E3" w:rsidRDefault="00B315E3" w:rsidP="006D2776">
            <w:pPr>
              <w:jc w:val="center"/>
              <w:rPr>
                <w:rFonts w:eastAsia="Arial" w:cs="Arial"/>
                <w:b/>
                <w:bCs/>
                <w:sz w:val="18"/>
                <w:szCs w:val="18"/>
              </w:rPr>
            </w:pPr>
            <w:r>
              <w:rPr>
                <w:rFonts w:eastAsia="Arial" w:cs="Arial"/>
                <w:b/>
                <w:bCs/>
                <w:sz w:val="18"/>
                <w:szCs w:val="18"/>
              </w:rPr>
              <w:t>Value</w:t>
            </w:r>
          </w:p>
          <w:p w14:paraId="57620FE8" w14:textId="70F37B6C" w:rsidR="00B315E3" w:rsidRDefault="0CDBF178" w:rsidP="0CDBF178">
            <w:pPr>
              <w:jc w:val="center"/>
              <w:rPr>
                <w:rFonts w:eastAsia="Arial" w:cs="Arial"/>
                <w:b/>
                <w:bCs/>
                <w:sz w:val="18"/>
                <w:szCs w:val="18"/>
              </w:rPr>
            </w:pPr>
            <w:r w:rsidRPr="005A562F">
              <w:rPr>
                <w:rFonts w:eastAsia="Arial" w:cs="Arial"/>
                <w:b/>
                <w:bCs/>
                <w:sz w:val="18"/>
                <w:szCs w:val="18"/>
              </w:rPr>
              <w:t>(LAC average in 2019 USD)</w:t>
            </w:r>
          </w:p>
          <w:p w14:paraId="68091145" w14:textId="742FC83A" w:rsidR="00B315E3" w:rsidRDefault="0CDBF178" w:rsidP="006D2776">
            <w:pPr>
              <w:jc w:val="center"/>
            </w:pPr>
            <w:r w:rsidRPr="0CDBF178">
              <w:rPr>
                <w:rFonts w:eastAsia="Arial" w:cs="Arial"/>
                <w:sz w:val="18"/>
                <w:szCs w:val="18"/>
              </w:rPr>
              <w:t>(Positive indicates benefits)</w:t>
            </w:r>
          </w:p>
        </w:tc>
        <w:tc>
          <w:tcPr>
            <w:tcW w:w="3870" w:type="dxa"/>
            <w:tcBorders>
              <w:left w:val="nil"/>
              <w:right w:val="nil"/>
            </w:tcBorders>
          </w:tcPr>
          <w:p w14:paraId="3EE863AD" w14:textId="5447D454" w:rsidR="00B315E3" w:rsidRDefault="0CDBF178" w:rsidP="0CDBF178">
            <w:pPr>
              <w:jc w:val="center"/>
            </w:pPr>
            <w:r w:rsidRPr="0CDBF178">
              <w:rPr>
                <w:rFonts w:eastAsia="Arial" w:cs="Arial"/>
                <w:b/>
                <w:bCs/>
                <w:sz w:val="18"/>
                <w:szCs w:val="18"/>
              </w:rPr>
              <w:t>Notes and data sources</w:t>
            </w:r>
          </w:p>
        </w:tc>
      </w:tr>
      <w:tr w:rsidR="00B315E3" w14:paraId="74F32B40" w14:textId="77777777" w:rsidTr="0CDBF178">
        <w:tc>
          <w:tcPr>
            <w:tcW w:w="2610" w:type="dxa"/>
            <w:tcBorders>
              <w:top w:val="nil"/>
              <w:left w:val="nil"/>
              <w:bottom w:val="nil"/>
              <w:right w:val="nil"/>
            </w:tcBorders>
          </w:tcPr>
          <w:p w14:paraId="0AE0699D" w14:textId="6954629B" w:rsidR="00B315E3" w:rsidRDefault="0CDBF178" w:rsidP="0CDBF178">
            <w:pPr>
              <w:pStyle w:val="TableBody"/>
            </w:pPr>
            <w:r>
              <w:lastRenderedPageBreak/>
              <w:t>Avoided nitrate leaching and runoff</w:t>
            </w:r>
          </w:p>
        </w:tc>
        <w:tc>
          <w:tcPr>
            <w:tcW w:w="2880" w:type="dxa"/>
            <w:tcBorders>
              <w:top w:val="nil"/>
              <w:left w:val="nil"/>
              <w:bottom w:val="nil"/>
              <w:right w:val="nil"/>
            </w:tcBorders>
          </w:tcPr>
          <w:p w14:paraId="1E70385E" w14:textId="0D486CD3" w:rsidR="00B315E3" w:rsidRPr="003D2B80" w:rsidRDefault="00B315E3" w:rsidP="006D2776">
            <w:pPr>
              <w:pStyle w:val="TableBody"/>
              <w:rPr>
                <w:rFonts w:eastAsia="Arial"/>
              </w:rPr>
            </w:pPr>
            <w:r>
              <w:t>$</w:t>
            </w:r>
            <w:r w:rsidR="00D600D3">
              <w:t>60</w:t>
            </w:r>
            <w:r>
              <w:t>/ton of fertilizer avoided</w:t>
            </w:r>
          </w:p>
        </w:tc>
        <w:tc>
          <w:tcPr>
            <w:tcW w:w="3870" w:type="dxa"/>
            <w:tcBorders>
              <w:top w:val="nil"/>
              <w:left w:val="nil"/>
              <w:bottom w:val="nil"/>
              <w:right w:val="nil"/>
            </w:tcBorders>
          </w:tcPr>
          <w:p w14:paraId="4935EA11" w14:textId="3B3CB227" w:rsidR="00783840" w:rsidRPr="00BB15B5" w:rsidRDefault="0CDBF178" w:rsidP="00783840">
            <w:pPr>
              <w:pStyle w:val="TableNote"/>
            </w:pPr>
            <w:r>
              <w:t xml:space="preserve">Good and Beatty (2011, Box 2 and Table 4) estimate the total environmental cost of nitrate leaching and runoff to be 44% of the total cost of excess fertilizer applied, of which 70% of is attributed to nitrate leaching and runoff. The value of avoided nitrate </w:t>
            </w:r>
            <w:proofErr w:type="gramStart"/>
            <w:r>
              <w:t>leaching</w:t>
            </w:r>
            <w:proofErr w:type="gramEnd"/>
            <w:r>
              <w:t xml:space="preserve"> and runoff is estimated at 30% of the per-ton cost of fertilizer in the prior table.</w:t>
            </w:r>
          </w:p>
          <w:p w14:paraId="522F2033" w14:textId="773F0F2B" w:rsidR="00B315E3" w:rsidRDefault="00B315E3" w:rsidP="006D2776">
            <w:pPr>
              <w:pStyle w:val="TableBody"/>
            </w:pPr>
          </w:p>
        </w:tc>
      </w:tr>
      <w:tr w:rsidR="000F005A" w14:paraId="5BB70A61" w14:textId="77777777" w:rsidTr="0CDBF178">
        <w:tc>
          <w:tcPr>
            <w:tcW w:w="2610" w:type="dxa"/>
            <w:tcBorders>
              <w:top w:val="nil"/>
              <w:left w:val="nil"/>
              <w:bottom w:val="single" w:sz="4" w:space="0" w:color="auto"/>
              <w:right w:val="nil"/>
            </w:tcBorders>
          </w:tcPr>
          <w:p w14:paraId="29625103" w14:textId="442EEB3B" w:rsidR="000F005A" w:rsidRDefault="0CDBF178" w:rsidP="0CDBF178">
            <w:pPr>
              <w:pStyle w:val="TableBody"/>
            </w:pPr>
            <w:r>
              <w:t>Improved soil health</w:t>
            </w:r>
          </w:p>
        </w:tc>
        <w:tc>
          <w:tcPr>
            <w:tcW w:w="2880" w:type="dxa"/>
            <w:tcBorders>
              <w:top w:val="nil"/>
              <w:left w:val="nil"/>
              <w:bottom w:val="single" w:sz="4" w:space="0" w:color="auto"/>
              <w:right w:val="nil"/>
            </w:tcBorders>
          </w:tcPr>
          <w:p w14:paraId="3BCAB8CE" w14:textId="69642996" w:rsidR="000F005A" w:rsidRDefault="0CDBF178">
            <w:pPr>
              <w:pStyle w:val="TableBody"/>
            </w:pPr>
            <w:r>
              <w:t>$350/ha</w:t>
            </w:r>
          </w:p>
        </w:tc>
        <w:tc>
          <w:tcPr>
            <w:tcW w:w="3870" w:type="dxa"/>
            <w:tcBorders>
              <w:top w:val="nil"/>
              <w:left w:val="nil"/>
              <w:bottom w:val="single" w:sz="4" w:space="0" w:color="auto"/>
              <w:right w:val="nil"/>
            </w:tcBorders>
          </w:tcPr>
          <w:p w14:paraId="6B209312" w14:textId="76DB03B4" w:rsidR="000F005A" w:rsidRDefault="0CDBF178">
            <w:pPr>
              <w:pStyle w:val="TableNote"/>
            </w:pPr>
            <w:r>
              <w:t>Telles et al. (2018) estimate the difference in agricultural land values in Brazil in 2006 under different tillage practices. They find that on average, hectares of no-till are over $700 more valuable per acre than those under conventional tillage practices, which can serve as a proxy for the benefits of healthier soils from conservation tillage. Recognizing that agricultural land values vary greatly by country and that the causal direction of the relationship between value of land and tillage practice may be complex, we use a conservative estimate of the difference to value the benefits of this practice.</w:t>
            </w:r>
          </w:p>
        </w:tc>
      </w:tr>
    </w:tbl>
    <w:p w14:paraId="0EEC8409" w14:textId="04E5405B" w:rsidR="0CDBF178" w:rsidRDefault="0CDBF178" w:rsidP="0CDBF178">
      <w:pPr>
        <w:pStyle w:val="TableBody"/>
      </w:pPr>
      <w:r>
        <w:t>Note: LAC stands for Latin America and the Caribbean.</w:t>
      </w:r>
    </w:p>
    <w:p w14:paraId="104276B5" w14:textId="65E8A2AF" w:rsidR="00EE5B49" w:rsidRDefault="0CDBF178" w:rsidP="00EE5B49">
      <w:pPr>
        <w:pStyle w:val="Heading2"/>
      </w:pPr>
      <w:bookmarkStart w:id="42" w:name="_Toc152088241"/>
      <w:r>
        <w:t>Livestock</w:t>
      </w:r>
      <w:bookmarkEnd w:id="42"/>
    </w:p>
    <w:p w14:paraId="74A578F5" w14:textId="50E87DBD" w:rsidR="008A7DD8" w:rsidRDefault="0CDBF178" w:rsidP="0CDBF178">
      <w:pPr>
        <w:pStyle w:val="Heading3"/>
      </w:pPr>
      <w:bookmarkStart w:id="43" w:name="_Toc152088242"/>
      <w:r>
        <w:t>Livestock historical data and projections</w:t>
      </w:r>
      <w:bookmarkEnd w:id="43"/>
    </w:p>
    <w:p w14:paraId="58584AB3" w14:textId="3DF48470" w:rsidR="00721CB0" w:rsidRDefault="0CDBF178">
      <w:r>
        <w:t>Emissions in livestock are produced by enteric fermentation (for ruminants), manure, and converting land to pasture, which we discuss in the land use and forests sector. Livestock emissions are a product of the data in Table A.5.</w:t>
      </w:r>
    </w:p>
    <w:p w14:paraId="73BD2925" w14:textId="1DF08832" w:rsidR="00757D16" w:rsidRDefault="0CDBF178">
      <w:pPr>
        <w:pStyle w:val="Heading9"/>
      </w:pPr>
      <w:bookmarkStart w:id="44" w:name="_Toc152088313"/>
      <w:r w:rsidRPr="0CDBF178">
        <w:rPr>
          <w:rFonts w:eastAsia="Arial"/>
        </w:rPr>
        <w:t>Table A.5 Data and methods</w:t>
      </w:r>
      <w:bookmarkEnd w:id="44"/>
    </w:p>
    <w:tbl>
      <w:tblPr>
        <w:tblStyle w:val="TableGrid"/>
        <w:tblW w:w="0" w:type="auto"/>
        <w:tblLayout w:type="fixed"/>
        <w:tblLook w:val="0620" w:firstRow="1" w:lastRow="0" w:firstColumn="0" w:lastColumn="0" w:noHBand="1" w:noVBand="1"/>
      </w:tblPr>
      <w:tblGrid>
        <w:gridCol w:w="2430"/>
        <w:gridCol w:w="3330"/>
        <w:gridCol w:w="3600"/>
      </w:tblGrid>
      <w:tr w:rsidR="00A8457A" w:rsidRPr="0021021C" w14:paraId="1C55DA6B" w14:textId="77777777" w:rsidTr="65F79D52">
        <w:trPr>
          <w:cnfStyle w:val="100000000000" w:firstRow="1" w:lastRow="0" w:firstColumn="0" w:lastColumn="0" w:oddVBand="0" w:evenVBand="0" w:oddHBand="0" w:evenHBand="0" w:firstRowFirstColumn="0" w:firstRowLastColumn="0" w:lastRowFirstColumn="0" w:lastRowLastColumn="0"/>
          <w:trHeight w:val="15"/>
        </w:trPr>
        <w:tc>
          <w:tcPr>
            <w:tcW w:w="2430" w:type="dxa"/>
            <w:tcBorders>
              <w:left w:val="nil"/>
              <w:right w:val="nil"/>
            </w:tcBorders>
            <w:vAlign w:val="bottom"/>
          </w:tcPr>
          <w:p w14:paraId="0D76B9E2" w14:textId="77777777" w:rsidR="00A8457A" w:rsidRPr="0021021C" w:rsidRDefault="00A8457A">
            <w:r w:rsidRPr="0021021C">
              <w:rPr>
                <w:rFonts w:eastAsia="Arial" w:cs="Arial"/>
                <w:b/>
                <w:bCs/>
                <w:sz w:val="18"/>
                <w:szCs w:val="18"/>
              </w:rPr>
              <w:t>Data</w:t>
            </w:r>
          </w:p>
        </w:tc>
        <w:tc>
          <w:tcPr>
            <w:tcW w:w="3330" w:type="dxa"/>
            <w:tcBorders>
              <w:left w:val="nil"/>
              <w:right w:val="nil"/>
            </w:tcBorders>
          </w:tcPr>
          <w:p w14:paraId="1EC5DE55" w14:textId="5A0B5475" w:rsidR="00A8457A" w:rsidRPr="0021021C"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27EF2471" w14:textId="276EF169" w:rsidR="00A8457A" w:rsidRPr="0021021C" w:rsidRDefault="0CDBF178">
            <w:pPr>
              <w:jc w:val="center"/>
            </w:pPr>
            <w:r w:rsidRPr="0CDBF178">
              <w:rPr>
                <w:rFonts w:eastAsia="Arial" w:cs="Arial"/>
                <w:b/>
                <w:bCs/>
                <w:sz w:val="18"/>
                <w:szCs w:val="18"/>
              </w:rPr>
              <w:t>Method for projections</w:t>
            </w:r>
          </w:p>
        </w:tc>
      </w:tr>
      <w:tr w:rsidR="00A8457A" w:rsidRPr="0021021C" w14:paraId="75205DA5" w14:textId="77777777" w:rsidTr="65F79D52">
        <w:tc>
          <w:tcPr>
            <w:tcW w:w="2430" w:type="dxa"/>
            <w:tcBorders>
              <w:top w:val="nil"/>
              <w:left w:val="nil"/>
              <w:bottom w:val="nil"/>
              <w:right w:val="nil"/>
            </w:tcBorders>
          </w:tcPr>
          <w:p w14:paraId="370F4D5A" w14:textId="77777777" w:rsidR="00680922" w:rsidRPr="00680922" w:rsidRDefault="00680922" w:rsidP="00680922">
            <w:pPr>
              <w:pStyle w:val="TableBody"/>
              <w:rPr>
                <w:rFonts w:eastAsia="Arial"/>
              </w:rPr>
            </w:pPr>
            <w:r w:rsidRPr="00680922">
              <w:rPr>
                <w:rFonts w:eastAsia="Arial"/>
              </w:rPr>
              <w:tab/>
            </w:r>
          </w:p>
          <w:p w14:paraId="24A90CC5" w14:textId="76637341" w:rsidR="00A8457A" w:rsidRPr="0021021C" w:rsidRDefault="0CDBF178" w:rsidP="0CDBF178">
            <w:pPr>
              <w:pStyle w:val="TableBody"/>
            </w:pPr>
            <w:r w:rsidRPr="0CDBF178">
              <w:rPr>
                <w:rFonts w:eastAsia="Arial"/>
              </w:rPr>
              <w:t>Initial livestock head count</w:t>
            </w:r>
          </w:p>
        </w:tc>
        <w:tc>
          <w:tcPr>
            <w:tcW w:w="3330" w:type="dxa"/>
            <w:tcBorders>
              <w:top w:val="nil"/>
              <w:left w:val="nil"/>
              <w:bottom w:val="nil"/>
              <w:right w:val="nil"/>
            </w:tcBorders>
          </w:tcPr>
          <w:p w14:paraId="045BA980" w14:textId="30F3E1DE" w:rsidR="00A8457A" w:rsidRPr="0021021C" w:rsidRDefault="0CDBF178">
            <w:pPr>
              <w:pStyle w:val="TableBody"/>
              <w:rPr>
                <w:rFonts w:eastAsia="Arial"/>
              </w:rPr>
            </w:pPr>
            <w:r w:rsidRPr="0CDBF178">
              <w:rPr>
                <w:rFonts w:eastAsia="Arial"/>
              </w:rPr>
              <w:t>Live animals head count is estimated using UN FAO Production database (FAO, 2023c)</w:t>
            </w:r>
          </w:p>
          <w:p w14:paraId="4B82555D" w14:textId="77777777" w:rsidR="00A8457A" w:rsidRPr="0021021C" w:rsidRDefault="00A8457A">
            <w:pPr>
              <w:pStyle w:val="TableBody"/>
              <w:rPr>
                <w:rFonts w:eastAsia="Arial"/>
              </w:rPr>
            </w:pPr>
          </w:p>
          <w:p w14:paraId="62119DA9" w14:textId="776F6A30" w:rsidR="00A8457A" w:rsidRPr="0021021C" w:rsidRDefault="65F79D52">
            <w:pPr>
              <w:pStyle w:val="TableBody"/>
            </w:pPr>
            <w:r w:rsidRPr="65F79D52">
              <w:rPr>
                <w:rFonts w:eastAsia="Arial"/>
              </w:rPr>
              <w:t xml:space="preserve">Export and import volumes are estimated using FAO Trade database (FAO, 2023d) </w:t>
            </w:r>
          </w:p>
        </w:tc>
        <w:tc>
          <w:tcPr>
            <w:tcW w:w="3600" w:type="dxa"/>
            <w:tcBorders>
              <w:top w:val="nil"/>
              <w:left w:val="nil"/>
              <w:bottom w:val="nil"/>
              <w:right w:val="nil"/>
            </w:tcBorders>
          </w:tcPr>
          <w:p w14:paraId="58DA442B" w14:textId="050E47CA" w:rsidR="00A8457A" w:rsidRDefault="0CDBF178">
            <w:pPr>
              <w:pStyle w:val="TableBody"/>
              <w:rPr>
                <w:rFonts w:eastAsia="Arial"/>
              </w:rPr>
            </w:pPr>
            <w:r w:rsidRPr="0CDBF178">
              <w:rPr>
                <w:rFonts w:eastAsia="Arial"/>
              </w:rPr>
              <w:t xml:space="preserve">We estimate livestock demand’s elasticity to GDP per capita based on data from Komarek et al. (2021). We combine these elasticities with GDP per capita projections to estimate baseline demand.  </w:t>
            </w:r>
          </w:p>
          <w:p w14:paraId="4876156A" w14:textId="77777777" w:rsidR="00A8457A" w:rsidRPr="007D76B3" w:rsidRDefault="00A8457A">
            <w:pPr>
              <w:pStyle w:val="TableBody"/>
              <w:rPr>
                <w:rFonts w:eastAsia="Arial"/>
              </w:rPr>
            </w:pPr>
            <w:r w:rsidRPr="0021021C">
              <w:rPr>
                <w:rFonts w:eastAsia="Arial"/>
              </w:rPr>
              <w:t xml:space="preserve"> </w:t>
            </w:r>
          </w:p>
        </w:tc>
      </w:tr>
      <w:tr w:rsidR="00A8457A" w:rsidRPr="0021021C" w14:paraId="10DB5D3E" w14:textId="77777777" w:rsidTr="65F79D52">
        <w:trPr>
          <w:trHeight w:val="185"/>
        </w:trPr>
        <w:tc>
          <w:tcPr>
            <w:tcW w:w="2430" w:type="dxa"/>
            <w:tcBorders>
              <w:top w:val="nil"/>
              <w:left w:val="nil"/>
              <w:bottom w:val="nil"/>
              <w:right w:val="nil"/>
            </w:tcBorders>
          </w:tcPr>
          <w:p w14:paraId="6B48F388" w14:textId="77777777" w:rsidR="00132411" w:rsidRDefault="00132411">
            <w:pPr>
              <w:pStyle w:val="TableBody"/>
              <w:rPr>
                <w:rFonts w:eastAsia="Arial"/>
              </w:rPr>
            </w:pPr>
          </w:p>
          <w:p w14:paraId="75B5707C" w14:textId="710980CD" w:rsidR="00A8457A" w:rsidRPr="0021021C" w:rsidRDefault="0CDBF178" w:rsidP="0CDBF178">
            <w:pPr>
              <w:pStyle w:val="TableBody"/>
              <w:rPr>
                <w:rFonts w:eastAsia="Arial"/>
              </w:rPr>
            </w:pPr>
            <w:r w:rsidRPr="0CDBF178">
              <w:rPr>
                <w:rFonts w:eastAsia="Arial"/>
              </w:rPr>
              <w:t xml:space="preserve">Dry matter consumption </w:t>
            </w:r>
          </w:p>
        </w:tc>
        <w:tc>
          <w:tcPr>
            <w:tcW w:w="3330" w:type="dxa"/>
            <w:tcBorders>
              <w:top w:val="nil"/>
              <w:left w:val="nil"/>
              <w:bottom w:val="nil"/>
              <w:right w:val="nil"/>
            </w:tcBorders>
          </w:tcPr>
          <w:p w14:paraId="6578D155" w14:textId="77777777" w:rsidR="00A8457A" w:rsidRDefault="00A8457A">
            <w:pPr>
              <w:pStyle w:val="TableBody"/>
              <w:rPr>
                <w:rFonts w:eastAsia="Arial"/>
              </w:rPr>
            </w:pPr>
          </w:p>
          <w:p w14:paraId="6C02647C" w14:textId="6F549D18" w:rsidR="008D06AE" w:rsidRPr="0021021C" w:rsidRDefault="0CDBF178" w:rsidP="0CDBF178">
            <w:pPr>
              <w:pStyle w:val="TableBody"/>
              <w:rPr>
                <w:rFonts w:eastAsia="Arial"/>
              </w:rPr>
            </w:pPr>
            <w:r w:rsidRPr="0CDBF178">
              <w:rPr>
                <w:rFonts w:eastAsia="Arial"/>
              </w:rPr>
              <w:t>Daily dry matter consumption is taken from Holechek (1988)</w:t>
            </w:r>
          </w:p>
        </w:tc>
        <w:tc>
          <w:tcPr>
            <w:tcW w:w="3600" w:type="dxa"/>
            <w:tcBorders>
              <w:top w:val="nil"/>
              <w:left w:val="nil"/>
              <w:bottom w:val="nil"/>
              <w:right w:val="nil"/>
            </w:tcBorders>
          </w:tcPr>
          <w:p w14:paraId="23953D74" w14:textId="44EDE870" w:rsidR="00A8457A" w:rsidRPr="0021021C" w:rsidRDefault="0CDBF178">
            <w:pPr>
              <w:pStyle w:val="TableBody"/>
              <w:rPr>
                <w:rFonts w:eastAsia="Arial"/>
              </w:rPr>
            </w:pPr>
            <w:r w:rsidRPr="0CDBF178">
              <w:rPr>
                <w:rFonts w:eastAsia="Arial"/>
              </w:rPr>
              <w:t xml:space="preserve">Dry matter consumption is assumed constant through the simulation. However, areas and volumes of production, exports, and imports are determined endogenously in the simulation. </w:t>
            </w:r>
          </w:p>
          <w:p w14:paraId="2F6355B2" w14:textId="77777777" w:rsidR="00A8457A" w:rsidRPr="0021021C" w:rsidRDefault="00A8457A">
            <w:pPr>
              <w:pStyle w:val="TableBody"/>
              <w:rPr>
                <w:rFonts w:eastAsia="Arial"/>
              </w:rPr>
            </w:pPr>
          </w:p>
        </w:tc>
      </w:tr>
      <w:tr w:rsidR="00A8457A" w:rsidRPr="0021021C" w14:paraId="66A57476" w14:textId="77777777" w:rsidTr="65F79D52">
        <w:tc>
          <w:tcPr>
            <w:tcW w:w="2430" w:type="dxa"/>
            <w:tcBorders>
              <w:top w:val="nil"/>
              <w:left w:val="nil"/>
              <w:bottom w:val="nil"/>
              <w:right w:val="nil"/>
            </w:tcBorders>
          </w:tcPr>
          <w:p w14:paraId="4A94C341" w14:textId="42214721" w:rsidR="00A8457A" w:rsidRPr="0021021C" w:rsidRDefault="00A8457A">
            <w:pPr>
              <w:pStyle w:val="TableBody"/>
            </w:pPr>
            <w:r w:rsidRPr="0021021C">
              <w:rPr>
                <w:rFonts w:eastAsia="Arial"/>
              </w:rPr>
              <w:t>Emissions intensity</w:t>
            </w:r>
          </w:p>
        </w:tc>
        <w:tc>
          <w:tcPr>
            <w:tcW w:w="3330" w:type="dxa"/>
            <w:tcBorders>
              <w:top w:val="nil"/>
              <w:left w:val="nil"/>
              <w:bottom w:val="nil"/>
              <w:right w:val="nil"/>
            </w:tcBorders>
          </w:tcPr>
          <w:p w14:paraId="09B6072F" w14:textId="7DFD44C2" w:rsidR="00A8457A" w:rsidRDefault="0CDBF178" w:rsidP="0CDBF178">
            <w:pPr>
              <w:pStyle w:val="TableBody"/>
              <w:rPr>
                <w:rFonts w:eastAsia="Arial"/>
              </w:rPr>
            </w:pPr>
            <w:r w:rsidRPr="0CDBF178">
              <w:rPr>
                <w:rFonts w:eastAsia="Arial"/>
              </w:rPr>
              <w:t>Enteric fermentation factors’ values are taken from IPCC Guidelines for National Greenhouse Gas Inventories, Tables 10.10-10.11, volume 4, chapter 10 (IPPC, 2019)</w:t>
            </w:r>
          </w:p>
          <w:p w14:paraId="3E26FB7E" w14:textId="77777777" w:rsidR="00975745" w:rsidRDefault="00975745">
            <w:pPr>
              <w:pStyle w:val="TableBody"/>
              <w:rPr>
                <w:rFonts w:eastAsia="Arial"/>
              </w:rPr>
            </w:pPr>
          </w:p>
          <w:p w14:paraId="6D75300D" w14:textId="5715CCE8" w:rsidR="00975745" w:rsidRDefault="0CDBF178" w:rsidP="0CDBF178">
            <w:pPr>
              <w:pStyle w:val="TableBody"/>
              <w:rPr>
                <w:rFonts w:eastAsia="Arial"/>
              </w:rPr>
            </w:pPr>
            <w:r w:rsidRPr="0CDBF178">
              <w:rPr>
                <w:rFonts w:eastAsia="Arial"/>
              </w:rPr>
              <w:t>Livestock manure management fractions are taken from IPCC Guidelines for National Greenhouse Gas Inventories, Table 10A.6, volume 4, chapter 10 (IPPC, 2019)</w:t>
            </w:r>
          </w:p>
          <w:p w14:paraId="48136323" w14:textId="2E18C62E" w:rsidR="00BA2064" w:rsidRPr="006A1B28" w:rsidRDefault="00BA2064">
            <w:pPr>
              <w:pStyle w:val="TableBody"/>
              <w:rPr>
                <w:rFonts w:eastAsia="Arial"/>
              </w:rPr>
            </w:pPr>
          </w:p>
        </w:tc>
        <w:tc>
          <w:tcPr>
            <w:tcW w:w="3600" w:type="dxa"/>
            <w:tcBorders>
              <w:top w:val="nil"/>
              <w:left w:val="nil"/>
              <w:bottom w:val="nil"/>
              <w:right w:val="nil"/>
            </w:tcBorders>
          </w:tcPr>
          <w:p w14:paraId="2ACF1D58" w14:textId="2B820231" w:rsidR="00A8457A" w:rsidRPr="0021021C" w:rsidRDefault="0CDBF178">
            <w:pPr>
              <w:pStyle w:val="TableBody"/>
              <w:rPr>
                <w:rFonts w:eastAsia="Arial"/>
              </w:rPr>
            </w:pPr>
            <w:r w:rsidRPr="0CDBF178">
              <w:rPr>
                <w:rFonts w:eastAsia="Arial"/>
              </w:rPr>
              <w:lastRenderedPageBreak/>
              <w:t>Factors are assumed to remain constant under baseline conditions (i.e., no transformations).</w:t>
            </w:r>
          </w:p>
        </w:tc>
      </w:tr>
      <w:tr w:rsidR="00A8457A" w:rsidRPr="0021021C" w14:paraId="387DBA40" w14:textId="77777777" w:rsidTr="65F79D52">
        <w:tc>
          <w:tcPr>
            <w:tcW w:w="2430" w:type="dxa"/>
            <w:tcBorders>
              <w:top w:val="nil"/>
              <w:left w:val="nil"/>
              <w:bottom w:val="nil"/>
              <w:right w:val="nil"/>
            </w:tcBorders>
          </w:tcPr>
          <w:p w14:paraId="7471B53F" w14:textId="77777777" w:rsidR="00A8457A" w:rsidRPr="0021021C" w:rsidRDefault="00A8457A">
            <w:pPr>
              <w:pStyle w:val="TableBody"/>
              <w:rPr>
                <w:rFonts w:eastAsia="Arial"/>
              </w:rPr>
            </w:pPr>
            <w:r w:rsidRPr="0021021C">
              <w:rPr>
                <w:rFonts w:eastAsia="Arial"/>
              </w:rPr>
              <w:t>Total emissions</w:t>
            </w:r>
          </w:p>
        </w:tc>
        <w:tc>
          <w:tcPr>
            <w:tcW w:w="3330" w:type="dxa"/>
            <w:tcBorders>
              <w:top w:val="nil"/>
              <w:left w:val="nil"/>
              <w:bottom w:val="nil"/>
              <w:right w:val="nil"/>
            </w:tcBorders>
          </w:tcPr>
          <w:p w14:paraId="49431EAF" w14:textId="003A3EB9" w:rsidR="00A8457A" w:rsidRPr="0021021C" w:rsidRDefault="0CDBF178">
            <w:pPr>
              <w:pStyle w:val="TableBody"/>
              <w:rPr>
                <w:rFonts w:eastAsia="Arial"/>
              </w:rPr>
            </w:pPr>
            <w:r w:rsidRPr="0CDBF178">
              <w:rPr>
                <w:rFonts w:eastAsia="Arial"/>
              </w:rPr>
              <w:t>Historical sector emissions are used in the calibration process. Emissions data for calibration are obtained from Climate Watch (2022)</w:t>
            </w:r>
          </w:p>
        </w:tc>
        <w:tc>
          <w:tcPr>
            <w:tcW w:w="3600" w:type="dxa"/>
            <w:tcBorders>
              <w:top w:val="nil"/>
              <w:left w:val="nil"/>
              <w:bottom w:val="nil"/>
              <w:right w:val="nil"/>
            </w:tcBorders>
          </w:tcPr>
          <w:p w14:paraId="2EFCEF86" w14:textId="09863FB3" w:rsidR="00A8457A" w:rsidRPr="0021021C" w:rsidRDefault="0CDBF178">
            <w:pPr>
              <w:pStyle w:val="TableBody"/>
              <w:rPr>
                <w:rFonts w:eastAsia="Arial"/>
              </w:rPr>
            </w:pPr>
            <w:r w:rsidRPr="0CDBF178">
              <w:rPr>
                <w:rFonts w:eastAsia="Arial"/>
              </w:rPr>
              <w:t xml:space="preserve">Meat demand, along with the technologies and practices used for production, determine emission levels in the future.  </w:t>
            </w:r>
          </w:p>
        </w:tc>
      </w:tr>
      <w:tr w:rsidR="00A8457A" w:rsidRPr="00126325" w14:paraId="400A347D" w14:textId="77777777" w:rsidTr="65F79D52">
        <w:trPr>
          <w:trHeight w:val="19"/>
        </w:trPr>
        <w:tc>
          <w:tcPr>
            <w:tcW w:w="9360" w:type="dxa"/>
            <w:gridSpan w:val="3"/>
            <w:tcBorders>
              <w:top w:val="single" w:sz="4" w:space="0" w:color="auto"/>
              <w:left w:val="nil"/>
              <w:bottom w:val="nil"/>
              <w:right w:val="nil"/>
            </w:tcBorders>
          </w:tcPr>
          <w:p w14:paraId="4A5F0988" w14:textId="5027BE5D" w:rsidR="00A8457A" w:rsidRDefault="00A8457A">
            <w:pPr>
              <w:pStyle w:val="TableNote"/>
              <w:rPr>
                <w:rFonts w:eastAsia="Arial"/>
              </w:rPr>
            </w:pPr>
          </w:p>
          <w:p w14:paraId="3D7EFADD" w14:textId="37DB2051" w:rsidR="005570C2" w:rsidRPr="00374954" w:rsidRDefault="48B0C125" w:rsidP="0CDBF178">
            <w:pPr>
              <w:pStyle w:val="TableNote"/>
              <w:rPr>
                <w:rFonts w:eastAsia="Arial"/>
              </w:rPr>
            </w:pPr>
            <w:r w:rsidRPr="48B0C125">
              <w:rPr>
                <w:rFonts w:eastAsia="Arial"/>
              </w:rPr>
              <w:t>Notes: Export data contain records on processed animal products. We developed a crosswalk to convert these export statistics to equivalent animal head counts. Daily dry matter consumption is used to allocate grassland to grazing animals and estimate carrying capacity under the assumption that livestock’s distribution across grazelands is uniform, grasslands are homogenous, and there is no mixed grazing. Climate Watch data aggregate crops and livestock into one single sector named “agriculture.” We approximate livestock emissions using CH</w:t>
            </w:r>
            <w:r w:rsidRPr="48B0C125">
              <w:rPr>
                <w:rFonts w:eastAsia="Arial"/>
                <w:vertAlign w:val="subscript"/>
              </w:rPr>
              <w:t>4</w:t>
            </w:r>
            <w:r w:rsidRPr="48B0C125">
              <w:rPr>
                <w:rFonts w:eastAsia="Arial"/>
              </w:rPr>
              <w:t xml:space="preserve"> totals produced by Climate Watch. </w:t>
            </w:r>
          </w:p>
          <w:p w14:paraId="2C868788" w14:textId="77777777" w:rsidR="00A8457A" w:rsidRPr="00126325" w:rsidRDefault="00A8457A" w:rsidP="005570C2">
            <w:pPr>
              <w:pStyle w:val="TableNote"/>
              <w:rPr>
                <w:rFonts w:eastAsia="Arial"/>
              </w:rPr>
            </w:pPr>
          </w:p>
        </w:tc>
      </w:tr>
    </w:tbl>
    <w:p w14:paraId="3F6D2C3B" w14:textId="06D49914" w:rsidR="00006369" w:rsidRDefault="0CDBF178" w:rsidP="00D86583">
      <w:pPr>
        <w:pStyle w:val="Heading3"/>
        <w:ind w:left="0" w:firstLine="0"/>
      </w:pPr>
      <w:bookmarkStart w:id="45" w:name="_Toc152088243"/>
      <w:r>
        <w:t>Transforming livestock</w:t>
      </w:r>
      <w:bookmarkEnd w:id="45"/>
    </w:p>
    <w:p w14:paraId="66CA022E" w14:textId="6C2E686C" w:rsidR="00610A89" w:rsidRDefault="7654BBD9" w:rsidP="00363F31">
      <w:r>
        <w:t xml:space="preserve">Livestock emissions can be reduced through transformations to enteric fermentation, manure management, and overall sector productivity. Many practices can contribute to these reductions but overlap or vary in regional applicability. For enteric fermentation and </w:t>
      </w:r>
      <w:proofErr w:type="spellStart"/>
      <w:r>
        <w:t>silvopasture</w:t>
      </w:r>
      <w:proofErr w:type="spellEnd"/>
      <w:r>
        <w:t xml:space="preserve">, we describe strategies from the EPA (2019) </w:t>
      </w:r>
      <w:r w:rsidRPr="00154F9E">
        <w:t>and McKinsey (2020</w:t>
      </w:r>
      <w:r>
        <w:t xml:space="preserve">) that are non-duplicative, are shown to have significant applicability in LAC, and target emissions directly rather than as a co-benefit of increased productivity. </w:t>
      </w:r>
    </w:p>
    <w:p w14:paraId="62D1180F" w14:textId="4AF73D35" w:rsidR="00CA5589" w:rsidRPr="00CC79BF" w:rsidRDefault="0CDBF178" w:rsidP="0CDBF178">
      <w:r>
        <w:t xml:space="preserve">Table A.6 shows transformations to reduce emissions from livestock. Table A.7 shows the technical costs and benefits of these transformations. We have not identified sector-specific non-technical costs and benefits. </w:t>
      </w:r>
    </w:p>
    <w:p w14:paraId="68CE48E1" w14:textId="5CD64DF2" w:rsidR="00E5591A" w:rsidRDefault="0CDBF178" w:rsidP="0CDBF178">
      <w:pPr>
        <w:pStyle w:val="Heading9"/>
      </w:pPr>
      <w:bookmarkStart w:id="46" w:name="_Toc152088314"/>
      <w:r>
        <w:t>Table A.6 Livestock’s transformations</w:t>
      </w:r>
      <w:bookmarkEnd w:id="46"/>
    </w:p>
    <w:tbl>
      <w:tblPr>
        <w:tblStyle w:val="TableGrid"/>
        <w:tblW w:w="5000" w:type="pct"/>
        <w:tblCellMar>
          <w:top w:w="86" w:type="dxa"/>
          <w:bottom w:w="86" w:type="dxa"/>
        </w:tblCellMar>
        <w:tblLook w:val="0620" w:firstRow="1" w:lastRow="0" w:firstColumn="0" w:lastColumn="0" w:noHBand="1" w:noVBand="1"/>
      </w:tblPr>
      <w:tblGrid>
        <w:gridCol w:w="2070"/>
        <w:gridCol w:w="3763"/>
        <w:gridCol w:w="3527"/>
      </w:tblGrid>
      <w:tr w:rsidR="00660D6B" w:rsidRPr="00C114A8" w14:paraId="3B7D3B87" w14:textId="341865C7" w:rsidTr="7654BBD9">
        <w:trPr>
          <w:cnfStyle w:val="100000000000" w:firstRow="1" w:lastRow="0" w:firstColumn="0" w:lastColumn="0" w:oddVBand="0" w:evenVBand="0" w:oddHBand="0" w:evenHBand="0" w:firstRowFirstColumn="0" w:firstRowLastColumn="0" w:lastRowFirstColumn="0" w:lastRowLastColumn="0"/>
          <w:trHeight w:val="20"/>
        </w:trPr>
        <w:tc>
          <w:tcPr>
            <w:tcW w:w="2070" w:type="dxa"/>
            <w:tcMar>
              <w:top w:w="0" w:type="nil"/>
              <w:bottom w:w="0" w:type="nil"/>
              <w:right w:w="0" w:type="nil"/>
            </w:tcMar>
          </w:tcPr>
          <w:p w14:paraId="4CCED141" w14:textId="77777777" w:rsidR="00660D6B" w:rsidRPr="00C114A8" w:rsidRDefault="00660D6B" w:rsidP="00F241B7">
            <w:pPr>
              <w:pStyle w:val="TableColHeading"/>
              <w:jc w:val="left"/>
            </w:pPr>
            <w:r>
              <w:t>Transformation</w:t>
            </w:r>
          </w:p>
        </w:tc>
        <w:tc>
          <w:tcPr>
            <w:tcW w:w="3763" w:type="dxa"/>
          </w:tcPr>
          <w:p w14:paraId="353E8B92" w14:textId="066C04DC" w:rsidR="00660D6B" w:rsidRPr="00C114A8" w:rsidRDefault="00660D6B" w:rsidP="00F241B7">
            <w:pPr>
              <w:pStyle w:val="TableColHeading"/>
            </w:pPr>
            <w:r>
              <w:t>Description</w:t>
            </w:r>
          </w:p>
        </w:tc>
        <w:tc>
          <w:tcPr>
            <w:tcW w:w="3527" w:type="dxa"/>
          </w:tcPr>
          <w:p w14:paraId="73A0EF3D" w14:textId="04BA4F5A" w:rsidR="00963DD3" w:rsidRDefault="00963DD3" w:rsidP="00F241B7">
            <w:pPr>
              <w:pStyle w:val="TableColHeading"/>
            </w:pPr>
            <w:r>
              <w:t>Implementation</w:t>
            </w:r>
          </w:p>
        </w:tc>
      </w:tr>
      <w:tr w:rsidR="006B0053" w:rsidRPr="00C114A8" w14:paraId="489FF003" w14:textId="7E468B38" w:rsidTr="7654BBD9">
        <w:tc>
          <w:tcPr>
            <w:tcW w:w="2070" w:type="dxa"/>
            <w:tcBorders>
              <w:bottom w:val="nil"/>
            </w:tcBorders>
            <w:tcMar>
              <w:top w:w="0" w:type="nil"/>
              <w:bottom w:w="0" w:type="nil"/>
              <w:right w:w="0" w:type="nil"/>
            </w:tcMar>
          </w:tcPr>
          <w:p w14:paraId="27B02497" w14:textId="0BC22F3F" w:rsidR="006B0053" w:rsidRDefault="0CDBF178" w:rsidP="0CDBF178">
            <w:pPr>
              <w:pStyle w:val="TableBody"/>
            </w:pPr>
            <w:r>
              <w:t>Reducing enteric fermentation</w:t>
            </w:r>
          </w:p>
        </w:tc>
        <w:tc>
          <w:tcPr>
            <w:tcW w:w="3763" w:type="dxa"/>
            <w:tcBorders>
              <w:bottom w:val="nil"/>
            </w:tcBorders>
          </w:tcPr>
          <w:p w14:paraId="2B787EA9" w14:textId="5C99BBFC" w:rsidR="006B0053" w:rsidRDefault="0CDBF178">
            <w:pPr>
              <w:pStyle w:val="TableBody"/>
            </w:pPr>
            <w:r>
              <w:t xml:space="preserve">Certain feed additives, such as propionate precursors, can inhibit enteric fermentation (EPA, 2019; McKinsey, 2020). In addition, genetics play a meaningful role in enteric fermentation, and animals can be selected for lower emissions (McKinsey, 2020). </w:t>
            </w:r>
          </w:p>
        </w:tc>
        <w:tc>
          <w:tcPr>
            <w:tcW w:w="3527" w:type="dxa"/>
            <w:tcBorders>
              <w:bottom w:val="nil"/>
            </w:tcBorders>
          </w:tcPr>
          <w:p w14:paraId="56BAFA07" w14:textId="6E788360" w:rsidR="006B0053" w:rsidRDefault="0CDBF178" w:rsidP="006B0053">
            <w:pPr>
              <w:pStyle w:val="TableBody"/>
            </w:pPr>
            <w:r>
              <w:t>80% of ruminants receive enteric fermentation interventions</w:t>
            </w:r>
          </w:p>
        </w:tc>
      </w:tr>
      <w:tr w:rsidR="00153B9C" w:rsidRPr="00C114A8" w14:paraId="2A5E6966" w14:textId="77777777" w:rsidTr="7654BBD9">
        <w:tc>
          <w:tcPr>
            <w:tcW w:w="2070" w:type="dxa"/>
            <w:tcBorders>
              <w:top w:val="nil"/>
              <w:bottom w:val="nil"/>
            </w:tcBorders>
            <w:tcMar>
              <w:top w:w="0" w:type="nil"/>
              <w:bottom w:w="0" w:type="nil"/>
              <w:right w:w="0" w:type="nil"/>
            </w:tcMar>
          </w:tcPr>
          <w:p w14:paraId="3E826845" w14:textId="37E15C08" w:rsidR="00153B9C" w:rsidRDefault="0CDBF178">
            <w:pPr>
              <w:pStyle w:val="TableBody"/>
            </w:pPr>
            <w:r>
              <w:t>Managing manure</w:t>
            </w:r>
          </w:p>
        </w:tc>
        <w:tc>
          <w:tcPr>
            <w:tcW w:w="3763" w:type="dxa"/>
            <w:tcBorders>
              <w:top w:val="nil"/>
              <w:bottom w:val="nil"/>
            </w:tcBorders>
          </w:tcPr>
          <w:p w14:paraId="2BE7039F" w14:textId="10FADB64" w:rsidR="00153B9C" w:rsidRDefault="7654BBD9">
            <w:pPr>
              <w:pStyle w:val="TableBody"/>
            </w:pPr>
            <w:r>
              <w:t xml:space="preserve">Manure can be managed through several pathways, including anaerobic digesters, lagoons, spreading on fields, and composting. The biogas from digesters can be captured and converted to energy (EPA, </w:t>
            </w:r>
            <w:r w:rsidRPr="00154F9E">
              <w:t>2019; Frank et al., 2018).</w:t>
            </w:r>
          </w:p>
        </w:tc>
        <w:tc>
          <w:tcPr>
            <w:tcW w:w="3527" w:type="dxa"/>
            <w:tcBorders>
              <w:top w:val="nil"/>
              <w:bottom w:val="nil"/>
            </w:tcBorders>
          </w:tcPr>
          <w:p w14:paraId="5882BB75" w14:textId="36E59735" w:rsidR="00153B9C" w:rsidRDefault="0CDBF178" w:rsidP="00A74F54">
            <w:pPr>
              <w:pStyle w:val="TableBody"/>
            </w:pPr>
            <w:r>
              <w:t>95% of manure is managed with a combination of anaerobic digestion, daily spread, dry lot, and composting, and 90% of biogas at anerobic digestion facilities is captured</w:t>
            </w:r>
          </w:p>
        </w:tc>
      </w:tr>
      <w:tr w:rsidR="006B0053" w:rsidRPr="00C114A8" w14:paraId="788132BB" w14:textId="57E1F7A5" w:rsidTr="7654BBD9">
        <w:tc>
          <w:tcPr>
            <w:tcW w:w="2070" w:type="dxa"/>
            <w:tcBorders>
              <w:top w:val="nil"/>
              <w:bottom w:val="nil"/>
            </w:tcBorders>
            <w:tcMar>
              <w:top w:w="0" w:type="nil"/>
              <w:bottom w:w="0" w:type="nil"/>
              <w:right w:w="0" w:type="nil"/>
            </w:tcMar>
          </w:tcPr>
          <w:p w14:paraId="26E7042F" w14:textId="77777777" w:rsidR="006B0053" w:rsidRDefault="006B0053" w:rsidP="006B0053">
            <w:pPr>
              <w:pStyle w:val="TableBody"/>
            </w:pPr>
            <w:proofErr w:type="spellStart"/>
            <w:r>
              <w:t>Silvopasture</w:t>
            </w:r>
            <w:proofErr w:type="spellEnd"/>
          </w:p>
        </w:tc>
        <w:tc>
          <w:tcPr>
            <w:tcW w:w="3763" w:type="dxa"/>
            <w:tcBorders>
              <w:top w:val="nil"/>
              <w:bottom w:val="nil"/>
            </w:tcBorders>
          </w:tcPr>
          <w:p w14:paraId="07984AFB" w14:textId="74CF6CAC" w:rsidR="006B0053" w:rsidRDefault="0CDBF178" w:rsidP="006B0053">
            <w:pPr>
              <w:pStyle w:val="TableBody"/>
            </w:pPr>
            <w:r>
              <w:t>An agroforestry practice that integrates forestry, livestock, and forage crops to increase the livestock’s productivity while simultaneously sequestering carbon in trees.</w:t>
            </w:r>
          </w:p>
        </w:tc>
        <w:tc>
          <w:tcPr>
            <w:tcW w:w="3527" w:type="dxa"/>
            <w:tcBorders>
              <w:top w:val="nil"/>
              <w:bottom w:val="nil"/>
            </w:tcBorders>
          </w:tcPr>
          <w:p w14:paraId="12E65D8B" w14:textId="0DBFD87F" w:rsidR="006B0053" w:rsidRDefault="0CDBF178" w:rsidP="006B0053">
            <w:pPr>
              <w:pStyle w:val="TableBody"/>
            </w:pPr>
            <w:r>
              <w:t xml:space="preserve">30% of pasture grazeland is converted to </w:t>
            </w:r>
            <w:proofErr w:type="spellStart"/>
            <w:r>
              <w:t>silvopasture</w:t>
            </w:r>
            <w:proofErr w:type="spellEnd"/>
          </w:p>
        </w:tc>
      </w:tr>
      <w:tr w:rsidR="00D66570" w:rsidRPr="00C114A8" w14:paraId="14F1A60D" w14:textId="77777777" w:rsidTr="7654BBD9">
        <w:tc>
          <w:tcPr>
            <w:tcW w:w="2070" w:type="dxa"/>
            <w:tcMar>
              <w:top w:w="0" w:type="nil"/>
              <w:bottom w:w="0" w:type="nil"/>
              <w:right w:w="0" w:type="nil"/>
            </w:tcMar>
          </w:tcPr>
          <w:p w14:paraId="0D14CDC7" w14:textId="602945E5" w:rsidR="00D66570" w:rsidRDefault="0CDBF178" w:rsidP="0CDBF178">
            <w:pPr>
              <w:pStyle w:val="TableBody"/>
            </w:pPr>
            <w:r>
              <w:lastRenderedPageBreak/>
              <w:t>Improving livestock productivity</w:t>
            </w:r>
          </w:p>
        </w:tc>
        <w:tc>
          <w:tcPr>
            <w:tcW w:w="3763" w:type="dxa"/>
          </w:tcPr>
          <w:p w14:paraId="7226FDCB" w14:textId="31A0F9A9" w:rsidR="00D66570" w:rsidRDefault="0CDBF178">
            <w:pPr>
              <w:pStyle w:val="TableBody"/>
            </w:pPr>
            <w:r>
              <w:t xml:space="preserve">This encompasses many sector-wide improvements that increase productivity, including better feed conversion, animal health, and grazing practices. </w:t>
            </w:r>
          </w:p>
        </w:tc>
        <w:tc>
          <w:tcPr>
            <w:tcW w:w="3527" w:type="dxa"/>
          </w:tcPr>
          <w:p w14:paraId="5CE33EEB" w14:textId="77777777" w:rsidR="00D66570" w:rsidRDefault="00D66570" w:rsidP="006D2776">
            <w:pPr>
              <w:pStyle w:val="TableBody"/>
            </w:pPr>
            <w:r>
              <w:t>Discussed in the section “</w:t>
            </w:r>
            <w:r w:rsidRPr="00AB5E5D">
              <w:t>Crosscutting Supply and Demand Changes</w:t>
            </w:r>
            <w:r>
              <w:t>”</w:t>
            </w:r>
          </w:p>
        </w:tc>
      </w:tr>
      <w:tr w:rsidR="00D66570" w:rsidRPr="00C114A8" w14:paraId="65AF31C2" w14:textId="77777777" w:rsidTr="7654BBD9">
        <w:tc>
          <w:tcPr>
            <w:tcW w:w="2070" w:type="dxa"/>
            <w:tcBorders>
              <w:top w:val="nil"/>
              <w:bottom w:val="single" w:sz="4" w:space="0" w:color="auto"/>
            </w:tcBorders>
            <w:tcMar>
              <w:top w:w="0" w:type="nil"/>
              <w:bottom w:w="0" w:type="nil"/>
              <w:right w:w="0" w:type="nil"/>
            </w:tcMar>
          </w:tcPr>
          <w:p w14:paraId="1181F5BB" w14:textId="77777777" w:rsidR="00D66570" w:rsidRDefault="00D66570" w:rsidP="006B0053">
            <w:pPr>
              <w:pStyle w:val="TableBody"/>
            </w:pPr>
          </w:p>
        </w:tc>
        <w:tc>
          <w:tcPr>
            <w:tcW w:w="3763" w:type="dxa"/>
            <w:tcBorders>
              <w:top w:val="nil"/>
              <w:bottom w:val="single" w:sz="4" w:space="0" w:color="auto"/>
            </w:tcBorders>
          </w:tcPr>
          <w:p w14:paraId="41BCC87F" w14:textId="77777777" w:rsidR="00D66570" w:rsidRDefault="00D66570" w:rsidP="006B0053">
            <w:pPr>
              <w:pStyle w:val="TableBody"/>
            </w:pPr>
          </w:p>
        </w:tc>
        <w:tc>
          <w:tcPr>
            <w:tcW w:w="3527" w:type="dxa"/>
            <w:tcBorders>
              <w:top w:val="nil"/>
              <w:bottom w:val="single" w:sz="4" w:space="0" w:color="auto"/>
            </w:tcBorders>
          </w:tcPr>
          <w:p w14:paraId="02648782" w14:textId="77777777" w:rsidR="00D66570" w:rsidRDefault="00D66570" w:rsidP="006B0053">
            <w:pPr>
              <w:pStyle w:val="TableBody"/>
            </w:pPr>
          </w:p>
        </w:tc>
      </w:tr>
    </w:tbl>
    <w:p w14:paraId="47471C62" w14:textId="780AB770" w:rsidR="00E23C36" w:rsidRDefault="0CDBF178" w:rsidP="0CDBF178">
      <w:pPr>
        <w:pStyle w:val="Heading9"/>
      </w:pPr>
      <w:bookmarkStart w:id="47" w:name="_Toc152088315"/>
      <w:r>
        <w:t>Table A.7 Livestock transformations’ technical costs</w:t>
      </w:r>
      <w:bookmarkEnd w:id="47"/>
      <w:r>
        <w:t xml:space="preserve"> </w:t>
      </w:r>
    </w:p>
    <w:tbl>
      <w:tblPr>
        <w:tblStyle w:val="TableGrid"/>
        <w:tblW w:w="5000" w:type="pct"/>
        <w:tblCellMar>
          <w:top w:w="86" w:type="dxa"/>
          <w:bottom w:w="86" w:type="dxa"/>
        </w:tblCellMar>
        <w:tblLook w:val="0620" w:firstRow="1" w:lastRow="0" w:firstColumn="0" w:lastColumn="0" w:noHBand="1" w:noVBand="1"/>
      </w:tblPr>
      <w:tblGrid>
        <w:gridCol w:w="2430"/>
        <w:gridCol w:w="3150"/>
        <w:gridCol w:w="3780"/>
      </w:tblGrid>
      <w:tr w:rsidR="00A117E3" w:rsidRPr="00C114A8" w14:paraId="77F149F5" w14:textId="347CE4B5" w:rsidTr="0CDBF178">
        <w:trPr>
          <w:cnfStyle w:val="100000000000" w:firstRow="1" w:lastRow="0" w:firstColumn="0" w:lastColumn="0" w:oddVBand="0" w:evenVBand="0" w:oddHBand="0" w:evenHBand="0" w:firstRowFirstColumn="0" w:firstRowLastColumn="0" w:lastRowFirstColumn="0" w:lastRowLastColumn="0"/>
          <w:trHeight w:val="20"/>
        </w:trPr>
        <w:tc>
          <w:tcPr>
            <w:tcW w:w="2430" w:type="dxa"/>
            <w:tcMar>
              <w:top w:w="0" w:type="nil"/>
              <w:bottom w:w="0" w:type="nil"/>
              <w:right w:w="0" w:type="nil"/>
            </w:tcMar>
          </w:tcPr>
          <w:p w14:paraId="0E18B991" w14:textId="77777777" w:rsidR="00A117E3" w:rsidRPr="00C114A8" w:rsidRDefault="00A117E3" w:rsidP="00F241B7">
            <w:pPr>
              <w:pStyle w:val="TableColHeading"/>
              <w:jc w:val="left"/>
            </w:pPr>
            <w:r>
              <w:t>Transformation</w:t>
            </w:r>
          </w:p>
        </w:tc>
        <w:tc>
          <w:tcPr>
            <w:tcW w:w="3150" w:type="dxa"/>
          </w:tcPr>
          <w:p w14:paraId="4ADD4E4E" w14:textId="6C6A529C" w:rsidR="00A117E3" w:rsidRDefault="00A117E3" w:rsidP="00F241B7">
            <w:pPr>
              <w:pStyle w:val="TableColHeading"/>
            </w:pPr>
            <w:r>
              <w:t>Cost</w:t>
            </w:r>
          </w:p>
        </w:tc>
        <w:tc>
          <w:tcPr>
            <w:tcW w:w="3780" w:type="dxa"/>
          </w:tcPr>
          <w:p w14:paraId="365ED53D" w14:textId="69FB367D" w:rsidR="00A117E3" w:rsidRDefault="00A117E3" w:rsidP="00F241B7">
            <w:pPr>
              <w:pStyle w:val="TableColHeading"/>
            </w:pPr>
            <w:r>
              <w:t>Source</w:t>
            </w:r>
          </w:p>
        </w:tc>
      </w:tr>
      <w:tr w:rsidR="00A117E3" w:rsidRPr="00C114A8" w14:paraId="47DAEF69" w14:textId="62C198CA" w:rsidTr="0CDBF178">
        <w:tc>
          <w:tcPr>
            <w:tcW w:w="2430" w:type="dxa"/>
            <w:tcBorders>
              <w:bottom w:val="nil"/>
            </w:tcBorders>
            <w:tcMar>
              <w:top w:w="0" w:type="nil"/>
              <w:bottom w:w="0" w:type="nil"/>
              <w:right w:w="0" w:type="nil"/>
            </w:tcMar>
          </w:tcPr>
          <w:p w14:paraId="25AC126A" w14:textId="6F6D5CD8" w:rsidR="00A117E3" w:rsidRDefault="0CDBF178" w:rsidP="0CDBF178">
            <w:pPr>
              <w:pStyle w:val="TableBody"/>
            </w:pPr>
            <w:r>
              <w:t xml:space="preserve">Reducing enteric fermentation </w:t>
            </w:r>
          </w:p>
        </w:tc>
        <w:tc>
          <w:tcPr>
            <w:tcW w:w="3150" w:type="dxa"/>
            <w:tcBorders>
              <w:bottom w:val="nil"/>
            </w:tcBorders>
          </w:tcPr>
          <w:p w14:paraId="74BE083A" w14:textId="4080BB90" w:rsidR="00A117E3" w:rsidRDefault="00A117E3" w:rsidP="00880697">
            <w:pPr>
              <w:pStyle w:val="TableBody"/>
            </w:pPr>
            <w:r>
              <w:t>$40</w:t>
            </w:r>
            <w:r w:rsidR="00096883">
              <w:t>/head</w:t>
            </w:r>
          </w:p>
          <w:p w14:paraId="461482A6" w14:textId="6D2D9F29" w:rsidR="00A117E3" w:rsidRDefault="00A117E3" w:rsidP="00880697">
            <w:pPr>
              <w:pStyle w:val="TableBody"/>
            </w:pPr>
            <w:r>
              <w:br/>
            </w:r>
            <w:r>
              <w:br/>
            </w:r>
          </w:p>
          <w:p w14:paraId="445CF485" w14:textId="76DBAA6B" w:rsidR="00A117E3" w:rsidRDefault="00A117E3" w:rsidP="00F241B7">
            <w:pPr>
              <w:pStyle w:val="TableBody"/>
            </w:pPr>
          </w:p>
        </w:tc>
        <w:tc>
          <w:tcPr>
            <w:tcW w:w="3780" w:type="dxa"/>
            <w:tcBorders>
              <w:bottom w:val="nil"/>
            </w:tcBorders>
          </w:tcPr>
          <w:p w14:paraId="380F5F9D" w14:textId="6640D837" w:rsidR="00A117E3" w:rsidRDefault="0CDBF178">
            <w:pPr>
              <w:pStyle w:val="TableBody"/>
            </w:pPr>
            <w:r>
              <w:t>The cost of reduced enteric fermentation is taken as the range of costs in Table 5-59 in EPA (2019) for fermentation inhibitors, and the nominal value is the average of that range. McKinsey (2020) reports breed change as a no-cost transformation. The costs of enteric fermentation inhibitors are converted from 2010 to 2019 dollars and adjusted to LAC values.</w:t>
            </w:r>
          </w:p>
        </w:tc>
      </w:tr>
      <w:tr w:rsidR="005F4959" w:rsidRPr="00C114A8" w14:paraId="757BBFD2" w14:textId="77777777" w:rsidTr="0CDBF178">
        <w:tc>
          <w:tcPr>
            <w:tcW w:w="2430" w:type="dxa"/>
            <w:tcBorders>
              <w:bottom w:val="nil"/>
            </w:tcBorders>
            <w:tcMar>
              <w:top w:w="0" w:type="nil"/>
              <w:bottom w:w="0" w:type="nil"/>
              <w:right w:w="0" w:type="nil"/>
            </w:tcMar>
          </w:tcPr>
          <w:p w14:paraId="32256675" w14:textId="0186DDC5" w:rsidR="005F4959" w:rsidRDefault="0CDBF178">
            <w:pPr>
              <w:pStyle w:val="TableBody"/>
            </w:pPr>
            <w:r>
              <w:t>Managing manure</w:t>
            </w:r>
          </w:p>
        </w:tc>
        <w:tc>
          <w:tcPr>
            <w:tcW w:w="3150" w:type="dxa"/>
            <w:tcBorders>
              <w:bottom w:val="nil"/>
            </w:tcBorders>
          </w:tcPr>
          <w:p w14:paraId="5FD8657A" w14:textId="2F3E3418" w:rsidR="005F4959" w:rsidRDefault="0CDBF178" w:rsidP="00880697">
            <w:pPr>
              <w:pStyle w:val="TableBody"/>
            </w:pPr>
            <w:r>
              <w:t>$10/TLU</w:t>
            </w:r>
          </w:p>
        </w:tc>
        <w:tc>
          <w:tcPr>
            <w:tcW w:w="3780" w:type="dxa"/>
            <w:tcBorders>
              <w:bottom w:val="nil"/>
            </w:tcBorders>
          </w:tcPr>
          <w:p w14:paraId="0BB9E465" w14:textId="711EB5A0" w:rsidR="005F4959" w:rsidRDefault="0CDBF178">
            <w:pPr>
              <w:pStyle w:val="TableBody"/>
            </w:pPr>
            <w:r>
              <w:t xml:space="preserve">Frank et al. (2018) </w:t>
            </w:r>
            <w:proofErr w:type="gramStart"/>
            <w:r>
              <w:t>suggest</w:t>
            </w:r>
            <w:proofErr w:type="gramEnd"/>
            <w:r>
              <w:t xml:space="preserve"> global costs of digesters from $8-$38/</w:t>
            </w:r>
            <w:r w:rsidR="003827C5">
              <w:t xml:space="preserve"> </w:t>
            </w:r>
            <w:r w:rsidR="003827C5" w:rsidRPr="003827C5">
              <w:t xml:space="preserve">Tropical livestock units </w:t>
            </w:r>
            <w:r w:rsidR="003827C5">
              <w:t>(</w:t>
            </w:r>
            <w:r>
              <w:t>TLU</w:t>
            </w:r>
            <w:r w:rsidR="003827C5">
              <w:t>)</w:t>
            </w:r>
            <w:r>
              <w:t>. We use an average for digesters and then adjust to account for the fact that much of the manure in this transformation is handled by lower-cost methods such as spreading on fields.</w:t>
            </w:r>
          </w:p>
        </w:tc>
      </w:tr>
      <w:tr w:rsidR="00A117E3" w:rsidRPr="00C114A8" w14:paraId="1CC66767" w14:textId="77777777" w:rsidTr="0CDBF178">
        <w:tc>
          <w:tcPr>
            <w:tcW w:w="2430" w:type="dxa"/>
            <w:tcBorders>
              <w:top w:val="nil"/>
              <w:bottom w:val="single" w:sz="4" w:space="0" w:color="auto"/>
            </w:tcBorders>
            <w:tcMar>
              <w:top w:w="0" w:type="nil"/>
              <w:bottom w:w="0" w:type="nil"/>
              <w:right w:w="0" w:type="nil"/>
            </w:tcMar>
          </w:tcPr>
          <w:p w14:paraId="0D054393" w14:textId="499102EA" w:rsidR="00A117E3" w:rsidRDefault="00A117E3" w:rsidP="00F241B7">
            <w:pPr>
              <w:pStyle w:val="TableBody"/>
            </w:pPr>
            <w:proofErr w:type="spellStart"/>
            <w:r>
              <w:t>Silvopasture</w:t>
            </w:r>
            <w:proofErr w:type="spellEnd"/>
          </w:p>
        </w:tc>
        <w:tc>
          <w:tcPr>
            <w:tcW w:w="3150" w:type="dxa"/>
            <w:tcBorders>
              <w:top w:val="nil"/>
              <w:bottom w:val="single" w:sz="4" w:space="0" w:color="auto"/>
            </w:tcBorders>
          </w:tcPr>
          <w:p w14:paraId="1D26A7D4" w14:textId="17822E01" w:rsidR="00A117E3" w:rsidRDefault="0CDBF178" w:rsidP="002E31B5">
            <w:pPr>
              <w:pStyle w:val="TableBody"/>
            </w:pPr>
            <w:r>
              <w:t>$45/ha/year</w:t>
            </w:r>
          </w:p>
        </w:tc>
        <w:tc>
          <w:tcPr>
            <w:tcW w:w="3780" w:type="dxa"/>
            <w:tcBorders>
              <w:top w:val="nil"/>
              <w:bottom w:val="single" w:sz="4" w:space="0" w:color="auto"/>
            </w:tcBorders>
          </w:tcPr>
          <w:p w14:paraId="0C4B3FEE" w14:textId="469FCC2F" w:rsidR="00A117E3" w:rsidRDefault="0CDBF178" w:rsidP="00F241B7">
            <w:pPr>
              <w:pStyle w:val="TableBody"/>
            </w:pPr>
            <w:r>
              <w:t xml:space="preserve">We conservatively estimate </w:t>
            </w:r>
            <w:proofErr w:type="spellStart"/>
            <w:r>
              <w:t>silvopasture’s</w:t>
            </w:r>
            <w:proofErr w:type="spellEnd"/>
            <w:r>
              <w:t xml:space="preserve"> cost as the same as the cost of restoring degraded land, although this may be a higher cost than is seen in the literature.</w:t>
            </w:r>
          </w:p>
          <w:p w14:paraId="6F0137CB" w14:textId="098FA2CE" w:rsidR="00A117E3" w:rsidRDefault="0CDBF178" w:rsidP="00F241B7">
            <w:pPr>
              <w:pStyle w:val="TableBody"/>
            </w:pPr>
            <w:r>
              <w:t xml:space="preserve">Pagiola et al. (2007), for example, provide a range of costs for </w:t>
            </w:r>
            <w:proofErr w:type="spellStart"/>
            <w:r>
              <w:t>silvopasture</w:t>
            </w:r>
            <w:proofErr w:type="spellEnd"/>
            <w:r>
              <w:t xml:space="preserve">, from $180 to $400/ha, which would be distributed across multiple years. They also estimate that </w:t>
            </w:r>
            <w:proofErr w:type="spellStart"/>
            <w:r>
              <w:t>silvopasture</w:t>
            </w:r>
            <w:proofErr w:type="spellEnd"/>
            <w:r>
              <w:t xml:space="preserve"> can increase stocking rates by 25% for cattle and reduce animal mortality.  </w:t>
            </w:r>
          </w:p>
        </w:tc>
      </w:tr>
    </w:tbl>
    <w:p w14:paraId="27ED5ACD" w14:textId="4DD2A399" w:rsidR="002F3893" w:rsidRDefault="0CDBF178" w:rsidP="0CDBF178">
      <w:pPr>
        <w:pStyle w:val="Heading2"/>
      </w:pPr>
      <w:bookmarkStart w:id="48" w:name="_Toc152088244"/>
      <w:r>
        <w:t>Crosscutting Agriculture Supply-and-Demand Transformations</w:t>
      </w:r>
      <w:bookmarkEnd w:id="48"/>
    </w:p>
    <w:p w14:paraId="16C6614E" w14:textId="15F6DF6F" w:rsidR="004F5A46" w:rsidRDefault="27B2A08E" w:rsidP="004F5A46">
      <w:r>
        <w:t xml:space="preserve">Several transformations shape the underlying supply, demand, and productivity of the agricultural system and can have significant impacts on emissions. They include shifting consumer diets to reduce meat consumption, reducing food losses and waste, improving productivity, and changing agricultural land-use policy. </w:t>
      </w:r>
    </w:p>
    <w:p w14:paraId="4F220FC0" w14:textId="5D9A0347" w:rsidR="002D065A" w:rsidRDefault="0CDBF178" w:rsidP="0CDBF178">
      <w:r>
        <w:t xml:space="preserve"> Table A.8 shows these transformations, and Table A.9 shows their technical costs and benefits.  Table A.10 shows the sector-specific non-technical costs and benefits. The costs and benefits of these transformations on land use are described in the land use and forestry sector.</w:t>
      </w:r>
    </w:p>
    <w:p w14:paraId="68C30DB7" w14:textId="2206B21C" w:rsidR="002D065A" w:rsidRDefault="0CDBF178">
      <w:pPr>
        <w:pStyle w:val="Heading9"/>
      </w:pPr>
      <w:bookmarkStart w:id="49" w:name="_Toc152088316"/>
      <w:r>
        <w:t xml:space="preserve">Table A.8 Crosscutting </w:t>
      </w:r>
      <w:proofErr w:type="gramStart"/>
      <w:r>
        <w:t>transformations</w:t>
      </w:r>
      <w:bookmarkEnd w:id="49"/>
      <w:proofErr w:type="gramEnd"/>
    </w:p>
    <w:tbl>
      <w:tblPr>
        <w:tblStyle w:val="TableGrid"/>
        <w:tblW w:w="5000" w:type="pct"/>
        <w:tblCellMar>
          <w:top w:w="86" w:type="dxa"/>
          <w:bottom w:w="86" w:type="dxa"/>
        </w:tblCellMar>
        <w:tblLook w:val="0620" w:firstRow="1" w:lastRow="0" w:firstColumn="0" w:lastColumn="0" w:noHBand="1" w:noVBand="1"/>
      </w:tblPr>
      <w:tblGrid>
        <w:gridCol w:w="1680"/>
        <w:gridCol w:w="4191"/>
        <w:gridCol w:w="3489"/>
      </w:tblGrid>
      <w:tr w:rsidR="002D065A" w:rsidRPr="00C114A8" w14:paraId="3B9A8E11"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1680" w:type="dxa"/>
            <w:tcMar>
              <w:top w:w="0" w:type="nil"/>
              <w:bottom w:w="0" w:type="nil"/>
              <w:right w:w="0" w:type="nil"/>
            </w:tcMar>
          </w:tcPr>
          <w:p w14:paraId="1DF224F0" w14:textId="77777777" w:rsidR="002D065A" w:rsidRPr="00C114A8" w:rsidRDefault="002D065A" w:rsidP="00512378">
            <w:pPr>
              <w:pStyle w:val="TableColHeading"/>
              <w:jc w:val="left"/>
            </w:pPr>
            <w:r>
              <w:t>Transformation</w:t>
            </w:r>
          </w:p>
        </w:tc>
        <w:tc>
          <w:tcPr>
            <w:tcW w:w="4191" w:type="dxa"/>
          </w:tcPr>
          <w:p w14:paraId="6D7FBD89" w14:textId="77777777" w:rsidR="002D065A" w:rsidRPr="00C114A8" w:rsidRDefault="002D065A" w:rsidP="00512378">
            <w:pPr>
              <w:pStyle w:val="TableColHeading"/>
            </w:pPr>
            <w:r>
              <w:t>Description</w:t>
            </w:r>
          </w:p>
        </w:tc>
        <w:tc>
          <w:tcPr>
            <w:tcW w:w="3489" w:type="dxa"/>
          </w:tcPr>
          <w:p w14:paraId="5897335E" w14:textId="129EB8BF" w:rsidR="002D065A" w:rsidRDefault="002D065A" w:rsidP="00512378">
            <w:pPr>
              <w:pStyle w:val="TableColHeading"/>
            </w:pPr>
            <w:r>
              <w:t>Implementation</w:t>
            </w:r>
            <w:r w:rsidR="005E3D3C">
              <w:t xml:space="preserve"> (by 2050)</w:t>
            </w:r>
          </w:p>
        </w:tc>
      </w:tr>
      <w:tr w:rsidR="002D065A" w:rsidRPr="00C114A8" w14:paraId="3AB5CF38" w14:textId="77777777" w:rsidTr="0CDBF178">
        <w:tc>
          <w:tcPr>
            <w:tcW w:w="1680" w:type="dxa"/>
            <w:tcBorders>
              <w:top w:val="single" w:sz="8" w:space="0" w:color="auto"/>
            </w:tcBorders>
            <w:tcMar>
              <w:top w:w="0" w:type="nil"/>
              <w:bottom w:w="0" w:type="nil"/>
              <w:right w:w="0" w:type="nil"/>
            </w:tcMar>
          </w:tcPr>
          <w:p w14:paraId="3348F1C0" w14:textId="7764C164" w:rsidR="002D065A" w:rsidRDefault="0CDBF178">
            <w:pPr>
              <w:pStyle w:val="TableBody"/>
            </w:pPr>
            <w:r>
              <w:lastRenderedPageBreak/>
              <w:t>Improving diets</w:t>
            </w:r>
          </w:p>
        </w:tc>
        <w:tc>
          <w:tcPr>
            <w:tcW w:w="4191" w:type="dxa"/>
            <w:tcBorders>
              <w:top w:val="single" w:sz="8" w:space="0" w:color="auto"/>
            </w:tcBorders>
          </w:tcPr>
          <w:p w14:paraId="106F28D9" w14:textId="6E4605E0" w:rsidR="002D065A" w:rsidRDefault="00A510CF" w:rsidP="00512378">
            <w:pPr>
              <w:pStyle w:val="TableBody"/>
            </w:pPr>
            <w:r>
              <w:t>Latin America has high rates of obesity and poor nutrition, with attendant social health costs</w:t>
            </w:r>
            <w:r w:rsidR="00546113">
              <w:t xml:space="preserve"> (Popkin and Reardon, 2018)</w:t>
            </w:r>
            <w:r w:rsidR="008056EF">
              <w:t xml:space="preserve">. This transformation transitions </w:t>
            </w:r>
            <w:r w:rsidR="00C14B68">
              <w:t xml:space="preserve">the population in aggregate </w:t>
            </w:r>
            <w:r w:rsidR="008056EF">
              <w:t>to a</w:t>
            </w:r>
            <w:r w:rsidR="002D065A" w:rsidRPr="006E7E74">
              <w:t xml:space="preserve"> </w:t>
            </w:r>
            <w:r w:rsidR="002D065A">
              <w:t xml:space="preserve">healthier and more sustainable </w:t>
            </w:r>
            <w:r w:rsidR="002D065A" w:rsidRPr="006E7E74">
              <w:t xml:space="preserve">diet </w:t>
            </w:r>
            <w:r w:rsidR="002D065A">
              <w:t xml:space="preserve">consistent with the vegetarian diet described in Table S.7 in Springmann et al. (2016). </w:t>
            </w:r>
          </w:p>
          <w:p w14:paraId="137EB4FF" w14:textId="77777777" w:rsidR="002D065A" w:rsidRDefault="002D065A" w:rsidP="00512378">
            <w:pPr>
              <w:pStyle w:val="TableBody"/>
            </w:pPr>
          </w:p>
          <w:p w14:paraId="7EF25BE5" w14:textId="77777777" w:rsidR="002D065A" w:rsidRDefault="002D065A" w:rsidP="00512378">
            <w:pPr>
              <w:pStyle w:val="TableBody"/>
            </w:pPr>
          </w:p>
        </w:tc>
        <w:tc>
          <w:tcPr>
            <w:tcW w:w="3489" w:type="dxa"/>
            <w:tcBorders>
              <w:top w:val="single" w:sz="8" w:space="0" w:color="auto"/>
            </w:tcBorders>
          </w:tcPr>
          <w:p w14:paraId="32BC686A" w14:textId="5662AFCF" w:rsidR="002D065A" w:rsidRDefault="0CDBF178" w:rsidP="0CDBF178">
            <w:pPr>
              <w:pStyle w:val="TableBody"/>
            </w:pPr>
            <w:r>
              <w:t xml:space="preserve">By 2040, overall dietary consumption has shifted in a manner that—in aggregate—is consistent with 40% of the population adopting a vegetarian diet, although the distribution of dietary change across the population will vary. Some will forego meat, others will reduce their consumption, and still others who have inadequate access to protein will increase it. </w:t>
            </w:r>
          </w:p>
          <w:p w14:paraId="00FE66AE" w14:textId="77777777" w:rsidR="002D065A" w:rsidRDefault="002D065A" w:rsidP="00512378">
            <w:pPr>
              <w:pStyle w:val="TableBody"/>
            </w:pPr>
          </w:p>
        </w:tc>
      </w:tr>
      <w:tr w:rsidR="002D065A" w:rsidRPr="00C114A8" w14:paraId="445609D1" w14:textId="77777777" w:rsidTr="0CDBF178">
        <w:tc>
          <w:tcPr>
            <w:tcW w:w="1680" w:type="dxa"/>
            <w:tcBorders>
              <w:top w:val="nil"/>
              <w:bottom w:val="nil"/>
            </w:tcBorders>
            <w:tcMar>
              <w:top w:w="0" w:type="nil"/>
              <w:bottom w:w="0" w:type="nil"/>
              <w:right w:w="0" w:type="nil"/>
            </w:tcMar>
          </w:tcPr>
          <w:p w14:paraId="6BDB5F0D" w14:textId="22EA0F7C" w:rsidR="002D065A" w:rsidRDefault="0CDBF178" w:rsidP="0CDBF178">
            <w:pPr>
              <w:pStyle w:val="TableBody"/>
            </w:pPr>
            <w:r>
              <w:t>Reducing food losses and waste in the supply chain</w:t>
            </w:r>
          </w:p>
        </w:tc>
        <w:tc>
          <w:tcPr>
            <w:tcW w:w="4191" w:type="dxa"/>
            <w:tcBorders>
              <w:top w:val="nil"/>
              <w:bottom w:val="nil"/>
            </w:tcBorders>
          </w:tcPr>
          <w:p w14:paraId="27E8D087" w14:textId="09463D37" w:rsidR="002D065A" w:rsidRDefault="0CDBF178" w:rsidP="00512378">
            <w:pPr>
              <w:pStyle w:val="TableBody"/>
            </w:pPr>
            <w:r>
              <w:t>Food waste and loss is a massive economic cost to LAC and globally (Hanson et al., 2022; Flanagan et al., 2019). As of 2020, an average of 12% of food produced on the farm in LAC is lost before it reaches retailers (FAO, undated). This is approximately 171 kg per capita (UNEP, 2018). This strategy reduces food waste throughout the agriculture supply chain, from the farm through production, processing, handling and storage, and distribution and marketing. (Post-market waste by consumers is handled in the waste sector.)</w:t>
            </w:r>
          </w:p>
          <w:p w14:paraId="29948198" w14:textId="77777777" w:rsidR="002D065A" w:rsidRDefault="002D065A" w:rsidP="00512378">
            <w:pPr>
              <w:pStyle w:val="TableBody"/>
            </w:pPr>
          </w:p>
        </w:tc>
        <w:tc>
          <w:tcPr>
            <w:tcW w:w="3489" w:type="dxa"/>
            <w:tcBorders>
              <w:top w:val="nil"/>
              <w:bottom w:val="nil"/>
            </w:tcBorders>
          </w:tcPr>
          <w:p w14:paraId="413C60B0" w14:textId="6EC68C67" w:rsidR="002D065A" w:rsidRDefault="0CDBF178" w:rsidP="00512378">
            <w:pPr>
              <w:pStyle w:val="TableBody"/>
            </w:pPr>
            <w:r>
              <w:t>The maximum implementation of this transformation involves halving food losses in the supply chain, consistent with Hanson et al.’s (20220) recommendations.</w:t>
            </w:r>
          </w:p>
        </w:tc>
      </w:tr>
      <w:tr w:rsidR="002D065A" w:rsidRPr="00C114A8" w14:paraId="5E758702" w14:textId="77777777" w:rsidTr="0CDBF178">
        <w:tc>
          <w:tcPr>
            <w:tcW w:w="1680" w:type="dxa"/>
            <w:tcBorders>
              <w:top w:val="nil"/>
              <w:bottom w:val="nil"/>
            </w:tcBorders>
            <w:tcMar>
              <w:top w:w="0" w:type="nil"/>
              <w:bottom w:w="0" w:type="nil"/>
              <w:right w:w="0" w:type="nil"/>
            </w:tcMar>
          </w:tcPr>
          <w:p w14:paraId="2B2F2B09" w14:textId="392B18B4" w:rsidR="002D065A" w:rsidRDefault="0CDBF178" w:rsidP="0CDBF178">
            <w:pPr>
              <w:pStyle w:val="TableBody"/>
            </w:pPr>
            <w:r>
              <w:t>Improving agricultural and livestock productivity</w:t>
            </w:r>
          </w:p>
        </w:tc>
        <w:tc>
          <w:tcPr>
            <w:tcW w:w="4191" w:type="dxa"/>
            <w:tcBorders>
              <w:top w:val="nil"/>
              <w:bottom w:val="nil"/>
            </w:tcBorders>
          </w:tcPr>
          <w:p w14:paraId="2267EE28" w14:textId="2940ED60" w:rsidR="009822F8" w:rsidRPr="000167C1" w:rsidRDefault="0CDBF178">
            <w:pPr>
              <w:pStyle w:val="TableBody"/>
            </w:pPr>
            <w:r>
              <w:t xml:space="preserve">Latin America is not yet at the frontier of agricultural productivity. This transformation accelerates total factor productivity in Latin America to </w:t>
            </w:r>
            <w:r w:rsidRPr="0CDBF178">
              <w:t xml:space="preserve">Organization for Economic Co-operation and Development (OECD) levels. </w:t>
            </w:r>
          </w:p>
          <w:p w14:paraId="4B92C5AC" w14:textId="7A990D63" w:rsidR="002D065A" w:rsidRPr="00693483" w:rsidRDefault="002D065A" w:rsidP="00512378">
            <w:pPr>
              <w:pStyle w:val="TableBody"/>
              <w:rPr>
                <w:highlight w:val="yellow"/>
              </w:rPr>
            </w:pPr>
          </w:p>
        </w:tc>
        <w:tc>
          <w:tcPr>
            <w:tcW w:w="3489" w:type="dxa"/>
            <w:tcBorders>
              <w:top w:val="nil"/>
              <w:bottom w:val="nil"/>
            </w:tcBorders>
          </w:tcPr>
          <w:p w14:paraId="58B62350" w14:textId="13970319" w:rsidR="002D065A" w:rsidRPr="00693483" w:rsidRDefault="000167C1" w:rsidP="00512378">
            <w:pPr>
              <w:pStyle w:val="TableBody"/>
              <w:rPr>
                <w:highlight w:val="yellow"/>
              </w:rPr>
            </w:pPr>
            <w:r w:rsidRPr="000167C1">
              <w:t>Agricultural productivity will grow 1.6% per year throughout 2050</w:t>
            </w:r>
          </w:p>
        </w:tc>
      </w:tr>
      <w:tr w:rsidR="002D065A" w:rsidRPr="00C114A8" w14:paraId="14582198" w14:textId="77777777" w:rsidTr="0CDBF178">
        <w:tc>
          <w:tcPr>
            <w:tcW w:w="1680" w:type="dxa"/>
            <w:tcBorders>
              <w:top w:val="nil"/>
              <w:bottom w:val="single" w:sz="4" w:space="0" w:color="auto"/>
            </w:tcBorders>
            <w:tcMar>
              <w:top w:w="0" w:type="nil"/>
              <w:bottom w:w="0" w:type="nil"/>
              <w:right w:w="0" w:type="nil"/>
            </w:tcMar>
          </w:tcPr>
          <w:p w14:paraId="39A7EC78" w14:textId="16539BBC" w:rsidR="002D065A" w:rsidRDefault="00C33864" w:rsidP="00512378">
            <w:pPr>
              <w:pStyle w:val="TableBody"/>
            </w:pPr>
            <w:r>
              <w:t>Redirecting gains in productivity to land conservation</w:t>
            </w:r>
          </w:p>
        </w:tc>
        <w:tc>
          <w:tcPr>
            <w:tcW w:w="4191" w:type="dxa"/>
            <w:tcBorders>
              <w:top w:val="nil"/>
              <w:bottom w:val="single" w:sz="4" w:space="0" w:color="auto"/>
            </w:tcBorders>
          </w:tcPr>
          <w:p w14:paraId="7A278598" w14:textId="79CBCE36" w:rsidR="002D065A" w:rsidRDefault="0CDBF178" w:rsidP="00512378">
            <w:pPr>
              <w:pStyle w:val="TableBody"/>
            </w:pPr>
            <w:r>
              <w:t xml:space="preserve">As agricultural or livestock productivity increases, or domestic demand decreases, domestic production can be </w:t>
            </w:r>
            <w:proofErr w:type="gramStart"/>
            <w:r>
              <w:t>reduced</w:t>
            </w:r>
            <w:proofErr w:type="gramEnd"/>
            <w:r>
              <w:t xml:space="preserve"> and land returned to native conditions.</w:t>
            </w:r>
          </w:p>
        </w:tc>
        <w:tc>
          <w:tcPr>
            <w:tcW w:w="3489" w:type="dxa"/>
            <w:tcBorders>
              <w:top w:val="nil"/>
              <w:bottom w:val="single" w:sz="4" w:space="0" w:color="auto"/>
            </w:tcBorders>
          </w:tcPr>
          <w:p w14:paraId="593D00E4" w14:textId="276DE107" w:rsidR="002D065A" w:rsidRDefault="006233FF" w:rsidP="00512378">
            <w:pPr>
              <w:pStyle w:val="TableBody"/>
            </w:pPr>
            <w:r>
              <w:t>A</w:t>
            </w:r>
            <w:r w:rsidR="00E73736">
              <w:t xml:space="preserve">ll gains </w:t>
            </w:r>
            <w:r>
              <w:t>in</w:t>
            </w:r>
            <w:r w:rsidR="00E73736">
              <w:t xml:space="preserve"> productivity or decreases in </w:t>
            </w:r>
            <w:r w:rsidR="00805C0F">
              <w:t xml:space="preserve">waste or </w:t>
            </w:r>
            <w:r w:rsidR="00E73736">
              <w:t xml:space="preserve">demand are </w:t>
            </w:r>
            <w:r w:rsidR="00805C0F">
              <w:t>used to reduce production (rather than export more).</w:t>
            </w:r>
            <w:r w:rsidR="00E73736">
              <w:t xml:space="preserve"> </w:t>
            </w:r>
          </w:p>
        </w:tc>
      </w:tr>
    </w:tbl>
    <w:p w14:paraId="0D537C88" w14:textId="77777777" w:rsidR="00540341" w:rsidRDefault="00540341" w:rsidP="00994F10">
      <w:pPr>
        <w:ind w:firstLine="0"/>
      </w:pPr>
    </w:p>
    <w:p w14:paraId="14252AA2" w14:textId="2AA7DFE4" w:rsidR="00540341" w:rsidRDefault="0CDBF178" w:rsidP="0CDBF178">
      <w:pPr>
        <w:pStyle w:val="Heading9"/>
      </w:pPr>
      <w:bookmarkStart w:id="50" w:name="_Toc152088317"/>
      <w:r>
        <w:t xml:space="preserve">Table A.9 Crosscutting transformations’ technical </w:t>
      </w:r>
      <w:proofErr w:type="gramStart"/>
      <w:r>
        <w:t>costs</w:t>
      </w:r>
      <w:bookmarkEnd w:id="50"/>
      <w:proofErr w:type="gramEnd"/>
      <w:r>
        <w:t xml:space="preserve"> </w:t>
      </w:r>
    </w:p>
    <w:tbl>
      <w:tblPr>
        <w:tblStyle w:val="TableGrid"/>
        <w:tblW w:w="5000" w:type="pct"/>
        <w:tblCellMar>
          <w:top w:w="86" w:type="dxa"/>
          <w:bottom w:w="86" w:type="dxa"/>
        </w:tblCellMar>
        <w:tblLook w:val="0620" w:firstRow="1" w:lastRow="0" w:firstColumn="0" w:lastColumn="0" w:noHBand="1" w:noVBand="1"/>
      </w:tblPr>
      <w:tblGrid>
        <w:gridCol w:w="3060"/>
        <w:gridCol w:w="90"/>
        <w:gridCol w:w="2700"/>
        <w:gridCol w:w="3510"/>
      </w:tblGrid>
      <w:tr w:rsidR="00DD693A" w:rsidRPr="00C114A8" w14:paraId="5E1F2B57" w14:textId="77777777" w:rsidTr="7654BBD9">
        <w:trPr>
          <w:cnfStyle w:val="100000000000" w:firstRow="1" w:lastRow="0" w:firstColumn="0" w:lastColumn="0" w:oddVBand="0" w:evenVBand="0" w:oddHBand="0" w:evenHBand="0" w:firstRowFirstColumn="0" w:firstRowLastColumn="0" w:lastRowFirstColumn="0" w:lastRowLastColumn="0"/>
          <w:trHeight w:val="20"/>
        </w:trPr>
        <w:tc>
          <w:tcPr>
            <w:tcW w:w="3060" w:type="dxa"/>
            <w:tcMar>
              <w:top w:w="0" w:type="nil"/>
              <w:bottom w:w="0" w:type="nil"/>
              <w:right w:w="0" w:type="nil"/>
            </w:tcMar>
            <w:vAlign w:val="bottom"/>
          </w:tcPr>
          <w:p w14:paraId="70E154C0" w14:textId="2C83A3C4" w:rsidR="00DD693A" w:rsidRPr="00C114A8" w:rsidRDefault="00DD693A" w:rsidP="00DD693A">
            <w:pPr>
              <w:pStyle w:val="TableColHeading"/>
              <w:jc w:val="left"/>
            </w:pPr>
            <w:r w:rsidRPr="37345C14">
              <w:rPr>
                <w:rFonts w:eastAsia="Arial"/>
              </w:rPr>
              <w:t>Transformation</w:t>
            </w:r>
          </w:p>
        </w:tc>
        <w:tc>
          <w:tcPr>
            <w:tcW w:w="2790" w:type="dxa"/>
            <w:gridSpan w:val="2"/>
          </w:tcPr>
          <w:p w14:paraId="791DBAC0" w14:textId="79152A2E" w:rsidR="00DD693A" w:rsidRDefault="0CDBF178">
            <w:pPr>
              <w:pStyle w:val="TableColHeading"/>
              <w:rPr>
                <w:rFonts w:eastAsia="Arial"/>
              </w:rPr>
            </w:pPr>
            <w:r w:rsidRPr="0CDBF178">
              <w:rPr>
                <w:rFonts w:eastAsia="Arial"/>
              </w:rPr>
              <w:t>Technical costs</w:t>
            </w:r>
            <w:r w:rsidR="00DD693A">
              <w:br/>
            </w:r>
            <w:r w:rsidRPr="0CDBF178">
              <w:rPr>
                <w:rFonts w:eastAsia="Arial"/>
              </w:rPr>
              <w:t>(LAC average in 2019 USD)</w:t>
            </w:r>
          </w:p>
          <w:p w14:paraId="0F7D4A08" w14:textId="049241B4" w:rsidR="00DD693A" w:rsidRDefault="00DD693A" w:rsidP="00DD693A">
            <w:pPr>
              <w:pStyle w:val="TableColHeading"/>
            </w:pPr>
            <w:r w:rsidRPr="003928DF">
              <w:rPr>
                <w:rFonts w:eastAsia="Arial"/>
                <w:b w:val="0"/>
                <w:bCs/>
              </w:rPr>
              <w:t>(Negative values indicate avoided costs, i.e., savings)</w:t>
            </w:r>
          </w:p>
        </w:tc>
        <w:tc>
          <w:tcPr>
            <w:tcW w:w="3510" w:type="dxa"/>
          </w:tcPr>
          <w:p w14:paraId="548DC72F" w14:textId="2BA95D19" w:rsidR="00DD693A" w:rsidRDefault="0CDBF178" w:rsidP="0CDBF178">
            <w:pPr>
              <w:pStyle w:val="TableColHeading"/>
            </w:pPr>
            <w:r w:rsidRPr="0CDBF178">
              <w:rPr>
                <w:rFonts w:eastAsia="Arial"/>
              </w:rPr>
              <w:t>Notes and data sources</w:t>
            </w:r>
          </w:p>
        </w:tc>
      </w:tr>
      <w:tr w:rsidR="00DD693A" w:rsidRPr="00C114A8" w14:paraId="3C6D0CAD" w14:textId="77777777" w:rsidTr="7654BBD9">
        <w:tc>
          <w:tcPr>
            <w:tcW w:w="3060" w:type="dxa"/>
            <w:tcBorders>
              <w:bottom w:val="nil"/>
            </w:tcBorders>
            <w:tcMar>
              <w:top w:w="0" w:type="nil"/>
              <w:bottom w:w="0" w:type="nil"/>
              <w:right w:w="0" w:type="nil"/>
            </w:tcMar>
          </w:tcPr>
          <w:p w14:paraId="6CCE9D91" w14:textId="69F93436" w:rsidR="00DD693A" w:rsidRDefault="0CDBF178" w:rsidP="0CDBF178">
            <w:pPr>
              <w:pStyle w:val="TableBody"/>
            </w:pPr>
            <w:r>
              <w:t>Reducing supply chain losses and waste</w:t>
            </w:r>
          </w:p>
        </w:tc>
        <w:tc>
          <w:tcPr>
            <w:tcW w:w="2790" w:type="dxa"/>
            <w:gridSpan w:val="2"/>
            <w:tcBorders>
              <w:bottom w:val="nil"/>
            </w:tcBorders>
          </w:tcPr>
          <w:p w14:paraId="51FE413A" w14:textId="1C6DF453" w:rsidR="00DD693A" w:rsidRDefault="00DD693A" w:rsidP="00DD693A">
            <w:pPr>
              <w:pStyle w:val="TableBody"/>
            </w:pPr>
            <w:r>
              <w:t>$</w:t>
            </w:r>
            <w:r w:rsidR="00CF6006">
              <w:t>400</w:t>
            </w:r>
            <w:r>
              <w:t>/ton of food waste avoided</w:t>
            </w:r>
          </w:p>
        </w:tc>
        <w:tc>
          <w:tcPr>
            <w:tcW w:w="3510" w:type="dxa"/>
            <w:tcBorders>
              <w:bottom w:val="nil"/>
            </w:tcBorders>
          </w:tcPr>
          <w:p w14:paraId="03D32750" w14:textId="01F16916" w:rsidR="00DD693A" w:rsidRPr="00655B6E" w:rsidRDefault="0CDBF178" w:rsidP="00DD693A">
            <w:pPr>
              <w:pStyle w:val="TableNote"/>
              <w:rPr>
                <w:vertAlign w:val="superscript"/>
              </w:rPr>
            </w:pPr>
            <w:r>
              <w:t xml:space="preserve">Costs are based on the average per-ton costs of methods of reducing producer-side food waste in the United States, weighted by their effect size ($700 in 2016), based on data found in the appendix of </w:t>
            </w:r>
            <w:proofErr w:type="spellStart"/>
            <w:r>
              <w:t>ReFED</w:t>
            </w:r>
            <w:proofErr w:type="spellEnd"/>
            <w:r>
              <w:t xml:space="preserve"> (2016), adjusted to LAC. We expect this is an overestimate of costs, given that Latin America’s food industry is generally less well developed than the United States, and gains may be available at a lower cost.</w:t>
            </w:r>
          </w:p>
          <w:p w14:paraId="22193759" w14:textId="70F861F7" w:rsidR="00DD693A" w:rsidRDefault="00DD693A" w:rsidP="00DD693A">
            <w:pPr>
              <w:pStyle w:val="TableBody"/>
            </w:pPr>
          </w:p>
        </w:tc>
      </w:tr>
      <w:tr w:rsidR="00A21B87" w14:paraId="4BA6B0B9" w14:textId="77777777" w:rsidTr="7654BBD9">
        <w:tblPrEx>
          <w:tblCellMar>
            <w:top w:w="115" w:type="dxa"/>
            <w:bottom w:w="115" w:type="dxa"/>
          </w:tblCellMar>
        </w:tblPrEx>
        <w:tc>
          <w:tcPr>
            <w:tcW w:w="3060" w:type="dxa"/>
            <w:tcBorders>
              <w:top w:val="nil"/>
              <w:left w:val="nil"/>
              <w:bottom w:val="nil"/>
              <w:right w:val="nil"/>
            </w:tcBorders>
          </w:tcPr>
          <w:p w14:paraId="05208E09" w14:textId="67718FEB" w:rsidR="00A21B87" w:rsidRDefault="00A21B87" w:rsidP="006D2776">
            <w:pPr>
              <w:pStyle w:val="TableBody"/>
            </w:pPr>
          </w:p>
        </w:tc>
        <w:tc>
          <w:tcPr>
            <w:tcW w:w="2790" w:type="dxa"/>
            <w:gridSpan w:val="2"/>
            <w:tcBorders>
              <w:top w:val="nil"/>
              <w:left w:val="nil"/>
              <w:bottom w:val="nil"/>
              <w:right w:val="nil"/>
            </w:tcBorders>
          </w:tcPr>
          <w:p w14:paraId="4CF5A285" w14:textId="3828C17E" w:rsidR="00A21B87" w:rsidRDefault="00A21B87" w:rsidP="006D2776">
            <w:pPr>
              <w:pStyle w:val="TableBody"/>
            </w:pPr>
            <w:r>
              <w:t>-$</w:t>
            </w:r>
            <w:r w:rsidR="008F0C5A">
              <w:t>5</w:t>
            </w:r>
            <w:r>
              <w:t>00/ton of food waste avoided</w:t>
            </w:r>
          </w:p>
        </w:tc>
        <w:tc>
          <w:tcPr>
            <w:tcW w:w="3510" w:type="dxa"/>
            <w:tcBorders>
              <w:top w:val="nil"/>
              <w:left w:val="nil"/>
              <w:bottom w:val="nil"/>
              <w:right w:val="nil"/>
            </w:tcBorders>
          </w:tcPr>
          <w:p w14:paraId="0668AB73" w14:textId="727C18BA" w:rsidR="00A21B87" w:rsidRDefault="0CDBF178">
            <w:pPr>
              <w:pStyle w:val="TableNote"/>
            </w:pPr>
            <w:r>
              <w:t xml:space="preserve">Food waste occurs across food types, and without specific information on the types of </w:t>
            </w:r>
            <w:r>
              <w:lastRenderedPageBreak/>
              <w:t>food that are wasted and the recovery potential in the supply chain, we use the average cost of food across all product types. We reduce this value given that the food that is recovered from waste may be of lower value than food that is not wasted.</w:t>
            </w:r>
          </w:p>
          <w:p w14:paraId="78861A2A" w14:textId="77777777" w:rsidR="00A21B87" w:rsidRDefault="00A21B87" w:rsidP="006D2776">
            <w:pPr>
              <w:pStyle w:val="TableNote"/>
            </w:pPr>
          </w:p>
        </w:tc>
      </w:tr>
      <w:tr w:rsidR="00A21B87" w:rsidRPr="00C114A8" w14:paraId="58D882D8" w14:textId="77777777" w:rsidTr="7654BBD9">
        <w:tc>
          <w:tcPr>
            <w:tcW w:w="3060" w:type="dxa"/>
            <w:tcBorders>
              <w:top w:val="nil"/>
              <w:bottom w:val="nil"/>
            </w:tcBorders>
            <w:tcMar>
              <w:top w:w="0" w:type="nil"/>
              <w:bottom w:w="0" w:type="nil"/>
              <w:right w:w="0" w:type="nil"/>
            </w:tcMar>
          </w:tcPr>
          <w:p w14:paraId="238F113F" w14:textId="77777777" w:rsidR="00A21B87" w:rsidRPr="00540341" w:rsidRDefault="00A21B87" w:rsidP="00DD693A">
            <w:pPr>
              <w:pStyle w:val="TableBody"/>
            </w:pPr>
          </w:p>
        </w:tc>
        <w:tc>
          <w:tcPr>
            <w:tcW w:w="2790" w:type="dxa"/>
            <w:gridSpan w:val="2"/>
            <w:tcBorders>
              <w:top w:val="nil"/>
              <w:bottom w:val="nil"/>
            </w:tcBorders>
          </w:tcPr>
          <w:p w14:paraId="4295703C" w14:textId="77777777" w:rsidR="00A21B87" w:rsidRPr="00540341" w:rsidRDefault="00A21B87" w:rsidP="00DD693A">
            <w:pPr>
              <w:pStyle w:val="TableBody"/>
            </w:pPr>
          </w:p>
        </w:tc>
        <w:tc>
          <w:tcPr>
            <w:tcW w:w="3510" w:type="dxa"/>
            <w:tcBorders>
              <w:top w:val="nil"/>
              <w:bottom w:val="nil"/>
            </w:tcBorders>
          </w:tcPr>
          <w:p w14:paraId="79FF792C" w14:textId="77777777" w:rsidR="00A21B87" w:rsidRPr="00540341" w:rsidRDefault="00A21B87" w:rsidP="00DD693A">
            <w:pPr>
              <w:pStyle w:val="TableBody"/>
            </w:pPr>
          </w:p>
        </w:tc>
      </w:tr>
      <w:tr w:rsidR="00DD693A" w:rsidRPr="00C114A8" w14:paraId="6374DDD1" w14:textId="77777777" w:rsidTr="7654BBD9">
        <w:tc>
          <w:tcPr>
            <w:tcW w:w="3060" w:type="dxa"/>
            <w:tcBorders>
              <w:top w:val="nil"/>
              <w:bottom w:val="nil"/>
            </w:tcBorders>
            <w:tcMar>
              <w:top w:w="0" w:type="nil"/>
              <w:bottom w:w="0" w:type="nil"/>
              <w:right w:w="0" w:type="nil"/>
            </w:tcMar>
          </w:tcPr>
          <w:p w14:paraId="3E8C1D4B" w14:textId="276EF169" w:rsidR="00DD693A" w:rsidRPr="00540341" w:rsidRDefault="0CDBF178" w:rsidP="0CDBF178">
            <w:pPr>
              <w:pStyle w:val="TableBody"/>
            </w:pPr>
            <w:r>
              <w:t>Increasing crop or livestock productivity</w:t>
            </w:r>
          </w:p>
        </w:tc>
        <w:tc>
          <w:tcPr>
            <w:tcW w:w="2790" w:type="dxa"/>
            <w:gridSpan w:val="2"/>
            <w:tcBorders>
              <w:top w:val="nil"/>
              <w:bottom w:val="nil"/>
            </w:tcBorders>
          </w:tcPr>
          <w:p w14:paraId="204C94EC" w14:textId="7179613A" w:rsidR="00DD693A" w:rsidRPr="00540341" w:rsidRDefault="00DD693A" w:rsidP="00DD693A">
            <w:pPr>
              <w:pStyle w:val="TableBody"/>
            </w:pPr>
            <w:r w:rsidRPr="00540341">
              <w:t xml:space="preserve"> Varies by country</w:t>
            </w:r>
          </w:p>
        </w:tc>
        <w:tc>
          <w:tcPr>
            <w:tcW w:w="3510" w:type="dxa"/>
            <w:tcBorders>
              <w:top w:val="nil"/>
              <w:bottom w:val="nil"/>
            </w:tcBorders>
          </w:tcPr>
          <w:p w14:paraId="739CDA70" w14:textId="17A8E6A0" w:rsidR="00DD693A" w:rsidRPr="00540341" w:rsidRDefault="0CDBF178">
            <w:pPr>
              <w:pStyle w:val="TableBody"/>
            </w:pPr>
            <w:r>
              <w:t>This is deeply uncertain. As an initial estimate, we use the average annual investment in agriculture and livestock research and development (R&amp;D) in OECD countries, as a fraction of GDP (roughly 0.02%). We use that fraction for OECD countries in LAC; for others, we increase that fraction by 20% to account for less-developed economies.</w:t>
            </w:r>
          </w:p>
        </w:tc>
      </w:tr>
      <w:tr w:rsidR="002C5186" w14:paraId="005E18C4" w14:textId="77777777" w:rsidTr="7654BBD9">
        <w:tblPrEx>
          <w:tblCellMar>
            <w:top w:w="115" w:type="dxa"/>
            <w:bottom w:w="115" w:type="dxa"/>
          </w:tblCellMar>
        </w:tblPrEx>
        <w:tc>
          <w:tcPr>
            <w:tcW w:w="3150" w:type="dxa"/>
            <w:gridSpan w:val="2"/>
            <w:tcBorders>
              <w:top w:val="nil"/>
              <w:left w:val="nil"/>
              <w:bottom w:val="nil"/>
              <w:right w:val="nil"/>
            </w:tcBorders>
          </w:tcPr>
          <w:p w14:paraId="74E44AC4" w14:textId="77777777" w:rsidR="002C5186" w:rsidRDefault="002C5186" w:rsidP="006D2776">
            <w:pPr>
              <w:pStyle w:val="TableBody"/>
            </w:pPr>
            <w:r>
              <w:t>Change in sector value add</w:t>
            </w:r>
          </w:p>
        </w:tc>
        <w:tc>
          <w:tcPr>
            <w:tcW w:w="2700" w:type="dxa"/>
            <w:tcBorders>
              <w:top w:val="nil"/>
              <w:left w:val="nil"/>
              <w:bottom w:val="nil"/>
              <w:right w:val="nil"/>
            </w:tcBorders>
          </w:tcPr>
          <w:p w14:paraId="751548BF" w14:textId="77777777" w:rsidR="002C5186" w:rsidRDefault="002C5186" w:rsidP="006D2776">
            <w:pPr>
              <w:pStyle w:val="TableBody"/>
            </w:pPr>
            <w:r>
              <w:t>Price per ton varies by type of product</w:t>
            </w:r>
          </w:p>
        </w:tc>
        <w:tc>
          <w:tcPr>
            <w:tcW w:w="3510" w:type="dxa"/>
            <w:tcBorders>
              <w:top w:val="nil"/>
              <w:left w:val="nil"/>
              <w:bottom w:val="nil"/>
              <w:right w:val="nil"/>
            </w:tcBorders>
          </w:tcPr>
          <w:p w14:paraId="4C94B7DB" w14:textId="0FDA8DDF" w:rsidR="002C5186" w:rsidRDefault="7654BBD9" w:rsidP="006D2776">
            <w:pPr>
              <w:pStyle w:val="TableNote"/>
            </w:pPr>
            <w:r>
              <w:t xml:space="preserve">The value per ton of crops and livestock varies by type and is based on producer prices from </w:t>
            </w:r>
            <w:proofErr w:type="spellStart"/>
            <w:r>
              <w:t>FAOStat’s</w:t>
            </w:r>
            <w:proofErr w:type="spellEnd"/>
            <w:r>
              <w:t xml:space="preserve"> food producer prices dataset (FAO, undated), with TLU values (FAO, 2023) and average production efficiencies for livestock (Williams and Anderson, 2020).</w:t>
            </w:r>
          </w:p>
        </w:tc>
      </w:tr>
      <w:tr w:rsidR="002C5186" w:rsidRPr="00C114A8" w14:paraId="51C45B02" w14:textId="77777777" w:rsidTr="7654BBD9">
        <w:tc>
          <w:tcPr>
            <w:tcW w:w="3060" w:type="dxa"/>
            <w:tcBorders>
              <w:top w:val="nil"/>
              <w:bottom w:val="single" w:sz="4" w:space="0" w:color="auto"/>
            </w:tcBorders>
            <w:tcMar>
              <w:top w:w="0" w:type="nil"/>
              <w:bottom w:w="0" w:type="nil"/>
              <w:right w:w="0" w:type="nil"/>
            </w:tcMar>
          </w:tcPr>
          <w:p w14:paraId="05CF2BE7" w14:textId="77777777" w:rsidR="002C5186" w:rsidRPr="00540341" w:rsidRDefault="002C5186" w:rsidP="00DD693A">
            <w:pPr>
              <w:pStyle w:val="TableBody"/>
            </w:pPr>
          </w:p>
        </w:tc>
        <w:tc>
          <w:tcPr>
            <w:tcW w:w="2790" w:type="dxa"/>
            <w:gridSpan w:val="2"/>
            <w:tcBorders>
              <w:top w:val="nil"/>
              <w:bottom w:val="single" w:sz="4" w:space="0" w:color="auto"/>
            </w:tcBorders>
          </w:tcPr>
          <w:p w14:paraId="77D3EC7F" w14:textId="77777777" w:rsidR="002C5186" w:rsidRPr="00540341" w:rsidRDefault="002C5186" w:rsidP="00DD693A">
            <w:pPr>
              <w:pStyle w:val="TableBody"/>
            </w:pPr>
          </w:p>
        </w:tc>
        <w:tc>
          <w:tcPr>
            <w:tcW w:w="3510" w:type="dxa"/>
            <w:tcBorders>
              <w:top w:val="nil"/>
              <w:bottom w:val="single" w:sz="4" w:space="0" w:color="auto"/>
            </w:tcBorders>
          </w:tcPr>
          <w:p w14:paraId="1824AB17" w14:textId="77777777" w:rsidR="002C5186" w:rsidRPr="00540341" w:rsidRDefault="002C5186" w:rsidP="00DD693A">
            <w:pPr>
              <w:pStyle w:val="TableBody"/>
            </w:pPr>
          </w:p>
        </w:tc>
      </w:tr>
    </w:tbl>
    <w:p w14:paraId="22D1FA94" w14:textId="77777777" w:rsidR="00DD693A" w:rsidRDefault="00DD693A" w:rsidP="00994F10">
      <w:pPr>
        <w:ind w:firstLine="0"/>
      </w:pPr>
    </w:p>
    <w:p w14:paraId="38C23C3A" w14:textId="26D3DDF7" w:rsidR="00DD693A" w:rsidRPr="00387044" w:rsidRDefault="0CDBF178" w:rsidP="0CDBF178">
      <w:pPr>
        <w:pStyle w:val="Heading9"/>
        <w:rPr>
          <w:rFonts w:eastAsia="Arial"/>
        </w:rPr>
      </w:pPr>
      <w:bookmarkStart w:id="51" w:name="_Toc152088318"/>
      <w:r w:rsidRPr="0CDBF178">
        <w:rPr>
          <w:rFonts w:eastAsia="Arial"/>
        </w:rPr>
        <w:t xml:space="preserve">Table A.10 Crosscutting agricultural transformations’ non-technical benefits and </w:t>
      </w:r>
      <w:proofErr w:type="gramStart"/>
      <w:r w:rsidRPr="0CDBF178">
        <w:rPr>
          <w:rFonts w:eastAsia="Arial"/>
        </w:rPr>
        <w:t>costs</w:t>
      </w:r>
      <w:bookmarkEnd w:id="51"/>
      <w:proofErr w:type="gramEnd"/>
      <w:r w:rsidRPr="0CDBF178">
        <w:rPr>
          <w:rFonts w:eastAsia="Arial"/>
        </w:rPr>
        <w:t xml:space="preserve"> </w:t>
      </w:r>
    </w:p>
    <w:tbl>
      <w:tblPr>
        <w:tblStyle w:val="TableGrid"/>
        <w:tblW w:w="0" w:type="auto"/>
        <w:tblLayout w:type="fixed"/>
        <w:tblLook w:val="0620" w:firstRow="1" w:lastRow="0" w:firstColumn="0" w:lastColumn="0" w:noHBand="1" w:noVBand="1"/>
      </w:tblPr>
      <w:tblGrid>
        <w:gridCol w:w="2700"/>
        <w:gridCol w:w="2880"/>
        <w:gridCol w:w="3780"/>
      </w:tblGrid>
      <w:tr w:rsidR="00DD693A" w14:paraId="6EEEEF1C" w14:textId="77777777" w:rsidTr="0CDBF178">
        <w:trPr>
          <w:cnfStyle w:val="100000000000" w:firstRow="1" w:lastRow="0" w:firstColumn="0" w:lastColumn="0" w:oddVBand="0" w:evenVBand="0" w:oddHBand="0" w:evenHBand="0" w:firstRowFirstColumn="0" w:firstRowLastColumn="0" w:lastRowFirstColumn="0" w:lastRowLastColumn="0"/>
          <w:trHeight w:val="15"/>
        </w:trPr>
        <w:tc>
          <w:tcPr>
            <w:tcW w:w="2700" w:type="dxa"/>
            <w:tcBorders>
              <w:left w:val="nil"/>
              <w:right w:val="nil"/>
            </w:tcBorders>
            <w:vAlign w:val="bottom"/>
          </w:tcPr>
          <w:p w14:paraId="0E8D6034" w14:textId="60CF351D" w:rsidR="00DD693A" w:rsidRDefault="0CDBF178">
            <w:r w:rsidRPr="0CDBF178">
              <w:rPr>
                <w:rFonts w:eastAsia="Arial" w:cs="Arial"/>
                <w:b/>
                <w:bCs/>
                <w:sz w:val="18"/>
                <w:szCs w:val="18"/>
              </w:rPr>
              <w:t>Benefit or cost</w:t>
            </w:r>
          </w:p>
        </w:tc>
        <w:tc>
          <w:tcPr>
            <w:tcW w:w="2880" w:type="dxa"/>
            <w:tcBorders>
              <w:left w:val="nil"/>
              <w:right w:val="nil"/>
            </w:tcBorders>
          </w:tcPr>
          <w:p w14:paraId="60B06A47" w14:textId="77777777" w:rsidR="00DD693A" w:rsidRDefault="00DD693A" w:rsidP="006D2776">
            <w:pPr>
              <w:jc w:val="center"/>
              <w:rPr>
                <w:rFonts w:eastAsia="Arial" w:cs="Arial"/>
                <w:b/>
                <w:bCs/>
                <w:sz w:val="18"/>
                <w:szCs w:val="18"/>
              </w:rPr>
            </w:pPr>
            <w:r>
              <w:rPr>
                <w:rFonts w:eastAsia="Arial" w:cs="Arial"/>
                <w:b/>
                <w:bCs/>
                <w:sz w:val="18"/>
                <w:szCs w:val="18"/>
              </w:rPr>
              <w:t>Value</w:t>
            </w:r>
          </w:p>
          <w:p w14:paraId="6AEA1941" w14:textId="77777777" w:rsidR="00DD693A" w:rsidRDefault="0CDBF178" w:rsidP="006D2776">
            <w:pPr>
              <w:jc w:val="center"/>
              <w:rPr>
                <w:rFonts w:eastAsia="Arial" w:cs="Arial"/>
                <w:b/>
                <w:bCs/>
                <w:sz w:val="18"/>
                <w:szCs w:val="18"/>
              </w:rPr>
            </w:pPr>
            <w:r w:rsidRPr="005A562F">
              <w:rPr>
                <w:rFonts w:eastAsia="Arial" w:cs="Arial"/>
                <w:b/>
                <w:bCs/>
                <w:sz w:val="18"/>
                <w:szCs w:val="18"/>
              </w:rPr>
              <w:t>(LAC average in 2019 USD)</w:t>
            </w:r>
          </w:p>
          <w:p w14:paraId="31D7CF4C" w14:textId="041ECC2D" w:rsidR="00DD693A" w:rsidRDefault="0CDBF178" w:rsidP="006D2776">
            <w:pPr>
              <w:jc w:val="center"/>
            </w:pPr>
            <w:r w:rsidRPr="0CDBF178">
              <w:rPr>
                <w:rFonts w:eastAsia="Arial" w:cs="Arial"/>
                <w:sz w:val="18"/>
                <w:szCs w:val="18"/>
              </w:rPr>
              <w:t>(Positive indicates benefits)</w:t>
            </w:r>
          </w:p>
        </w:tc>
        <w:tc>
          <w:tcPr>
            <w:tcW w:w="3780" w:type="dxa"/>
            <w:tcBorders>
              <w:left w:val="nil"/>
              <w:right w:val="nil"/>
            </w:tcBorders>
          </w:tcPr>
          <w:p w14:paraId="3F3853AD" w14:textId="02810CFE" w:rsidR="00DD693A" w:rsidRDefault="0CDBF178" w:rsidP="0CDBF178">
            <w:pPr>
              <w:jc w:val="center"/>
            </w:pPr>
            <w:r w:rsidRPr="0CDBF178">
              <w:rPr>
                <w:rFonts w:eastAsia="Arial" w:cs="Arial"/>
                <w:b/>
                <w:bCs/>
                <w:sz w:val="18"/>
                <w:szCs w:val="18"/>
              </w:rPr>
              <w:t>Notes and data sources</w:t>
            </w:r>
          </w:p>
        </w:tc>
      </w:tr>
      <w:tr w:rsidR="004528DB" w:rsidRPr="004528DB" w14:paraId="1BFB5BD7" w14:textId="77777777" w:rsidTr="0CDBF178">
        <w:tblPrEx>
          <w:tblCellMar>
            <w:top w:w="86" w:type="dxa"/>
            <w:bottom w:w="86" w:type="dxa"/>
          </w:tblCellMar>
        </w:tblPrEx>
        <w:tc>
          <w:tcPr>
            <w:tcW w:w="2700" w:type="dxa"/>
            <w:tcBorders>
              <w:bottom w:val="nil"/>
            </w:tcBorders>
            <w:tcMar>
              <w:top w:w="0" w:type="nil"/>
              <w:bottom w:w="0" w:type="nil"/>
              <w:right w:w="0" w:type="nil"/>
            </w:tcMar>
          </w:tcPr>
          <w:p w14:paraId="7D64A923" w14:textId="291E7785" w:rsidR="004528DB" w:rsidRPr="004528DB" w:rsidRDefault="00C44133" w:rsidP="004528DB">
            <w:pPr>
              <w:pStyle w:val="TableBody"/>
            </w:pPr>
            <w:r>
              <w:t>Household g</w:t>
            </w:r>
            <w:r w:rsidR="004528DB" w:rsidRPr="004528DB">
              <w:t xml:space="preserve">rocery </w:t>
            </w:r>
            <w:r w:rsidR="0040019D">
              <w:t>costs</w:t>
            </w:r>
            <w:r w:rsidR="004528DB" w:rsidRPr="004528DB">
              <w:t xml:space="preserve"> from improved diets</w:t>
            </w:r>
          </w:p>
        </w:tc>
        <w:tc>
          <w:tcPr>
            <w:tcW w:w="2880" w:type="dxa"/>
            <w:tcBorders>
              <w:bottom w:val="nil"/>
            </w:tcBorders>
          </w:tcPr>
          <w:p w14:paraId="19B98D97" w14:textId="5BE8E697" w:rsidR="004528DB" w:rsidRPr="004528DB" w:rsidRDefault="004528DB" w:rsidP="004528DB">
            <w:pPr>
              <w:pStyle w:val="TableBody"/>
            </w:pPr>
            <w:r w:rsidRPr="004528DB">
              <w:t>$385 per person per year transitioned to a better diet</w:t>
            </w:r>
          </w:p>
        </w:tc>
        <w:tc>
          <w:tcPr>
            <w:tcW w:w="3780" w:type="dxa"/>
            <w:tcBorders>
              <w:bottom w:val="nil"/>
            </w:tcBorders>
          </w:tcPr>
          <w:p w14:paraId="7E79A6A7" w14:textId="0757B2C4" w:rsidR="004528DB" w:rsidRPr="004528DB" w:rsidRDefault="004528DB" w:rsidP="004528DB">
            <w:pPr>
              <w:pStyle w:val="TableBody"/>
            </w:pPr>
            <w:r w:rsidRPr="004528DB">
              <w:t xml:space="preserve">The annual cost of food in the improved diet described by Springmann et al., (2016) is less than the existing </w:t>
            </w:r>
            <w:r w:rsidR="00E36D32">
              <w:t xml:space="preserve">average </w:t>
            </w:r>
            <w:r w:rsidRPr="004528DB">
              <w:t>diet, with food prices in LAC based on Springmann et al. (2017) and adjusted to 2019 dollars.</w:t>
            </w:r>
          </w:p>
        </w:tc>
      </w:tr>
      <w:tr w:rsidR="0082207A" w14:paraId="279E885E" w14:textId="77777777" w:rsidTr="0CDBF178">
        <w:tc>
          <w:tcPr>
            <w:tcW w:w="2700" w:type="dxa"/>
            <w:tcBorders>
              <w:top w:val="nil"/>
              <w:left w:val="nil"/>
              <w:bottom w:val="nil"/>
              <w:right w:val="nil"/>
            </w:tcBorders>
          </w:tcPr>
          <w:p w14:paraId="5F57E827" w14:textId="7367255A" w:rsidR="0082207A" w:rsidRDefault="0082207A" w:rsidP="0082207A">
            <w:pPr>
              <w:pStyle w:val="TableBody"/>
            </w:pPr>
            <w:r>
              <w:t>Health benefits of better diets</w:t>
            </w:r>
          </w:p>
        </w:tc>
        <w:tc>
          <w:tcPr>
            <w:tcW w:w="2880" w:type="dxa"/>
            <w:tcBorders>
              <w:top w:val="nil"/>
              <w:left w:val="nil"/>
              <w:bottom w:val="nil"/>
              <w:right w:val="nil"/>
            </w:tcBorders>
          </w:tcPr>
          <w:p w14:paraId="3C47878C" w14:textId="4D869A5E" w:rsidR="0082207A" w:rsidRDefault="0CDBF178" w:rsidP="0082207A">
            <w:pPr>
              <w:pStyle w:val="TableBody"/>
            </w:pPr>
            <w:r>
              <w:t>$1,750/per person per year transitioned to a better diet</w:t>
            </w:r>
          </w:p>
          <w:p w14:paraId="4A71F80F" w14:textId="5710D851" w:rsidR="0082207A" w:rsidRPr="003D2B80" w:rsidRDefault="0082207A" w:rsidP="0082207A">
            <w:pPr>
              <w:pStyle w:val="TableBody"/>
              <w:rPr>
                <w:rFonts w:eastAsia="Arial"/>
              </w:rPr>
            </w:pPr>
          </w:p>
        </w:tc>
        <w:tc>
          <w:tcPr>
            <w:tcW w:w="3780" w:type="dxa"/>
            <w:tcBorders>
              <w:top w:val="nil"/>
              <w:left w:val="nil"/>
              <w:bottom w:val="nil"/>
              <w:right w:val="nil"/>
            </w:tcBorders>
          </w:tcPr>
          <w:p w14:paraId="4D3C9149" w14:textId="6630047C" w:rsidR="0082207A" w:rsidRDefault="0CDBF178" w:rsidP="0CDBF178">
            <w:pPr>
              <w:pStyle w:val="TableBody"/>
            </w:pPr>
            <w:r>
              <w:t xml:space="preserve">The health benefits of a dietary change </w:t>
            </w:r>
            <w:proofErr w:type="gramStart"/>
            <w:r>
              <w:t>is</w:t>
            </w:r>
            <w:proofErr w:type="gramEnd"/>
            <w:r>
              <w:t xml:space="preserve"> calculated based on the aggregate annual health benefits defined in Springmann et al. (2016) for LAC in 2050. The costs are deeply uncertain: a direct-costs approach estimates costs of $100B in LAC; a value-of-statistical-life approach estimates costs of approximately $2.5 trillion (see Figures S.12 and S.13) divided by the population in LAC projected by the World Bank for 2050 (approximately 750 million). We use an average, but explore the full range, from $350/person to $3,500/person.</w:t>
            </w:r>
          </w:p>
        </w:tc>
      </w:tr>
      <w:tr w:rsidR="00DD693A" w14:paraId="4AC53964" w14:textId="77777777" w:rsidTr="0CDBF178">
        <w:tc>
          <w:tcPr>
            <w:tcW w:w="2700" w:type="dxa"/>
            <w:tcBorders>
              <w:top w:val="single" w:sz="4" w:space="0" w:color="auto"/>
              <w:left w:val="nil"/>
              <w:bottom w:val="nil"/>
              <w:right w:val="nil"/>
            </w:tcBorders>
          </w:tcPr>
          <w:p w14:paraId="19ED58F1" w14:textId="77777777" w:rsidR="00DD693A" w:rsidRDefault="00DD693A" w:rsidP="006D2776">
            <w:pPr>
              <w:pStyle w:val="TableBody"/>
              <w:rPr>
                <w:rFonts w:eastAsia="Arial"/>
              </w:rPr>
            </w:pPr>
          </w:p>
        </w:tc>
        <w:tc>
          <w:tcPr>
            <w:tcW w:w="2880" w:type="dxa"/>
            <w:tcBorders>
              <w:top w:val="single" w:sz="4" w:space="0" w:color="auto"/>
              <w:left w:val="nil"/>
              <w:bottom w:val="nil"/>
              <w:right w:val="nil"/>
            </w:tcBorders>
          </w:tcPr>
          <w:p w14:paraId="4179D34B" w14:textId="77777777" w:rsidR="00DD693A" w:rsidRDefault="00DD693A" w:rsidP="006D2776">
            <w:pPr>
              <w:pStyle w:val="TableBody"/>
              <w:rPr>
                <w:rFonts w:eastAsia="Arial"/>
              </w:rPr>
            </w:pPr>
          </w:p>
        </w:tc>
        <w:tc>
          <w:tcPr>
            <w:tcW w:w="3780" w:type="dxa"/>
            <w:tcBorders>
              <w:top w:val="single" w:sz="4" w:space="0" w:color="auto"/>
              <w:left w:val="nil"/>
              <w:bottom w:val="nil"/>
              <w:right w:val="nil"/>
            </w:tcBorders>
          </w:tcPr>
          <w:p w14:paraId="79ABB17E" w14:textId="77777777" w:rsidR="00DD693A" w:rsidRPr="003526C0" w:rsidRDefault="00DD693A" w:rsidP="006D2776">
            <w:pPr>
              <w:rPr>
                <w:rFonts w:eastAsia="Arial"/>
                <w:sz w:val="18"/>
                <w:szCs w:val="18"/>
              </w:rPr>
            </w:pPr>
          </w:p>
        </w:tc>
      </w:tr>
    </w:tbl>
    <w:p w14:paraId="61A62607" w14:textId="120DF431" w:rsidR="003722FC" w:rsidRDefault="0CDBF178" w:rsidP="00073805">
      <w:pPr>
        <w:pStyle w:val="Heading1"/>
      </w:pPr>
      <w:bookmarkStart w:id="52" w:name="_Toc152088245"/>
      <w:r>
        <w:lastRenderedPageBreak/>
        <w:t>Appendix B. Forests and Land Use</w:t>
      </w:r>
      <w:bookmarkEnd w:id="52"/>
    </w:p>
    <w:p w14:paraId="6A86CA99" w14:textId="6DCDA6D7" w:rsidR="00E965AD" w:rsidRPr="00E03CCE" w:rsidRDefault="0CDBF178">
      <w:r>
        <w:t xml:space="preserve">Forest emissions include CO2 sequestration in biomass in primary and secondary forests, as well as harvested wood products, CH4 from mangrove ecosystems, and CO2 from forest fires. Land-use emissions include CO2 emissions derived from converting forest land to other types of land. Land-use changes are specified using a transition matrix for all land-use types and modeled in response to changing demands for livestock and crops. Forestry is divided into primary forest, secondary forests, and mangroves. These categories reflect an aggregation of forestry types into emission-relevant categories. Land-use types include croplands, grasslands, settlements, wetlands, forests-mangroves, forests-primary, and forests-secondary. </w:t>
      </w:r>
    </w:p>
    <w:p w14:paraId="3E392779" w14:textId="77777777" w:rsidR="006B5EC5" w:rsidRDefault="006B5EC5" w:rsidP="001E2BF8">
      <w:pPr>
        <w:ind w:firstLine="0"/>
      </w:pPr>
    </w:p>
    <w:p w14:paraId="754C6750" w14:textId="3914BC9B" w:rsidR="006B5EC5" w:rsidRPr="00B94640" w:rsidRDefault="0CDBF178" w:rsidP="005A562F">
      <w:pPr>
        <w:pStyle w:val="Heading2"/>
      </w:pPr>
      <w:bookmarkStart w:id="53" w:name="_Toc152088246"/>
      <w:r>
        <w:t>Land-Use Historical Data and Projections</w:t>
      </w:r>
      <w:bookmarkEnd w:id="53"/>
    </w:p>
    <w:p w14:paraId="14B8686B" w14:textId="12B395DA" w:rsidR="00380264" w:rsidRDefault="0CDBF178">
      <w:r>
        <w:t xml:space="preserve">Forest and land-use emissions are a product of the data in Table B.1. Model parameters are calibrated to match model’s emissions estimates in the Land Use and Forestry sector available at Climate Watch (2022), </w:t>
      </w:r>
      <w:r w:rsidR="005A562F">
        <w:t xml:space="preserve">combined </w:t>
      </w:r>
      <w:r>
        <w:t>with forestland sequestration estimates available at the UN FAO</w:t>
      </w:r>
      <w:r w:rsidRPr="0CDBF178">
        <w:rPr>
          <w:rFonts w:eastAsia="Arial"/>
        </w:rPr>
        <w:t xml:space="preserve"> Emissions database (FAO, 2023g)</w:t>
      </w:r>
      <w:r>
        <w:t>. The set of calibrated parameters is comprised of transition probabilities for different land-use transitions. Estimated baseline values are modulated to reflect specific national contexts.</w:t>
      </w:r>
    </w:p>
    <w:p w14:paraId="43D31172" w14:textId="713EB851" w:rsidR="000E7FCE" w:rsidRDefault="0CDBF178">
      <w:pPr>
        <w:pStyle w:val="Heading9"/>
      </w:pPr>
      <w:bookmarkStart w:id="54" w:name="_Toc152088319"/>
      <w:r w:rsidRPr="0CDBF178">
        <w:rPr>
          <w:rFonts w:eastAsia="Arial"/>
        </w:rPr>
        <w:t>Table B.1 Data and methods</w:t>
      </w:r>
      <w:bookmarkEnd w:id="54"/>
    </w:p>
    <w:tbl>
      <w:tblPr>
        <w:tblStyle w:val="TableGrid"/>
        <w:tblW w:w="0" w:type="auto"/>
        <w:tblLayout w:type="fixed"/>
        <w:tblLook w:val="0620" w:firstRow="1" w:lastRow="0" w:firstColumn="0" w:lastColumn="0" w:noHBand="1" w:noVBand="1"/>
      </w:tblPr>
      <w:tblGrid>
        <w:gridCol w:w="2250"/>
        <w:gridCol w:w="3510"/>
        <w:gridCol w:w="3600"/>
      </w:tblGrid>
      <w:tr w:rsidR="000E7FCE" w14:paraId="364EA573" w14:textId="77777777" w:rsidTr="48B0C125">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366846EF" w14:textId="77777777" w:rsidR="000E7FCE" w:rsidRDefault="000E7FCE">
            <w:r>
              <w:rPr>
                <w:rFonts w:eastAsia="Arial" w:cs="Arial"/>
                <w:b/>
                <w:bCs/>
                <w:sz w:val="18"/>
                <w:szCs w:val="18"/>
              </w:rPr>
              <w:t>Data</w:t>
            </w:r>
          </w:p>
        </w:tc>
        <w:tc>
          <w:tcPr>
            <w:tcW w:w="3510" w:type="dxa"/>
            <w:tcBorders>
              <w:left w:val="nil"/>
              <w:right w:val="nil"/>
            </w:tcBorders>
          </w:tcPr>
          <w:p w14:paraId="5976009C" w14:textId="63D44C84" w:rsidR="000E7FCE" w:rsidRDefault="27B2A08E" w:rsidP="27B2A08E">
            <w:pPr>
              <w:jc w:val="center"/>
            </w:pPr>
            <w:r w:rsidRPr="27B2A08E">
              <w:rPr>
                <w:rFonts w:eastAsia="Arial" w:cs="Arial"/>
                <w:b/>
                <w:bCs/>
                <w:sz w:val="18"/>
                <w:szCs w:val="18"/>
              </w:rPr>
              <w:t>Method For historical data</w:t>
            </w:r>
          </w:p>
        </w:tc>
        <w:tc>
          <w:tcPr>
            <w:tcW w:w="3600" w:type="dxa"/>
            <w:tcBorders>
              <w:left w:val="nil"/>
              <w:right w:val="nil"/>
            </w:tcBorders>
          </w:tcPr>
          <w:p w14:paraId="1F024CF2" w14:textId="3E566534" w:rsidR="000E7FCE" w:rsidRDefault="27B2A08E">
            <w:pPr>
              <w:jc w:val="center"/>
            </w:pPr>
            <w:r w:rsidRPr="27B2A08E">
              <w:rPr>
                <w:rFonts w:eastAsia="Arial" w:cs="Arial"/>
                <w:b/>
                <w:bCs/>
                <w:sz w:val="18"/>
                <w:szCs w:val="18"/>
              </w:rPr>
              <w:t>Method for projections</w:t>
            </w:r>
          </w:p>
        </w:tc>
      </w:tr>
      <w:tr w:rsidR="000E7FCE" w14:paraId="4FB2B645" w14:textId="77777777" w:rsidTr="48B0C125">
        <w:tc>
          <w:tcPr>
            <w:tcW w:w="2250" w:type="dxa"/>
            <w:tcBorders>
              <w:top w:val="nil"/>
              <w:left w:val="nil"/>
              <w:bottom w:val="nil"/>
              <w:right w:val="nil"/>
            </w:tcBorders>
          </w:tcPr>
          <w:p w14:paraId="022DF5D6" w14:textId="2AAB89F8" w:rsidR="000E7FCE" w:rsidRDefault="27B2A08E" w:rsidP="27B2A08E">
            <w:pPr>
              <w:pStyle w:val="TableBody"/>
            </w:pPr>
            <w:r w:rsidRPr="27B2A08E">
              <w:rPr>
                <w:rFonts w:eastAsia="Arial"/>
              </w:rPr>
              <w:t>Land-use conversion emission factor</w:t>
            </w:r>
          </w:p>
        </w:tc>
        <w:tc>
          <w:tcPr>
            <w:tcW w:w="3510" w:type="dxa"/>
            <w:tcBorders>
              <w:top w:val="nil"/>
              <w:left w:val="nil"/>
              <w:bottom w:val="nil"/>
              <w:right w:val="nil"/>
            </w:tcBorders>
          </w:tcPr>
          <w:p w14:paraId="65A0F2E5" w14:textId="01CBCFBE" w:rsidR="000139AB" w:rsidRDefault="0CDBF178">
            <w:pPr>
              <w:pStyle w:val="TableBody"/>
            </w:pPr>
            <w:r>
              <w:t xml:space="preserve">Emissions factors are derived from biomass stock factors found in </w:t>
            </w:r>
            <w:r w:rsidRPr="0CDBF178">
              <w:rPr>
                <w:rFonts w:eastAsia="Arial"/>
              </w:rPr>
              <w:t xml:space="preserve">IPCC Guidelines for National Greenhouse Gas Inventories, </w:t>
            </w:r>
            <w:r>
              <w:t>volume 4, Tables 4.12 and 6.4</w:t>
            </w:r>
            <w:r w:rsidRPr="0CDBF178">
              <w:rPr>
                <w:rFonts w:eastAsia="Arial"/>
              </w:rPr>
              <w:t xml:space="preserve"> (IPPC, 2019).</w:t>
            </w:r>
          </w:p>
          <w:p w14:paraId="383CCA0A" w14:textId="1B7FE87E" w:rsidR="000E7FCE" w:rsidRDefault="000E7FCE" w:rsidP="00096B5F">
            <w:pPr>
              <w:pStyle w:val="TableBody"/>
            </w:pPr>
          </w:p>
        </w:tc>
        <w:tc>
          <w:tcPr>
            <w:tcW w:w="3600" w:type="dxa"/>
            <w:tcBorders>
              <w:top w:val="nil"/>
              <w:left w:val="nil"/>
              <w:bottom w:val="nil"/>
              <w:right w:val="nil"/>
            </w:tcBorders>
          </w:tcPr>
          <w:p w14:paraId="0F1FBD6D" w14:textId="5D8B4445" w:rsidR="000E7FCE" w:rsidRDefault="00386190">
            <w:pPr>
              <w:pStyle w:val="TableBody"/>
            </w:pPr>
            <w:r>
              <w:rPr>
                <w:rFonts w:eastAsia="Arial"/>
              </w:rPr>
              <w:t>Emission factors are assumed to be constant</w:t>
            </w:r>
            <w:r w:rsidR="03757DE5" w:rsidRPr="03757DE5">
              <w:rPr>
                <w:rFonts w:eastAsia="Arial"/>
              </w:rPr>
              <w:t>.</w:t>
            </w:r>
          </w:p>
        </w:tc>
      </w:tr>
      <w:tr w:rsidR="000E7FCE" w14:paraId="12D9675C" w14:textId="77777777" w:rsidTr="48B0C125">
        <w:trPr>
          <w:trHeight w:val="185"/>
        </w:trPr>
        <w:tc>
          <w:tcPr>
            <w:tcW w:w="2250" w:type="dxa"/>
            <w:tcBorders>
              <w:top w:val="nil"/>
              <w:left w:val="nil"/>
              <w:bottom w:val="nil"/>
              <w:right w:val="nil"/>
            </w:tcBorders>
          </w:tcPr>
          <w:p w14:paraId="16074D56" w14:textId="177A0930" w:rsidR="000E7FCE" w:rsidRDefault="27B2A08E" w:rsidP="27B2A08E">
            <w:pPr>
              <w:pStyle w:val="TableBody"/>
              <w:rPr>
                <w:rFonts w:eastAsia="Arial"/>
              </w:rPr>
            </w:pPr>
            <w:r w:rsidRPr="27B2A08E">
              <w:rPr>
                <w:rFonts w:eastAsia="Arial"/>
              </w:rPr>
              <w:t>Initial land-use area proportion</w:t>
            </w:r>
          </w:p>
        </w:tc>
        <w:tc>
          <w:tcPr>
            <w:tcW w:w="3510" w:type="dxa"/>
            <w:tcBorders>
              <w:top w:val="nil"/>
              <w:left w:val="nil"/>
              <w:bottom w:val="nil"/>
              <w:right w:val="nil"/>
            </w:tcBorders>
          </w:tcPr>
          <w:p w14:paraId="384E5800" w14:textId="20542864" w:rsidR="00DE72EA" w:rsidRPr="0021021C" w:rsidRDefault="0CDBF178">
            <w:pPr>
              <w:pStyle w:val="TableBody"/>
              <w:rPr>
                <w:rFonts w:eastAsia="Arial"/>
              </w:rPr>
            </w:pPr>
            <w:r w:rsidRPr="0CDBF178">
              <w:rPr>
                <w:rFonts w:eastAsia="Arial"/>
              </w:rPr>
              <w:t>Proportions of different land-use types are estimated using the UN FAO Land Use database (FAO, 2023e) and Land Cover database (FAO, 2023f).</w:t>
            </w:r>
          </w:p>
          <w:p w14:paraId="312E8EAC" w14:textId="13280413" w:rsidR="00A86396" w:rsidRPr="7726BEE2" w:rsidRDefault="00A86396" w:rsidP="00DE72EA">
            <w:pPr>
              <w:pStyle w:val="TableBody"/>
              <w:rPr>
                <w:rFonts w:eastAsia="Arial"/>
              </w:rPr>
            </w:pPr>
          </w:p>
        </w:tc>
        <w:tc>
          <w:tcPr>
            <w:tcW w:w="3600" w:type="dxa"/>
            <w:tcBorders>
              <w:top w:val="nil"/>
              <w:left w:val="nil"/>
              <w:bottom w:val="nil"/>
              <w:right w:val="nil"/>
            </w:tcBorders>
          </w:tcPr>
          <w:p w14:paraId="1DEC71E0" w14:textId="50E91290" w:rsidR="000E7FCE" w:rsidRPr="3126604F" w:rsidRDefault="27B2A08E">
            <w:pPr>
              <w:pStyle w:val="TableBody"/>
              <w:rPr>
                <w:rFonts w:eastAsia="Arial"/>
              </w:rPr>
            </w:pPr>
            <w:r w:rsidRPr="27B2A08E">
              <w:rPr>
                <w:rFonts w:eastAsia="Arial"/>
              </w:rPr>
              <w:t>Changes in land-use area are determined endogenously in the model as a function of expected transition probabilities, agriculture production, meat demand and deforestation rates.</w:t>
            </w:r>
          </w:p>
        </w:tc>
      </w:tr>
      <w:tr w:rsidR="000E7FCE" w14:paraId="7A404A93" w14:textId="77777777" w:rsidTr="48B0C125">
        <w:tc>
          <w:tcPr>
            <w:tcW w:w="2250" w:type="dxa"/>
            <w:tcBorders>
              <w:top w:val="nil"/>
              <w:left w:val="nil"/>
              <w:bottom w:val="nil"/>
              <w:right w:val="nil"/>
            </w:tcBorders>
          </w:tcPr>
          <w:p w14:paraId="395EE4C0" w14:textId="50528F6E" w:rsidR="000E7FCE" w:rsidRDefault="27B2A08E" w:rsidP="27B2A08E">
            <w:pPr>
              <w:pStyle w:val="TableBody"/>
              <w:rPr>
                <w:rFonts w:eastAsia="Arial"/>
              </w:rPr>
            </w:pPr>
            <w:r w:rsidRPr="27B2A08E">
              <w:rPr>
                <w:rFonts w:eastAsia="Arial"/>
              </w:rPr>
              <w:t xml:space="preserve">Land-use climate fractions </w:t>
            </w:r>
          </w:p>
        </w:tc>
        <w:tc>
          <w:tcPr>
            <w:tcW w:w="3510" w:type="dxa"/>
            <w:tcBorders>
              <w:top w:val="nil"/>
              <w:left w:val="nil"/>
              <w:bottom w:val="nil"/>
              <w:right w:val="nil"/>
            </w:tcBorders>
          </w:tcPr>
          <w:p w14:paraId="78B76C22" w14:textId="77C12B5A" w:rsidR="006C56A2" w:rsidRDefault="0CDBF178" w:rsidP="00244BDA">
            <w:pPr>
              <w:pStyle w:val="TableBody"/>
              <w:rPr>
                <w:rFonts w:eastAsia="Arial"/>
              </w:rPr>
            </w:pPr>
            <w:r w:rsidRPr="0CDBF178">
              <w:rPr>
                <w:rFonts w:eastAsia="Arial"/>
              </w:rPr>
              <w:t xml:space="preserve">Land-use types by </w:t>
            </w:r>
            <w:proofErr w:type="spellStart"/>
            <w:r w:rsidRPr="0CDBF178">
              <w:rPr>
                <w:rFonts w:eastAsia="Arial" w:cs="Arial"/>
              </w:rPr>
              <w:t>Köppen</w:t>
            </w:r>
            <w:proofErr w:type="spellEnd"/>
            <w:r w:rsidRPr="0CDBF178">
              <w:rPr>
                <w:rFonts w:eastAsia="Arial" w:cs="Arial"/>
              </w:rPr>
              <w:t xml:space="preserve"> Climate Classification</w:t>
            </w:r>
            <w:r w:rsidRPr="0CDBF178">
              <w:rPr>
                <w:rFonts w:eastAsia="Arial"/>
              </w:rPr>
              <w:t xml:space="preserve"> are derived from </w:t>
            </w:r>
            <w:proofErr w:type="spellStart"/>
            <w:r w:rsidRPr="0CDBF178">
              <w:rPr>
                <w:rFonts w:eastAsia="Arial"/>
              </w:rPr>
              <w:t>KGClim</w:t>
            </w:r>
            <w:proofErr w:type="spellEnd"/>
            <w:r w:rsidRPr="0CDBF178">
              <w:rPr>
                <w:rFonts w:eastAsia="Arial"/>
              </w:rPr>
              <w:t xml:space="preserve"> 1 km data 1987-2013 averages (Cui et al., 2021). These fractions are combined with climate-dependent default IPCC factors across AFOLU to determine country-level average factors, including emissions from soil mineral carbon, forest sequestration, and biomass </w:t>
            </w:r>
            <w:r w:rsidRPr="0CDBF178">
              <w:rPr>
                <w:rFonts w:eastAsia="Arial" w:cs="Arial"/>
              </w:rPr>
              <w:t xml:space="preserve">emissions from land-use </w:t>
            </w:r>
            <w:r w:rsidRPr="0CDBF178">
              <w:rPr>
                <w:rFonts w:eastAsia="Arial"/>
              </w:rPr>
              <w:t>conversion.</w:t>
            </w:r>
          </w:p>
          <w:p w14:paraId="087A79A9" w14:textId="7ACF53AA" w:rsidR="006C56A2" w:rsidRDefault="006C56A2" w:rsidP="00244BDA">
            <w:pPr>
              <w:pStyle w:val="TableBody"/>
              <w:rPr>
                <w:rFonts w:eastAsia="Arial"/>
              </w:rPr>
            </w:pPr>
          </w:p>
        </w:tc>
        <w:tc>
          <w:tcPr>
            <w:tcW w:w="3600" w:type="dxa"/>
            <w:tcBorders>
              <w:top w:val="nil"/>
              <w:left w:val="nil"/>
              <w:bottom w:val="nil"/>
              <w:right w:val="nil"/>
            </w:tcBorders>
          </w:tcPr>
          <w:p w14:paraId="5D9A0F0D" w14:textId="4BA0E4E0" w:rsidR="000E7FCE" w:rsidRPr="3126604F" w:rsidRDefault="03757DE5">
            <w:pPr>
              <w:pStyle w:val="TableBody"/>
              <w:rPr>
                <w:rFonts w:eastAsia="Arial"/>
              </w:rPr>
            </w:pPr>
            <w:r w:rsidRPr="03757DE5">
              <w:rPr>
                <w:rFonts w:eastAsia="Arial"/>
              </w:rPr>
              <w:t>Country climate classification fractions</w:t>
            </w:r>
            <w:r w:rsidR="00094EFB">
              <w:rPr>
                <w:rFonts w:eastAsia="Arial"/>
              </w:rPr>
              <w:t xml:space="preserve"> are assumed to be constant</w:t>
            </w:r>
            <w:r w:rsidRPr="03757DE5">
              <w:rPr>
                <w:rFonts w:eastAsia="Arial"/>
              </w:rPr>
              <w:t>.</w:t>
            </w:r>
          </w:p>
        </w:tc>
      </w:tr>
      <w:tr w:rsidR="03757DE5" w14:paraId="756E6A68" w14:textId="77777777" w:rsidTr="48B0C125">
        <w:trPr>
          <w:trHeight w:val="300"/>
        </w:trPr>
        <w:tc>
          <w:tcPr>
            <w:tcW w:w="2250" w:type="dxa"/>
            <w:tcBorders>
              <w:top w:val="nil"/>
              <w:left w:val="nil"/>
              <w:bottom w:val="nil"/>
              <w:right w:val="nil"/>
            </w:tcBorders>
          </w:tcPr>
          <w:p w14:paraId="5012D284" w14:textId="6E1CE0B0" w:rsidR="03757DE5" w:rsidRDefault="27B2A08E" w:rsidP="27B2A08E">
            <w:pPr>
              <w:pStyle w:val="TableBody"/>
              <w:rPr>
                <w:rFonts w:eastAsia="Arial"/>
              </w:rPr>
            </w:pPr>
            <w:r w:rsidRPr="27B2A08E">
              <w:rPr>
                <w:rFonts w:eastAsia="Arial"/>
              </w:rPr>
              <w:lastRenderedPageBreak/>
              <w:t>Soil organic carbon stocks</w:t>
            </w:r>
          </w:p>
        </w:tc>
        <w:tc>
          <w:tcPr>
            <w:tcW w:w="3510" w:type="dxa"/>
            <w:tcBorders>
              <w:top w:val="nil"/>
              <w:left w:val="nil"/>
              <w:bottom w:val="nil"/>
              <w:right w:val="nil"/>
            </w:tcBorders>
          </w:tcPr>
          <w:p w14:paraId="5C8829B7" w14:textId="62206C80" w:rsidR="03757DE5" w:rsidRDefault="0CDBF178" w:rsidP="03757DE5">
            <w:pPr>
              <w:pStyle w:val="TableBody"/>
              <w:rPr>
                <w:rFonts w:eastAsia="Arial"/>
              </w:rPr>
            </w:pPr>
            <w:r>
              <w:t xml:space="preserve">Soil organic carbon stock estimates are based on </w:t>
            </w:r>
            <w:proofErr w:type="spellStart"/>
            <w:r>
              <w:t>SoilGrids</w:t>
            </w:r>
            <w:proofErr w:type="spellEnd"/>
            <w:r>
              <w:t xml:space="preserve"> 1 km 0-30 cm global gridded organic carbon stock data (Poggio et al., 2021).</w:t>
            </w:r>
          </w:p>
        </w:tc>
        <w:tc>
          <w:tcPr>
            <w:tcW w:w="3600" w:type="dxa"/>
            <w:tcBorders>
              <w:top w:val="nil"/>
              <w:left w:val="nil"/>
              <w:bottom w:val="nil"/>
              <w:right w:val="nil"/>
            </w:tcBorders>
          </w:tcPr>
          <w:p w14:paraId="323777BD" w14:textId="6A904427" w:rsidR="03757DE5" w:rsidRDefault="03757DE5" w:rsidP="03757DE5">
            <w:pPr>
              <w:pStyle w:val="TableBody"/>
              <w:rPr>
                <w:rFonts w:eastAsia="Arial"/>
              </w:rPr>
            </w:pPr>
            <w:r w:rsidRPr="03757DE5">
              <w:rPr>
                <w:rFonts w:eastAsia="Arial"/>
              </w:rPr>
              <w:t xml:space="preserve">Average per unit carbon stocks </w:t>
            </w:r>
            <w:proofErr w:type="gramStart"/>
            <w:r w:rsidRPr="03757DE5">
              <w:rPr>
                <w:rFonts w:eastAsia="Arial"/>
              </w:rPr>
              <w:t>are</w:t>
            </w:r>
            <w:proofErr w:type="gramEnd"/>
            <w:r w:rsidRPr="03757DE5">
              <w:rPr>
                <w:rFonts w:eastAsia="Arial"/>
              </w:rPr>
              <w:t xml:space="preserve"> assumed to be constant.</w:t>
            </w:r>
          </w:p>
        </w:tc>
      </w:tr>
      <w:tr w:rsidR="000E7FCE" w14:paraId="491C4B41" w14:textId="77777777" w:rsidTr="48B0C125">
        <w:tc>
          <w:tcPr>
            <w:tcW w:w="2250" w:type="dxa"/>
            <w:tcBorders>
              <w:top w:val="nil"/>
              <w:left w:val="nil"/>
              <w:bottom w:val="nil"/>
              <w:right w:val="nil"/>
            </w:tcBorders>
          </w:tcPr>
          <w:p w14:paraId="0F79D5FA" w14:textId="4B9FD27D" w:rsidR="000E7FCE" w:rsidRDefault="27B2A08E" w:rsidP="27B2A08E">
            <w:pPr>
              <w:pStyle w:val="TableBody"/>
            </w:pPr>
            <w:r w:rsidRPr="27B2A08E">
              <w:rPr>
                <w:rFonts w:eastAsia="Arial"/>
              </w:rPr>
              <w:t>Land-use transition probability</w:t>
            </w:r>
          </w:p>
        </w:tc>
        <w:tc>
          <w:tcPr>
            <w:tcW w:w="3510" w:type="dxa"/>
            <w:tcBorders>
              <w:top w:val="nil"/>
              <w:left w:val="nil"/>
              <w:bottom w:val="nil"/>
              <w:right w:val="nil"/>
            </w:tcBorders>
          </w:tcPr>
          <w:p w14:paraId="2184BDAF" w14:textId="327B798F" w:rsidR="00C95F04" w:rsidRDefault="0CDBF178">
            <w:pPr>
              <w:pStyle w:val="TableBody"/>
            </w:pPr>
            <w:r>
              <w:t xml:space="preserve">Estimated using FAO’s Land Use database </w:t>
            </w:r>
            <w:r w:rsidRPr="0CDBF178">
              <w:rPr>
                <w:rFonts w:eastAsia="Arial"/>
              </w:rPr>
              <w:t>(FAO, 2023e)</w:t>
            </w:r>
            <w:r>
              <w:t xml:space="preserve">, Land Cover database </w:t>
            </w:r>
            <w:r w:rsidRPr="0CDBF178">
              <w:rPr>
                <w:rFonts w:eastAsia="Arial"/>
              </w:rPr>
              <w:t xml:space="preserve">(FAO, 2023f), </w:t>
            </w:r>
            <w:r>
              <w:t xml:space="preserve">and Emissions database </w:t>
            </w:r>
            <w:r w:rsidRPr="0CDBF178">
              <w:rPr>
                <w:rFonts w:eastAsia="Arial"/>
              </w:rPr>
              <w:t>(FAO, 2023g)</w:t>
            </w:r>
            <w:r>
              <w:t xml:space="preserve">. FAO items are mapped into </w:t>
            </w:r>
            <w:proofErr w:type="spellStart"/>
            <w:r>
              <w:t>SiSePuede</w:t>
            </w:r>
            <w:proofErr w:type="spellEnd"/>
            <w:r>
              <w:t xml:space="preserve"> items; transition probabilities are estimated based on observed land-use changes and forest regeneration rates.  </w:t>
            </w:r>
          </w:p>
          <w:p w14:paraId="739BE716" w14:textId="77777777" w:rsidR="00C95F04" w:rsidRDefault="00C95F04" w:rsidP="003878C3">
            <w:pPr>
              <w:pStyle w:val="TableBody"/>
              <w:rPr>
                <w:szCs w:val="18"/>
              </w:rPr>
            </w:pPr>
          </w:p>
        </w:tc>
        <w:tc>
          <w:tcPr>
            <w:tcW w:w="3600" w:type="dxa"/>
            <w:tcBorders>
              <w:top w:val="nil"/>
              <w:left w:val="nil"/>
              <w:bottom w:val="nil"/>
              <w:right w:val="nil"/>
            </w:tcBorders>
          </w:tcPr>
          <w:p w14:paraId="136948D8" w14:textId="17F6F20B" w:rsidR="000E7FCE" w:rsidRDefault="00985173">
            <w:pPr>
              <w:pStyle w:val="TableBody"/>
              <w:rPr>
                <w:rFonts w:eastAsia="Arial"/>
              </w:rPr>
            </w:pPr>
            <w:r>
              <w:rPr>
                <w:rFonts w:eastAsia="Arial"/>
              </w:rPr>
              <w:t>Baseline projection assume</w:t>
            </w:r>
            <w:r w:rsidR="00094EFB">
              <w:rPr>
                <w:rFonts w:eastAsia="Arial"/>
              </w:rPr>
              <w:t>s</w:t>
            </w:r>
            <w:r>
              <w:rPr>
                <w:rFonts w:eastAsia="Arial"/>
              </w:rPr>
              <w:t xml:space="preserve"> expansion of </w:t>
            </w:r>
            <w:r w:rsidR="00416DAE">
              <w:rPr>
                <w:rFonts w:eastAsia="Arial"/>
              </w:rPr>
              <w:t>crops</w:t>
            </w:r>
            <w:r>
              <w:rPr>
                <w:rFonts w:eastAsia="Arial"/>
              </w:rPr>
              <w:t xml:space="preserve"> and grasslands and a reduction</w:t>
            </w:r>
            <w:r w:rsidR="00094EFB">
              <w:rPr>
                <w:rFonts w:eastAsia="Arial"/>
              </w:rPr>
              <w:t xml:space="preserve"> in</w:t>
            </w:r>
            <w:r>
              <w:rPr>
                <w:rFonts w:eastAsia="Arial"/>
              </w:rPr>
              <w:t xml:space="preserve"> primary and secondary forest. </w:t>
            </w:r>
          </w:p>
        </w:tc>
      </w:tr>
      <w:tr w:rsidR="00086D0C" w14:paraId="45FAF617" w14:textId="77777777" w:rsidTr="48B0C125">
        <w:tc>
          <w:tcPr>
            <w:tcW w:w="2250" w:type="dxa"/>
            <w:tcBorders>
              <w:top w:val="nil"/>
              <w:left w:val="nil"/>
              <w:bottom w:val="nil"/>
              <w:right w:val="nil"/>
            </w:tcBorders>
          </w:tcPr>
          <w:p w14:paraId="3F136F81" w14:textId="3243C3AE" w:rsidR="00086D0C" w:rsidRDefault="0CDBF178" w:rsidP="0CDBF178">
            <w:pPr>
              <w:pStyle w:val="TableBody"/>
              <w:rPr>
                <w:rFonts w:eastAsia="Arial"/>
              </w:rPr>
            </w:pPr>
            <w:r w:rsidRPr="0CDBF178">
              <w:rPr>
                <w:rFonts w:eastAsia="Arial"/>
              </w:rPr>
              <w:t>Forest fire emission factor</w:t>
            </w:r>
          </w:p>
          <w:p w14:paraId="557C8BF0" w14:textId="218D2965" w:rsidR="00086D0C" w:rsidRPr="003878C3" w:rsidRDefault="00086D0C">
            <w:pPr>
              <w:pStyle w:val="TableBody"/>
              <w:rPr>
                <w:rFonts w:eastAsia="Arial"/>
              </w:rPr>
            </w:pPr>
          </w:p>
        </w:tc>
        <w:tc>
          <w:tcPr>
            <w:tcW w:w="3510" w:type="dxa"/>
            <w:tcBorders>
              <w:top w:val="nil"/>
              <w:left w:val="nil"/>
              <w:bottom w:val="nil"/>
              <w:right w:val="nil"/>
            </w:tcBorders>
          </w:tcPr>
          <w:p w14:paraId="5605CC46" w14:textId="080A5506" w:rsidR="007E5A5F" w:rsidRDefault="0CDBF178" w:rsidP="0CDBF178">
            <w:pPr>
              <w:pStyle w:val="TableBody"/>
            </w:pPr>
            <w:r>
              <w:t xml:space="preserve">Factors are based on </w:t>
            </w:r>
            <w:r w:rsidRPr="0CDBF178">
              <w:rPr>
                <w:rFonts w:eastAsia="Arial"/>
              </w:rPr>
              <w:t xml:space="preserve">IPCC Guidelines for National Greenhouse Gas Inventories, </w:t>
            </w:r>
            <w:r>
              <w:t>volume 4, chapter 2, Table 2.4</w:t>
            </w:r>
            <w:r w:rsidRPr="0CDBF178">
              <w:rPr>
                <w:rFonts w:eastAsia="Arial"/>
              </w:rPr>
              <w:t xml:space="preserve"> (IPPC, 2019).</w:t>
            </w:r>
          </w:p>
          <w:p w14:paraId="26115247" w14:textId="02087503" w:rsidR="007E5A5F" w:rsidRDefault="007E5A5F" w:rsidP="00DA1F5D">
            <w:pPr>
              <w:pStyle w:val="TableBody"/>
              <w:rPr>
                <w:szCs w:val="18"/>
              </w:rPr>
            </w:pPr>
          </w:p>
        </w:tc>
        <w:tc>
          <w:tcPr>
            <w:tcW w:w="3600" w:type="dxa"/>
            <w:tcBorders>
              <w:top w:val="nil"/>
              <w:left w:val="nil"/>
              <w:bottom w:val="nil"/>
              <w:right w:val="nil"/>
            </w:tcBorders>
          </w:tcPr>
          <w:p w14:paraId="018E2A57" w14:textId="36CC7EA6" w:rsidR="00086D0C" w:rsidRDefault="00094EFB">
            <w:pPr>
              <w:pStyle w:val="TableBody"/>
              <w:rPr>
                <w:rFonts w:eastAsia="Arial"/>
              </w:rPr>
            </w:pPr>
            <w:r>
              <w:rPr>
                <w:rFonts w:eastAsia="Arial"/>
              </w:rPr>
              <w:t>Factors are assumed to be constant</w:t>
            </w:r>
            <w:r w:rsidR="03757DE5" w:rsidRPr="03757DE5">
              <w:rPr>
                <w:rFonts w:eastAsia="Arial"/>
              </w:rPr>
              <w:t>.</w:t>
            </w:r>
          </w:p>
        </w:tc>
      </w:tr>
      <w:tr w:rsidR="009C7AEC" w14:paraId="62CB65A3" w14:textId="77777777" w:rsidTr="48B0C125">
        <w:tc>
          <w:tcPr>
            <w:tcW w:w="2250" w:type="dxa"/>
            <w:tcBorders>
              <w:top w:val="nil"/>
              <w:left w:val="nil"/>
              <w:bottom w:val="nil"/>
              <w:right w:val="nil"/>
            </w:tcBorders>
          </w:tcPr>
          <w:p w14:paraId="02145C1C" w14:textId="7319E269" w:rsidR="009C7AEC" w:rsidRPr="008D1E7E" w:rsidRDefault="0CDBF178" w:rsidP="0CDBF178">
            <w:pPr>
              <w:pStyle w:val="TableBody"/>
              <w:rPr>
                <w:rFonts w:eastAsia="Arial"/>
              </w:rPr>
            </w:pPr>
            <w:r w:rsidRPr="0CDBF178">
              <w:rPr>
                <w:rFonts w:eastAsia="Arial"/>
              </w:rPr>
              <w:t>Forest sequestration factor</w:t>
            </w:r>
          </w:p>
        </w:tc>
        <w:tc>
          <w:tcPr>
            <w:tcW w:w="3510" w:type="dxa"/>
            <w:tcBorders>
              <w:top w:val="nil"/>
              <w:left w:val="nil"/>
              <w:bottom w:val="nil"/>
              <w:right w:val="nil"/>
            </w:tcBorders>
          </w:tcPr>
          <w:p w14:paraId="235C5FCC" w14:textId="66F6728A" w:rsidR="009C7AEC" w:rsidRDefault="0CDBF178">
            <w:pPr>
              <w:pStyle w:val="TableBody"/>
              <w:rPr>
                <w:rFonts w:eastAsia="Arial"/>
              </w:rPr>
            </w:pPr>
            <w:r>
              <w:t xml:space="preserve">Forest sequestration factors are based by combining IPCC forest-type biomass factors (Table 4.12, IPCC, 2019) with country-level overlays of </w:t>
            </w:r>
            <w:proofErr w:type="spellStart"/>
            <w:r w:rsidRPr="0CDBF178">
              <w:rPr>
                <w:rFonts w:eastAsia="Arial" w:cs="Arial"/>
              </w:rPr>
              <w:t>Köppen</w:t>
            </w:r>
            <w:proofErr w:type="spellEnd"/>
            <w:r w:rsidRPr="0CDBF178">
              <w:rPr>
                <w:rFonts w:eastAsia="Arial" w:cs="Arial"/>
              </w:rPr>
              <w:t xml:space="preserve"> Climate Classification</w:t>
            </w:r>
            <w:r w:rsidRPr="0CDBF178">
              <w:rPr>
                <w:rFonts w:eastAsia="Arial"/>
              </w:rPr>
              <w:t xml:space="preserve"> (Cui et al., 2021) and land</w:t>
            </w:r>
            <w:r>
              <w:t>-</w:t>
            </w:r>
            <w:r w:rsidRPr="0CDBF178">
              <w:rPr>
                <w:rFonts w:eastAsia="Arial"/>
              </w:rPr>
              <w:t>use type (FAO, 2014) to country-specific factors by forest type.</w:t>
            </w:r>
          </w:p>
          <w:p w14:paraId="621E5578" w14:textId="074F7B1C" w:rsidR="000701C8" w:rsidRDefault="000701C8" w:rsidP="003878C3">
            <w:pPr>
              <w:pStyle w:val="TableBody"/>
              <w:rPr>
                <w:szCs w:val="18"/>
              </w:rPr>
            </w:pPr>
          </w:p>
        </w:tc>
        <w:tc>
          <w:tcPr>
            <w:tcW w:w="3600" w:type="dxa"/>
            <w:tcBorders>
              <w:top w:val="nil"/>
              <w:left w:val="nil"/>
              <w:bottom w:val="nil"/>
              <w:right w:val="nil"/>
            </w:tcBorders>
          </w:tcPr>
          <w:p w14:paraId="40C1B862" w14:textId="4283A1EF" w:rsidR="009C7AEC" w:rsidRDefault="48B0C125">
            <w:pPr>
              <w:pStyle w:val="TableBody"/>
              <w:rPr>
                <w:rFonts w:eastAsia="Arial"/>
              </w:rPr>
            </w:pPr>
            <w:r w:rsidRPr="48B0C125">
              <w:rPr>
                <w:rFonts w:eastAsia="Arial"/>
              </w:rPr>
              <w:t>Sequestration factors are assumed to be constant at baseline.</w:t>
            </w:r>
          </w:p>
        </w:tc>
      </w:tr>
      <w:tr w:rsidR="000E7FCE" w14:paraId="5389D1A9" w14:textId="77777777" w:rsidTr="48B0C125">
        <w:tc>
          <w:tcPr>
            <w:tcW w:w="2250" w:type="dxa"/>
            <w:tcBorders>
              <w:top w:val="nil"/>
              <w:left w:val="nil"/>
              <w:bottom w:val="nil"/>
              <w:right w:val="nil"/>
            </w:tcBorders>
          </w:tcPr>
          <w:p w14:paraId="411CB48F" w14:textId="77777777" w:rsidR="000E7FCE" w:rsidRDefault="000E7FCE">
            <w:pPr>
              <w:pStyle w:val="TableBody"/>
              <w:rPr>
                <w:rFonts w:eastAsia="Arial"/>
              </w:rPr>
            </w:pPr>
            <w:r>
              <w:rPr>
                <w:rFonts w:eastAsia="Arial"/>
              </w:rPr>
              <w:t>Total emissions</w:t>
            </w:r>
          </w:p>
        </w:tc>
        <w:tc>
          <w:tcPr>
            <w:tcW w:w="3510" w:type="dxa"/>
            <w:tcBorders>
              <w:top w:val="nil"/>
              <w:left w:val="nil"/>
              <w:bottom w:val="nil"/>
              <w:right w:val="nil"/>
            </w:tcBorders>
          </w:tcPr>
          <w:p w14:paraId="0547A580" w14:textId="761A3850" w:rsidR="000E7FCE" w:rsidRDefault="0CDBF178">
            <w:pPr>
              <w:pStyle w:val="TableBody"/>
              <w:rPr>
                <w:rFonts w:eastAsia="Arial"/>
              </w:rPr>
            </w:pPr>
            <w:r w:rsidRPr="0CDBF178">
              <w:rPr>
                <w:rFonts w:eastAsia="Arial"/>
              </w:rPr>
              <w:t xml:space="preserve">Historical sector emissions are used in the calibration process. Emissions data for calibration are obtained from Climate Watch (2022). Sequestered emissions in forestland are estimated using FAO’s </w:t>
            </w:r>
            <w:r>
              <w:t xml:space="preserve">Emissions database </w:t>
            </w:r>
            <w:r w:rsidRPr="0CDBF178">
              <w:rPr>
                <w:rFonts w:eastAsia="Arial"/>
              </w:rPr>
              <w:t>(FAO, 2023g).</w:t>
            </w:r>
          </w:p>
        </w:tc>
        <w:tc>
          <w:tcPr>
            <w:tcW w:w="3600" w:type="dxa"/>
            <w:tcBorders>
              <w:top w:val="nil"/>
              <w:left w:val="nil"/>
              <w:bottom w:val="nil"/>
              <w:right w:val="nil"/>
            </w:tcBorders>
          </w:tcPr>
          <w:p w14:paraId="28A4C0EB" w14:textId="52405FD8" w:rsidR="000E7FCE" w:rsidRDefault="000E7FCE">
            <w:pPr>
              <w:pStyle w:val="TableBody"/>
              <w:rPr>
                <w:rFonts w:eastAsia="Arial"/>
              </w:rPr>
            </w:pPr>
            <w:r>
              <w:rPr>
                <w:rFonts w:eastAsia="Arial"/>
              </w:rPr>
              <w:t xml:space="preserve">Total emissions are calculated based on </w:t>
            </w:r>
            <w:r w:rsidR="006808E1">
              <w:rPr>
                <w:rFonts w:eastAsia="Arial"/>
              </w:rPr>
              <w:t>the am</w:t>
            </w:r>
            <w:r w:rsidR="0056572B">
              <w:rPr>
                <w:rFonts w:eastAsia="Arial"/>
              </w:rPr>
              <w:t xml:space="preserve">ount of secondary and primary forest sequestering emissions, and conversion emissions resulting from </w:t>
            </w:r>
            <w:r w:rsidR="00FA471A">
              <w:rPr>
                <w:rFonts w:eastAsia="Arial"/>
              </w:rPr>
              <w:t xml:space="preserve">converting primary and secondary forests into other land uses. </w:t>
            </w:r>
          </w:p>
        </w:tc>
      </w:tr>
      <w:tr w:rsidR="000E7FCE" w:rsidRPr="00126325" w14:paraId="2E9C62DF" w14:textId="77777777" w:rsidTr="48B0C125">
        <w:tc>
          <w:tcPr>
            <w:tcW w:w="9360" w:type="dxa"/>
            <w:gridSpan w:val="3"/>
            <w:tcBorders>
              <w:top w:val="single" w:sz="4" w:space="0" w:color="auto"/>
              <w:left w:val="nil"/>
              <w:bottom w:val="nil"/>
              <w:right w:val="nil"/>
            </w:tcBorders>
          </w:tcPr>
          <w:p w14:paraId="676F299D" w14:textId="75C98FD3" w:rsidR="000E7FCE" w:rsidRPr="00126325" w:rsidRDefault="000E7FCE">
            <w:pPr>
              <w:pStyle w:val="TableNote"/>
              <w:rPr>
                <w:rFonts w:eastAsia="Arial"/>
              </w:rPr>
            </w:pPr>
          </w:p>
        </w:tc>
      </w:tr>
    </w:tbl>
    <w:p w14:paraId="27099A11" w14:textId="77777777" w:rsidR="000E7FCE" w:rsidRPr="00703DC2" w:rsidRDefault="000E7FCE" w:rsidP="000E7FCE"/>
    <w:p w14:paraId="1BB0BF73" w14:textId="53CC20FC" w:rsidR="00E82574" w:rsidRDefault="0CDBF178" w:rsidP="005A562F">
      <w:pPr>
        <w:pStyle w:val="Heading2"/>
      </w:pPr>
      <w:bookmarkStart w:id="55" w:name="_Toc152088247"/>
      <w:r>
        <w:t>Forests and Land-Use Transformations</w:t>
      </w:r>
      <w:bookmarkEnd w:id="55"/>
    </w:p>
    <w:p w14:paraId="6CBF6256" w14:textId="7E9A1A5C" w:rsidR="00E82574" w:rsidRPr="00E82574" w:rsidRDefault="0CDBF178" w:rsidP="0CDBF178">
      <w:r>
        <w:t xml:space="preserve">Table B.2 shows transformations to reduce emissions from forests and land use. It includes rehabilitation of degraded land and stopping deforestation. Table B.2 shows the technical costs and benefits of these transformations. </w:t>
      </w:r>
    </w:p>
    <w:p w14:paraId="53372DA8" w14:textId="4CA0DE97" w:rsidR="00042697" w:rsidRPr="00042697" w:rsidRDefault="0CDBF178">
      <w:pPr>
        <w:pStyle w:val="Heading9"/>
      </w:pPr>
      <w:bookmarkStart w:id="56" w:name="_Toc152088320"/>
      <w:r>
        <w:t>Table B.2 Forestry transformations</w:t>
      </w:r>
      <w:bookmarkEnd w:id="56"/>
    </w:p>
    <w:tbl>
      <w:tblPr>
        <w:tblStyle w:val="TableGrid"/>
        <w:tblW w:w="5000" w:type="pct"/>
        <w:tblCellMar>
          <w:top w:w="86" w:type="dxa"/>
          <w:bottom w:w="86" w:type="dxa"/>
        </w:tblCellMar>
        <w:tblLook w:val="0620" w:firstRow="1" w:lastRow="0" w:firstColumn="0" w:lastColumn="0" w:noHBand="1" w:noVBand="1"/>
      </w:tblPr>
      <w:tblGrid>
        <w:gridCol w:w="1685"/>
        <w:gridCol w:w="4148"/>
        <w:gridCol w:w="3527"/>
      </w:tblGrid>
      <w:tr w:rsidR="00FF5FA3" w:rsidRPr="00C114A8" w14:paraId="5A09345F"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1685" w:type="dxa"/>
            <w:tcMar>
              <w:top w:w="0" w:type="nil"/>
              <w:bottom w:w="0" w:type="nil"/>
              <w:right w:w="0" w:type="nil"/>
            </w:tcMar>
          </w:tcPr>
          <w:p w14:paraId="776D88B8" w14:textId="77777777" w:rsidR="00FF5FA3" w:rsidRPr="00C114A8" w:rsidRDefault="00FF5FA3" w:rsidP="00D02EDF">
            <w:pPr>
              <w:pStyle w:val="TableColHeading"/>
              <w:jc w:val="left"/>
            </w:pPr>
            <w:r>
              <w:t>Transformation</w:t>
            </w:r>
          </w:p>
        </w:tc>
        <w:tc>
          <w:tcPr>
            <w:tcW w:w="4148" w:type="dxa"/>
          </w:tcPr>
          <w:p w14:paraId="4022E2EB" w14:textId="77777777" w:rsidR="00FF5FA3" w:rsidRPr="00C114A8" w:rsidRDefault="00FF5FA3" w:rsidP="00D02EDF">
            <w:pPr>
              <w:pStyle w:val="TableColHeading"/>
            </w:pPr>
            <w:r>
              <w:t>Description</w:t>
            </w:r>
          </w:p>
        </w:tc>
        <w:tc>
          <w:tcPr>
            <w:tcW w:w="3527" w:type="dxa"/>
          </w:tcPr>
          <w:p w14:paraId="156836C1" w14:textId="77777777" w:rsidR="00FF5FA3" w:rsidRDefault="00FF5FA3" w:rsidP="00D02EDF">
            <w:pPr>
              <w:pStyle w:val="TableColHeading"/>
            </w:pPr>
            <w:r>
              <w:t>Implementation</w:t>
            </w:r>
          </w:p>
        </w:tc>
      </w:tr>
      <w:tr w:rsidR="00FF5FA3" w:rsidRPr="00C114A8" w14:paraId="50BFDD97" w14:textId="77777777" w:rsidTr="0CDBF178">
        <w:tc>
          <w:tcPr>
            <w:tcW w:w="1685" w:type="dxa"/>
            <w:tcBorders>
              <w:bottom w:val="nil"/>
            </w:tcBorders>
            <w:tcMar>
              <w:top w:w="0" w:type="nil"/>
              <w:bottom w:w="0" w:type="nil"/>
              <w:right w:w="0" w:type="nil"/>
            </w:tcMar>
          </w:tcPr>
          <w:p w14:paraId="2E2B0B70" w14:textId="27E27DB1" w:rsidR="00FF5FA3" w:rsidRDefault="00FF5FA3" w:rsidP="00D02EDF">
            <w:pPr>
              <w:pStyle w:val="TableBody"/>
            </w:pPr>
            <w:r>
              <w:t>Rehabilitating degraded land</w:t>
            </w:r>
          </w:p>
        </w:tc>
        <w:tc>
          <w:tcPr>
            <w:tcW w:w="4148" w:type="dxa"/>
            <w:tcBorders>
              <w:bottom w:val="nil"/>
            </w:tcBorders>
          </w:tcPr>
          <w:p w14:paraId="446282E2" w14:textId="60779010" w:rsidR="00FF5FA3" w:rsidRDefault="00701280" w:rsidP="00D02EDF">
            <w:pPr>
              <w:pStyle w:val="TableBody"/>
            </w:pPr>
            <w:r>
              <w:t xml:space="preserve">Returns </w:t>
            </w:r>
            <w:r w:rsidR="00336D85">
              <w:t xml:space="preserve">some fraction of grassland and </w:t>
            </w:r>
            <w:r w:rsidR="0012345D">
              <w:t>cropland to secondary forest.</w:t>
            </w:r>
          </w:p>
        </w:tc>
        <w:tc>
          <w:tcPr>
            <w:tcW w:w="3527" w:type="dxa"/>
            <w:tcBorders>
              <w:bottom w:val="nil"/>
            </w:tcBorders>
          </w:tcPr>
          <w:p w14:paraId="1243DE9D" w14:textId="01916387" w:rsidR="00FF5FA3" w:rsidRDefault="0012345D" w:rsidP="00D02EDF">
            <w:pPr>
              <w:pStyle w:val="TableBody"/>
            </w:pPr>
            <w:r>
              <w:t>At maximum implementation, 20% of grassland and cropland is reforested</w:t>
            </w:r>
            <w:r w:rsidR="003617FD">
              <w:t xml:space="preserve"> by 2050</w:t>
            </w:r>
            <w:r>
              <w:t>.</w:t>
            </w:r>
          </w:p>
        </w:tc>
      </w:tr>
      <w:tr w:rsidR="00FF5FA3" w:rsidRPr="00C114A8" w14:paraId="57B43EFF" w14:textId="77777777" w:rsidTr="0CDBF178">
        <w:tc>
          <w:tcPr>
            <w:tcW w:w="1685" w:type="dxa"/>
            <w:tcBorders>
              <w:top w:val="nil"/>
              <w:bottom w:val="single" w:sz="4" w:space="0" w:color="auto"/>
            </w:tcBorders>
            <w:tcMar>
              <w:top w:w="0" w:type="nil"/>
              <w:bottom w:w="0" w:type="nil"/>
              <w:right w:w="0" w:type="nil"/>
            </w:tcMar>
          </w:tcPr>
          <w:p w14:paraId="6BA4B84E" w14:textId="74D03035" w:rsidR="00FF5FA3" w:rsidRDefault="003617FD" w:rsidP="00D02EDF">
            <w:pPr>
              <w:pStyle w:val="TableBody"/>
            </w:pPr>
            <w:r>
              <w:t>Slowing or e</w:t>
            </w:r>
            <w:r w:rsidR="00701280">
              <w:t>nding deforestation</w:t>
            </w:r>
            <w:r w:rsidR="00FF5FA3">
              <w:t xml:space="preserve"> </w:t>
            </w:r>
          </w:p>
        </w:tc>
        <w:tc>
          <w:tcPr>
            <w:tcW w:w="4148" w:type="dxa"/>
            <w:tcBorders>
              <w:top w:val="nil"/>
              <w:bottom w:val="single" w:sz="4" w:space="0" w:color="auto"/>
            </w:tcBorders>
          </w:tcPr>
          <w:p w14:paraId="293F68FF" w14:textId="622BC7C8" w:rsidR="00FF5FA3" w:rsidRDefault="0CDBF178" w:rsidP="00D02EDF">
            <w:pPr>
              <w:pStyle w:val="TableBody"/>
            </w:pPr>
            <w:r>
              <w:t xml:space="preserve">The deforestation rate is slowed, or deforestation is ended. </w:t>
            </w:r>
          </w:p>
        </w:tc>
        <w:tc>
          <w:tcPr>
            <w:tcW w:w="3527" w:type="dxa"/>
            <w:tcBorders>
              <w:top w:val="nil"/>
              <w:bottom w:val="single" w:sz="4" w:space="0" w:color="auto"/>
            </w:tcBorders>
          </w:tcPr>
          <w:p w14:paraId="00ABBE68" w14:textId="124AB68A" w:rsidR="00FF5FA3" w:rsidRDefault="003617FD" w:rsidP="00D02EDF">
            <w:pPr>
              <w:pStyle w:val="TableBody"/>
            </w:pPr>
            <w:r>
              <w:t xml:space="preserve">At maximum implementation, deforestation is halted in </w:t>
            </w:r>
            <w:r w:rsidR="27D37F11">
              <w:t>2030</w:t>
            </w:r>
            <w:r>
              <w:t>.</w:t>
            </w:r>
          </w:p>
        </w:tc>
      </w:tr>
    </w:tbl>
    <w:p w14:paraId="26AE237D" w14:textId="77777777" w:rsidR="00884C7D" w:rsidRDefault="00884C7D" w:rsidP="00884C7D"/>
    <w:p w14:paraId="1445493F" w14:textId="77777777" w:rsidR="00976E24" w:rsidRDefault="00976E24" w:rsidP="00976E24"/>
    <w:p w14:paraId="084A4FA4" w14:textId="011EF1A3" w:rsidR="00884C7D" w:rsidRPr="00884C7D" w:rsidRDefault="00976E24" w:rsidP="00AD7B48">
      <w:r>
        <w:lastRenderedPageBreak/>
        <w:t xml:space="preserve">The value of ecosystem services is deeply uncertain. We use a single value for all forests to avoid false precision and use nominal values within the range of ecosystem services found </w:t>
      </w:r>
      <w:r w:rsidR="00450F24">
        <w:t>in</w:t>
      </w:r>
      <w:r>
        <w:t xml:space="preserve"> the literature (Taye et al., 2021, Table 3; Costanza et al., 2014, Table S.1).</w:t>
      </w:r>
    </w:p>
    <w:p w14:paraId="746AC902" w14:textId="24B9BB66" w:rsidR="00042697" w:rsidRDefault="00005A8E" w:rsidP="0CDBF178">
      <w:pPr>
        <w:pStyle w:val="Heading9"/>
      </w:pPr>
      <w:r>
        <w:br w:type="page"/>
      </w:r>
      <w:bookmarkStart w:id="57" w:name="_Toc152088321"/>
      <w:r w:rsidR="0CDBF178">
        <w:lastRenderedPageBreak/>
        <w:t>Table B.3 Forestry transformations’ emissions, costs, and benefits</w:t>
      </w:r>
      <w:bookmarkEnd w:id="57"/>
    </w:p>
    <w:tbl>
      <w:tblPr>
        <w:tblStyle w:val="TableGrid"/>
        <w:tblW w:w="5000" w:type="pct"/>
        <w:tblCellMar>
          <w:top w:w="86" w:type="dxa"/>
          <w:bottom w:w="86" w:type="dxa"/>
        </w:tblCellMar>
        <w:tblLook w:val="0620" w:firstRow="1" w:lastRow="0" w:firstColumn="0" w:lastColumn="0" w:noHBand="1" w:noVBand="1"/>
      </w:tblPr>
      <w:tblGrid>
        <w:gridCol w:w="1872"/>
        <w:gridCol w:w="1872"/>
        <w:gridCol w:w="1872"/>
        <w:gridCol w:w="1872"/>
        <w:gridCol w:w="1872"/>
      </w:tblGrid>
      <w:tr w:rsidR="00042697" w:rsidRPr="00C114A8" w14:paraId="0F4A7A46"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1872" w:type="dxa"/>
            <w:tcMar>
              <w:top w:w="0" w:type="nil"/>
              <w:bottom w:w="0" w:type="nil"/>
              <w:right w:w="0" w:type="nil"/>
            </w:tcMar>
          </w:tcPr>
          <w:p w14:paraId="3FAE37DB" w14:textId="77777777" w:rsidR="00042697" w:rsidRPr="00C114A8" w:rsidRDefault="00042697" w:rsidP="00D02EDF">
            <w:pPr>
              <w:pStyle w:val="TableColHeading"/>
              <w:jc w:val="left"/>
            </w:pPr>
            <w:r>
              <w:t>Transformation</w:t>
            </w:r>
          </w:p>
        </w:tc>
        <w:tc>
          <w:tcPr>
            <w:tcW w:w="1872" w:type="dxa"/>
          </w:tcPr>
          <w:p w14:paraId="19A19637" w14:textId="77777777" w:rsidR="00042697" w:rsidRPr="00C114A8" w:rsidRDefault="00042697" w:rsidP="00D02EDF">
            <w:pPr>
              <w:pStyle w:val="TableColHeading"/>
            </w:pPr>
            <w:r>
              <w:t>Emissions</w:t>
            </w:r>
          </w:p>
        </w:tc>
        <w:tc>
          <w:tcPr>
            <w:tcW w:w="1872" w:type="dxa"/>
          </w:tcPr>
          <w:p w14:paraId="670C84A9" w14:textId="5A9CE0C8" w:rsidR="00042697" w:rsidRDefault="00042697" w:rsidP="00D02EDF">
            <w:pPr>
              <w:pStyle w:val="TableColHeading"/>
            </w:pPr>
            <w:r>
              <w:t>Benefits</w:t>
            </w:r>
          </w:p>
        </w:tc>
        <w:tc>
          <w:tcPr>
            <w:tcW w:w="1872" w:type="dxa"/>
          </w:tcPr>
          <w:p w14:paraId="664A2893" w14:textId="77777777" w:rsidR="00042697" w:rsidRDefault="00042697" w:rsidP="00D02EDF">
            <w:pPr>
              <w:pStyle w:val="TableColHeading"/>
            </w:pPr>
            <w:r>
              <w:t>Cost</w:t>
            </w:r>
          </w:p>
        </w:tc>
        <w:tc>
          <w:tcPr>
            <w:tcW w:w="1872" w:type="dxa"/>
          </w:tcPr>
          <w:p w14:paraId="46037FCB" w14:textId="77777777" w:rsidR="00042697" w:rsidRDefault="00042697" w:rsidP="00D02EDF">
            <w:pPr>
              <w:pStyle w:val="TableColHeading"/>
            </w:pPr>
            <w:r>
              <w:t>Source</w:t>
            </w:r>
          </w:p>
        </w:tc>
      </w:tr>
      <w:tr w:rsidR="00042697" w:rsidRPr="00C114A8" w14:paraId="39D49FCF" w14:textId="77777777" w:rsidTr="0CDBF178">
        <w:tc>
          <w:tcPr>
            <w:tcW w:w="1872" w:type="dxa"/>
            <w:tcMar>
              <w:top w:w="0" w:type="nil"/>
              <w:bottom w:w="0" w:type="nil"/>
              <w:right w:w="0" w:type="nil"/>
            </w:tcMar>
          </w:tcPr>
          <w:p w14:paraId="374175A5" w14:textId="6EA275BE" w:rsidR="00042697" w:rsidRDefault="00042697" w:rsidP="00042697">
            <w:pPr>
              <w:pStyle w:val="TableBody"/>
            </w:pPr>
            <w:r>
              <w:t>Rehabilitating degraded land</w:t>
            </w:r>
          </w:p>
        </w:tc>
        <w:tc>
          <w:tcPr>
            <w:tcW w:w="1872" w:type="dxa"/>
          </w:tcPr>
          <w:p w14:paraId="14469DCB" w14:textId="05B1121F" w:rsidR="00042697" w:rsidRDefault="00042697" w:rsidP="00042697">
            <w:pPr>
              <w:pStyle w:val="TableBody"/>
            </w:pPr>
            <w:r>
              <w:t>Endogenously calculated</w:t>
            </w:r>
          </w:p>
        </w:tc>
        <w:tc>
          <w:tcPr>
            <w:tcW w:w="1872" w:type="dxa"/>
          </w:tcPr>
          <w:p w14:paraId="74204358" w14:textId="23F3E083" w:rsidR="00042697" w:rsidRDefault="0CDBF178" w:rsidP="0CDBF178">
            <w:pPr>
              <w:pStyle w:val="TableBody"/>
            </w:pPr>
            <w:r>
              <w:t>Ecosystem services of forests valued in Table B.2</w:t>
            </w:r>
          </w:p>
        </w:tc>
        <w:tc>
          <w:tcPr>
            <w:tcW w:w="1872" w:type="dxa"/>
          </w:tcPr>
          <w:p w14:paraId="14C47591" w14:textId="502F7C36" w:rsidR="00042697" w:rsidRDefault="00042697" w:rsidP="00042697">
            <w:pPr>
              <w:pStyle w:val="TableBody"/>
            </w:pPr>
            <w:r>
              <w:t>$</w:t>
            </w:r>
            <w:r w:rsidR="00852F07">
              <w:t>45</w:t>
            </w:r>
            <w:r>
              <w:t xml:space="preserve"> / hectare</w:t>
            </w:r>
            <w:r w:rsidR="00852F07">
              <w:t xml:space="preserve"> / year</w:t>
            </w:r>
            <w:r>
              <w:t xml:space="preserve"> to turn grassland or cropland to secondary forest</w:t>
            </w:r>
            <w:r>
              <w:br/>
            </w:r>
            <w:r>
              <w:br/>
            </w:r>
          </w:p>
          <w:p w14:paraId="4FDEF30C" w14:textId="77777777" w:rsidR="00042697" w:rsidRDefault="00042697" w:rsidP="00042697">
            <w:pPr>
              <w:pStyle w:val="TableBody"/>
            </w:pPr>
          </w:p>
        </w:tc>
        <w:tc>
          <w:tcPr>
            <w:tcW w:w="1872" w:type="dxa"/>
          </w:tcPr>
          <w:p w14:paraId="371EF61E" w14:textId="30B7B6CA" w:rsidR="00042697" w:rsidRDefault="0CDBF178" w:rsidP="00042697">
            <w:pPr>
              <w:pStyle w:val="TableBody"/>
            </w:pPr>
            <w:r>
              <w:t>Fargione et al. (2021), estimate a range of per-hectare costs of reforestation across the United States. We use the average for the US ($1,262/ha) and adjust to LAC, amortizing this cost over 15 years.</w:t>
            </w:r>
          </w:p>
        </w:tc>
      </w:tr>
      <w:tr w:rsidR="00042697" w:rsidRPr="00C114A8" w14:paraId="46C4B998" w14:textId="77777777" w:rsidTr="0CDBF178">
        <w:tc>
          <w:tcPr>
            <w:tcW w:w="1872" w:type="dxa"/>
            <w:tcBorders>
              <w:bottom w:val="nil"/>
            </w:tcBorders>
            <w:tcMar>
              <w:top w:w="0" w:type="nil"/>
              <w:bottom w:w="0" w:type="nil"/>
              <w:right w:w="0" w:type="nil"/>
            </w:tcMar>
          </w:tcPr>
          <w:p w14:paraId="2D03A9E8" w14:textId="36D539CE" w:rsidR="00042697" w:rsidRDefault="00042697" w:rsidP="00042697">
            <w:pPr>
              <w:pStyle w:val="TableBody"/>
            </w:pPr>
            <w:r>
              <w:t xml:space="preserve">Slowing or ending deforestation </w:t>
            </w:r>
          </w:p>
        </w:tc>
        <w:tc>
          <w:tcPr>
            <w:tcW w:w="1872" w:type="dxa"/>
            <w:tcBorders>
              <w:bottom w:val="nil"/>
            </w:tcBorders>
          </w:tcPr>
          <w:p w14:paraId="0099FDBB" w14:textId="3DD505EA" w:rsidR="00042697" w:rsidRDefault="00042697" w:rsidP="00042697">
            <w:pPr>
              <w:pStyle w:val="TableBody"/>
            </w:pPr>
            <w:r>
              <w:t>Endogenously calculated</w:t>
            </w:r>
          </w:p>
        </w:tc>
        <w:tc>
          <w:tcPr>
            <w:tcW w:w="1872" w:type="dxa"/>
            <w:tcBorders>
              <w:bottom w:val="nil"/>
            </w:tcBorders>
          </w:tcPr>
          <w:p w14:paraId="2EA7973F" w14:textId="615B2557" w:rsidR="00042697" w:rsidRDefault="0CDBF178" w:rsidP="00042697">
            <w:pPr>
              <w:pStyle w:val="TableBody"/>
            </w:pPr>
            <w:r>
              <w:t xml:space="preserve">Ecosystem services of forests valued </w:t>
            </w:r>
            <w:proofErr w:type="gramStart"/>
            <w:r>
              <w:t>in  Table</w:t>
            </w:r>
            <w:proofErr w:type="gramEnd"/>
            <w:r>
              <w:t xml:space="preserve"> B.2</w:t>
            </w:r>
          </w:p>
        </w:tc>
        <w:tc>
          <w:tcPr>
            <w:tcW w:w="1872" w:type="dxa"/>
            <w:tcBorders>
              <w:bottom w:val="nil"/>
            </w:tcBorders>
          </w:tcPr>
          <w:p w14:paraId="44B6001C" w14:textId="6BD92BD5" w:rsidR="00042697" w:rsidRDefault="00870BEA" w:rsidP="00042697">
            <w:pPr>
              <w:pStyle w:val="TableBody"/>
            </w:pPr>
            <w:r>
              <w:t>F</w:t>
            </w:r>
            <w:r w:rsidR="00226295" w:rsidRPr="00226295">
              <w:t xml:space="preserve">oregone </w:t>
            </w:r>
            <w:r w:rsidR="00656DAE">
              <w:t xml:space="preserve">annual </w:t>
            </w:r>
            <w:r w:rsidR="00226295" w:rsidRPr="00226295">
              <w:t xml:space="preserve">agricultural </w:t>
            </w:r>
            <w:r w:rsidR="00226295">
              <w:t xml:space="preserve">or livestock </w:t>
            </w:r>
            <w:r w:rsidR="00226295" w:rsidRPr="00226295">
              <w:t xml:space="preserve">revenue </w:t>
            </w:r>
            <w:r w:rsidR="00AF3E00">
              <w:t>(endogenously calculated</w:t>
            </w:r>
            <w:r w:rsidR="00384869">
              <w:t xml:space="preserve"> based on the productivity per acre</w:t>
            </w:r>
            <w:r w:rsidR="00AF3E00">
              <w:t>)</w:t>
            </w:r>
          </w:p>
        </w:tc>
        <w:tc>
          <w:tcPr>
            <w:tcW w:w="1872" w:type="dxa"/>
            <w:tcBorders>
              <w:bottom w:val="nil"/>
            </w:tcBorders>
          </w:tcPr>
          <w:p w14:paraId="152EFDA1" w14:textId="29EA01C9" w:rsidR="00226295" w:rsidRDefault="0CDBF178" w:rsidP="00042697">
            <w:pPr>
              <w:pStyle w:val="TableBody"/>
            </w:pPr>
            <w:r>
              <w:t>See above</w:t>
            </w:r>
            <w:r w:rsidR="005A562F">
              <w:t xml:space="preserve"> table</w:t>
            </w:r>
            <w:r>
              <w:t>.</w:t>
            </w:r>
          </w:p>
        </w:tc>
      </w:tr>
      <w:tr w:rsidR="00042697" w:rsidRPr="00C114A8" w14:paraId="493EA7DD" w14:textId="77777777" w:rsidTr="0CDBF178">
        <w:tc>
          <w:tcPr>
            <w:tcW w:w="9360" w:type="dxa"/>
            <w:gridSpan w:val="5"/>
            <w:tcBorders>
              <w:top w:val="single" w:sz="4" w:space="0" w:color="auto"/>
              <w:bottom w:val="nil"/>
            </w:tcBorders>
            <w:tcMar>
              <w:top w:w="0" w:type="nil"/>
              <w:bottom w:w="0" w:type="nil"/>
              <w:right w:w="0" w:type="nil"/>
            </w:tcMar>
          </w:tcPr>
          <w:p w14:paraId="4A79E150" w14:textId="77777777" w:rsidR="00384869" w:rsidRDefault="00384869" w:rsidP="00D02EDF">
            <w:pPr>
              <w:pStyle w:val="TableBody"/>
            </w:pPr>
          </w:p>
          <w:p w14:paraId="589E3AB2" w14:textId="50BE45FF" w:rsidR="00042697" w:rsidRDefault="00042697" w:rsidP="00D02EDF">
            <w:pPr>
              <w:pStyle w:val="TableBody"/>
            </w:pPr>
            <w:r>
              <w:t xml:space="preserve"> </w:t>
            </w:r>
          </w:p>
        </w:tc>
      </w:tr>
    </w:tbl>
    <w:p w14:paraId="528BC279" w14:textId="03BAA407" w:rsidR="00005A8E" w:rsidRDefault="00005A8E"/>
    <w:p w14:paraId="28FD90A4" w14:textId="77777777" w:rsidR="00884C7D" w:rsidRDefault="00884C7D">
      <w:pPr>
        <w:rPr>
          <w:rFonts w:ascii="Arial" w:hAnsi="Arial"/>
          <w:sz w:val="32"/>
          <w:szCs w:val="20"/>
        </w:rPr>
      </w:pPr>
    </w:p>
    <w:p w14:paraId="481011C9" w14:textId="77777777" w:rsidR="001A3211" w:rsidRDefault="001A3211" w:rsidP="001A3211"/>
    <w:p w14:paraId="6AE2AEC1" w14:textId="1723CAFB" w:rsidR="001A3211" w:rsidRPr="001A3211" w:rsidRDefault="001A3211" w:rsidP="001A3211"/>
    <w:p w14:paraId="3ACE7AEC" w14:textId="2D938AE9" w:rsidR="00A91A36" w:rsidRDefault="00767038" w:rsidP="005A562F">
      <w:pPr>
        <w:rPr>
          <w:rFonts w:eastAsia="Arial" w:cs="Arial"/>
        </w:rPr>
      </w:pPr>
      <w:r>
        <w:br w:type="page"/>
      </w:r>
    </w:p>
    <w:p w14:paraId="2BF6A751" w14:textId="313C0C22" w:rsidR="37345C14" w:rsidRDefault="37345C14" w:rsidP="37345C14">
      <w:pPr>
        <w:pStyle w:val="Heading1"/>
      </w:pPr>
      <w:bookmarkStart w:id="58" w:name="_Toc152088248"/>
      <w:r w:rsidRPr="37345C14">
        <w:rPr>
          <w:rFonts w:eastAsia="Arial" w:cs="Arial"/>
          <w:szCs w:val="32"/>
        </w:rPr>
        <w:lastRenderedPageBreak/>
        <w:t xml:space="preserve">Appendix </w:t>
      </w:r>
      <w:r w:rsidR="00A91A36">
        <w:rPr>
          <w:rFonts w:eastAsia="Arial" w:cs="Arial"/>
          <w:szCs w:val="32"/>
        </w:rPr>
        <w:t>C</w:t>
      </w:r>
      <w:r w:rsidRPr="37345C14">
        <w:rPr>
          <w:rFonts w:eastAsia="Arial" w:cs="Arial"/>
          <w:szCs w:val="32"/>
        </w:rPr>
        <w:t xml:space="preserve">. </w:t>
      </w:r>
      <w:r w:rsidR="00393F73">
        <w:rPr>
          <w:rFonts w:eastAsia="Arial" w:cs="Arial"/>
          <w:szCs w:val="32"/>
        </w:rPr>
        <w:t>Industry</w:t>
      </w:r>
      <w:bookmarkEnd w:id="58"/>
    </w:p>
    <w:p w14:paraId="55CA613E" w14:textId="18AFF60F" w:rsidR="00CA5D53" w:rsidRDefault="0CDBF178" w:rsidP="0CDBF178">
      <w:r>
        <w:t xml:space="preserve">Industry includes production of cement, chemical products, construction and demolition, electronics, glass, metals, and other products and </w:t>
      </w:r>
      <w:proofErr w:type="gramStart"/>
      <w:r>
        <w:t>product</w:t>
      </w:r>
      <w:proofErr w:type="gramEnd"/>
      <w:r>
        <w:t xml:space="preserve"> uses. The emissions from this sector depend upon the quantity of product demanded, the emissions associated with industrial processes to create that product, the amount of energy needed to enable those processes, and the sources of energy used. Correspondingly, emissions reductions can be achieved by reducing the amount of product created, using lower-emitting input materials and processes, increasing the processes’ energy efficiency, and using cleaner energy sources. </w:t>
      </w:r>
    </w:p>
    <w:p w14:paraId="06F5C91A" w14:textId="77777777" w:rsidR="00A44581" w:rsidRDefault="00A44581" w:rsidP="00CA5D53"/>
    <w:p w14:paraId="7CF3D3F0" w14:textId="4178526B" w:rsidR="00A44581" w:rsidRDefault="0CDBF178" w:rsidP="005A562F">
      <w:pPr>
        <w:pStyle w:val="Heading2"/>
      </w:pPr>
      <w:bookmarkStart w:id="59" w:name="_Toc152088249"/>
      <w:r>
        <w:t>Industry Historical Data and Projections</w:t>
      </w:r>
      <w:bookmarkEnd w:id="59"/>
    </w:p>
    <w:p w14:paraId="6502B45D" w14:textId="43753021" w:rsidR="00741BC0" w:rsidRDefault="0CDBF178" w:rsidP="00E371A8">
      <w:r>
        <w:t>Industrial emissions are specific to each industry, but in general are a product of the data in Table C.1.</w:t>
      </w:r>
    </w:p>
    <w:p w14:paraId="1E79D3EE" w14:textId="7A7EFB30" w:rsidR="00A45D1D" w:rsidRPr="002804AA" w:rsidRDefault="0CDBF178">
      <w:pPr>
        <w:pStyle w:val="Heading9"/>
      </w:pPr>
      <w:bookmarkStart w:id="60" w:name="_Toc152088322"/>
      <w:r w:rsidRPr="0CDBF178">
        <w:rPr>
          <w:rFonts w:eastAsia="Arial"/>
        </w:rPr>
        <w:t>Table C.1 Data and methods</w:t>
      </w:r>
      <w:bookmarkEnd w:id="60"/>
    </w:p>
    <w:tbl>
      <w:tblPr>
        <w:tblStyle w:val="TableGrid"/>
        <w:tblW w:w="0" w:type="auto"/>
        <w:tblLayout w:type="fixed"/>
        <w:tblLook w:val="0620" w:firstRow="1" w:lastRow="0" w:firstColumn="0" w:lastColumn="0" w:noHBand="1" w:noVBand="1"/>
      </w:tblPr>
      <w:tblGrid>
        <w:gridCol w:w="2250"/>
        <w:gridCol w:w="3510"/>
        <w:gridCol w:w="3600"/>
      </w:tblGrid>
      <w:tr w:rsidR="00F825E6" w14:paraId="25CAC7BF"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23CA9667" w14:textId="7633E714" w:rsidR="00F825E6" w:rsidRDefault="00725A1A" w:rsidP="002B02E7">
            <w:r>
              <w:rPr>
                <w:rFonts w:eastAsia="Arial" w:cs="Arial"/>
                <w:b/>
                <w:bCs/>
                <w:sz w:val="18"/>
                <w:szCs w:val="18"/>
              </w:rPr>
              <w:t>Data</w:t>
            </w:r>
          </w:p>
        </w:tc>
        <w:tc>
          <w:tcPr>
            <w:tcW w:w="3510" w:type="dxa"/>
            <w:tcBorders>
              <w:left w:val="nil"/>
              <w:right w:val="nil"/>
            </w:tcBorders>
          </w:tcPr>
          <w:p w14:paraId="2DF8AD2F" w14:textId="7F14C823" w:rsidR="00F825E6"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3818ADA8" w14:textId="57C3E339" w:rsidR="00F825E6" w:rsidRDefault="0CDBF178">
            <w:pPr>
              <w:jc w:val="center"/>
            </w:pPr>
            <w:r w:rsidRPr="0CDBF178">
              <w:rPr>
                <w:rFonts w:eastAsia="Arial" w:cs="Arial"/>
                <w:b/>
                <w:bCs/>
                <w:sz w:val="18"/>
                <w:szCs w:val="18"/>
              </w:rPr>
              <w:t>Method for projections</w:t>
            </w:r>
          </w:p>
        </w:tc>
      </w:tr>
      <w:tr w:rsidR="00F825E6" w14:paraId="56DC1D61" w14:textId="77777777" w:rsidTr="7654BBD9">
        <w:tc>
          <w:tcPr>
            <w:tcW w:w="2250" w:type="dxa"/>
            <w:tcBorders>
              <w:top w:val="nil"/>
              <w:left w:val="nil"/>
              <w:bottom w:val="nil"/>
              <w:right w:val="nil"/>
            </w:tcBorders>
          </w:tcPr>
          <w:p w14:paraId="64D9F1BD" w14:textId="5D5BC983" w:rsidR="00F825E6" w:rsidRDefault="00F825E6" w:rsidP="002B02E7">
            <w:pPr>
              <w:pStyle w:val="TableBody"/>
            </w:pPr>
            <w:r>
              <w:rPr>
                <w:rFonts w:eastAsia="Arial"/>
              </w:rPr>
              <w:t>Quantity of industrial output per industry</w:t>
            </w:r>
            <w:r w:rsidR="00466A4C">
              <w:rPr>
                <w:rFonts w:eastAsia="Arial"/>
              </w:rPr>
              <w:t xml:space="preserve"> per country</w:t>
            </w:r>
          </w:p>
        </w:tc>
        <w:tc>
          <w:tcPr>
            <w:tcW w:w="3510" w:type="dxa"/>
            <w:tcBorders>
              <w:top w:val="nil"/>
              <w:left w:val="nil"/>
              <w:bottom w:val="nil"/>
              <w:right w:val="nil"/>
            </w:tcBorders>
          </w:tcPr>
          <w:p w14:paraId="181BC7E3" w14:textId="28F56196" w:rsidR="00F825E6" w:rsidRDefault="7654BBD9" w:rsidP="002B02E7">
            <w:pPr>
              <w:pStyle w:val="TableBody"/>
            </w:pPr>
            <w:r w:rsidRPr="7654BBD9">
              <w:rPr>
                <w:rFonts w:eastAsia="Arial"/>
              </w:rPr>
              <w:t>Estimated using Atlas of Economic C</w:t>
            </w:r>
            <w:r w:rsidRPr="00154F9E">
              <w:rPr>
                <w:rFonts w:eastAsia="Arial"/>
              </w:rPr>
              <w:t>omplexity (Harvard, 2023)</w:t>
            </w:r>
            <w:r w:rsidRPr="7654BBD9">
              <w:rPr>
                <w:rFonts w:eastAsia="Arial"/>
              </w:rPr>
              <w:t xml:space="preserve"> and global production statistics for individual products </w:t>
            </w:r>
            <w:r w:rsidRPr="00154F9E">
              <w:rPr>
                <w:rFonts w:eastAsia="Arial"/>
              </w:rPr>
              <w:t>and activities estimated by Statista Search Department (2023). Our method uses exports and imports to estimate shares of global production for individual</w:t>
            </w:r>
            <w:r w:rsidRPr="7654BBD9">
              <w:rPr>
                <w:rFonts w:eastAsia="Arial"/>
              </w:rPr>
              <w:t xml:space="preserve"> countries. Then these rates are used to allocate global production individually for each nation</w:t>
            </w:r>
            <w:r w:rsidRPr="7654BBD9">
              <w:rPr>
                <w:rFonts w:eastAsia="Arial"/>
                <w:vertAlign w:val="superscript"/>
              </w:rPr>
              <w:t xml:space="preserve"> </w:t>
            </w:r>
            <w:r w:rsidRPr="7654BBD9">
              <w:rPr>
                <w:rFonts w:eastAsia="Arial"/>
              </w:rPr>
              <w:t xml:space="preserve">(see notes). </w:t>
            </w:r>
          </w:p>
        </w:tc>
        <w:tc>
          <w:tcPr>
            <w:tcW w:w="3600" w:type="dxa"/>
            <w:tcBorders>
              <w:top w:val="nil"/>
              <w:left w:val="nil"/>
              <w:bottom w:val="nil"/>
              <w:right w:val="nil"/>
            </w:tcBorders>
          </w:tcPr>
          <w:p w14:paraId="7CD01C56" w14:textId="36032265" w:rsidR="00F825E6" w:rsidRDefault="0CDBF178" w:rsidP="002B02E7">
            <w:pPr>
              <w:pStyle w:val="TableBody"/>
            </w:pPr>
            <w:r w:rsidRPr="0CDBF178">
              <w:rPr>
                <w:rFonts w:eastAsia="Arial"/>
              </w:rPr>
              <w:t xml:space="preserve">Using historical data, we calculate an elasticity of industrial output per GDP per capita and apply that to a baseline projection of the GDP and population. The estimated elasticity is bounded and trends linearly toward 1 by 2050. </w:t>
            </w:r>
          </w:p>
        </w:tc>
      </w:tr>
      <w:tr w:rsidR="00F825E6" w14:paraId="3F9C939B" w14:textId="77777777" w:rsidTr="7654BBD9">
        <w:trPr>
          <w:trHeight w:val="185"/>
        </w:trPr>
        <w:tc>
          <w:tcPr>
            <w:tcW w:w="2250" w:type="dxa"/>
            <w:tcBorders>
              <w:top w:val="nil"/>
              <w:left w:val="nil"/>
              <w:bottom w:val="nil"/>
              <w:right w:val="nil"/>
            </w:tcBorders>
          </w:tcPr>
          <w:p w14:paraId="5560021B" w14:textId="4E34E1EB" w:rsidR="00F825E6" w:rsidRDefault="00F825E6" w:rsidP="002B02E7">
            <w:pPr>
              <w:pStyle w:val="TableBody"/>
              <w:rPr>
                <w:rFonts w:eastAsia="Arial"/>
              </w:rPr>
            </w:pPr>
            <w:r>
              <w:rPr>
                <w:rFonts w:eastAsia="Arial"/>
              </w:rPr>
              <w:t xml:space="preserve">Energy intensity </w:t>
            </w:r>
            <w:r w:rsidR="00725A1A">
              <w:rPr>
                <w:rFonts w:eastAsia="Arial"/>
              </w:rPr>
              <w:t>(</w:t>
            </w:r>
            <w:r w:rsidR="005B4D5E">
              <w:rPr>
                <w:rFonts w:eastAsia="Arial"/>
              </w:rPr>
              <w:t>energy demand</w:t>
            </w:r>
            <w:r w:rsidR="00725A1A">
              <w:rPr>
                <w:rFonts w:eastAsia="Arial"/>
              </w:rPr>
              <w:t xml:space="preserve"> </w:t>
            </w:r>
            <w:r>
              <w:rPr>
                <w:rFonts w:eastAsia="Arial"/>
              </w:rPr>
              <w:t>per unit of industrial output</w:t>
            </w:r>
            <w:r w:rsidR="00725A1A">
              <w:rPr>
                <w:rFonts w:eastAsia="Arial"/>
              </w:rPr>
              <w:t>)</w:t>
            </w:r>
          </w:p>
        </w:tc>
        <w:tc>
          <w:tcPr>
            <w:tcW w:w="3510" w:type="dxa"/>
            <w:tcBorders>
              <w:top w:val="nil"/>
              <w:left w:val="nil"/>
              <w:bottom w:val="nil"/>
              <w:right w:val="nil"/>
            </w:tcBorders>
          </w:tcPr>
          <w:p w14:paraId="5F3DA6EA" w14:textId="0099249F" w:rsidR="00F825E6" w:rsidRPr="7726BEE2" w:rsidRDefault="48B0C125">
            <w:pPr>
              <w:pStyle w:val="TableBody"/>
              <w:rPr>
                <w:rFonts w:eastAsia="Arial"/>
              </w:rPr>
            </w:pPr>
            <w:r w:rsidRPr="48B0C125">
              <w:rPr>
                <w:rFonts w:eastAsia="Arial"/>
              </w:rPr>
              <w:t>Energy intensities are estimated using data from the International Energy Agency (IEA) (2018).</w:t>
            </w:r>
          </w:p>
        </w:tc>
        <w:tc>
          <w:tcPr>
            <w:tcW w:w="3600" w:type="dxa"/>
            <w:tcBorders>
              <w:top w:val="nil"/>
              <w:left w:val="nil"/>
              <w:bottom w:val="nil"/>
              <w:right w:val="nil"/>
            </w:tcBorders>
          </w:tcPr>
          <w:p w14:paraId="72A51147" w14:textId="0308C4F6" w:rsidR="00B1757E" w:rsidRPr="3126604F" w:rsidRDefault="0CDBF178">
            <w:pPr>
              <w:pStyle w:val="TableBody"/>
              <w:rPr>
                <w:rFonts w:eastAsia="Arial"/>
              </w:rPr>
            </w:pPr>
            <w:r w:rsidRPr="0CDBF178">
              <w:rPr>
                <w:rFonts w:eastAsia="Arial"/>
              </w:rPr>
              <w:t xml:space="preserve">Projected values for energy demand are estimated using a multilinear regression model that uses urban and rural population shares, and GDP as predictors of future demand. Then projected values of production are divided by the estimated energy demand per sector.  </w:t>
            </w:r>
          </w:p>
          <w:p w14:paraId="5B39486E" w14:textId="78945EEF" w:rsidR="00F825E6" w:rsidRPr="3126604F" w:rsidRDefault="00F825E6" w:rsidP="002B02E7">
            <w:pPr>
              <w:pStyle w:val="TableBody"/>
              <w:rPr>
                <w:rFonts w:eastAsia="Arial"/>
              </w:rPr>
            </w:pPr>
          </w:p>
        </w:tc>
      </w:tr>
      <w:tr w:rsidR="004D44EA" w14:paraId="196C6B40" w14:textId="77777777" w:rsidTr="7654BBD9">
        <w:tc>
          <w:tcPr>
            <w:tcW w:w="2250" w:type="dxa"/>
            <w:tcBorders>
              <w:top w:val="nil"/>
              <w:left w:val="nil"/>
              <w:bottom w:val="nil"/>
              <w:right w:val="nil"/>
            </w:tcBorders>
          </w:tcPr>
          <w:p w14:paraId="5D7E51DE" w14:textId="6F5697EA" w:rsidR="004D44EA" w:rsidRDefault="004D44EA" w:rsidP="002B02E7">
            <w:pPr>
              <w:pStyle w:val="TableBody"/>
              <w:rPr>
                <w:rFonts w:eastAsia="Arial"/>
              </w:rPr>
            </w:pPr>
            <w:r>
              <w:rPr>
                <w:rFonts w:eastAsia="Arial"/>
              </w:rPr>
              <w:t>Energy consumed</w:t>
            </w:r>
            <w:r w:rsidR="00FC714A">
              <w:rPr>
                <w:rFonts w:eastAsia="Arial"/>
              </w:rPr>
              <w:t xml:space="preserve"> by energy source</w:t>
            </w:r>
          </w:p>
        </w:tc>
        <w:tc>
          <w:tcPr>
            <w:tcW w:w="3510" w:type="dxa"/>
            <w:tcBorders>
              <w:top w:val="nil"/>
              <w:left w:val="nil"/>
              <w:bottom w:val="nil"/>
              <w:right w:val="nil"/>
            </w:tcBorders>
          </w:tcPr>
          <w:p w14:paraId="52179E85" w14:textId="6AEB3CB2" w:rsidR="004D44EA" w:rsidRDefault="48B0C125" w:rsidP="002B02E7">
            <w:pPr>
              <w:pStyle w:val="TableBody"/>
              <w:rPr>
                <w:rFonts w:eastAsia="Arial"/>
              </w:rPr>
            </w:pPr>
            <w:r w:rsidRPr="48B0C125">
              <w:rPr>
                <w:rFonts w:eastAsia="Arial"/>
              </w:rPr>
              <w:t>Fractions of energy consumed by sector are estimated using data from IEA (2018).</w:t>
            </w:r>
          </w:p>
        </w:tc>
        <w:tc>
          <w:tcPr>
            <w:tcW w:w="3600" w:type="dxa"/>
            <w:tcBorders>
              <w:top w:val="nil"/>
              <w:left w:val="nil"/>
              <w:bottom w:val="nil"/>
              <w:right w:val="nil"/>
            </w:tcBorders>
          </w:tcPr>
          <w:p w14:paraId="6F292B3B" w14:textId="2659A4B8" w:rsidR="004D44EA" w:rsidRPr="3126604F" w:rsidRDefault="00FA0F51" w:rsidP="002B02E7">
            <w:pPr>
              <w:pStyle w:val="TableBody"/>
              <w:rPr>
                <w:rFonts w:eastAsia="Arial"/>
              </w:rPr>
            </w:pPr>
            <w:r>
              <w:rPr>
                <w:rFonts w:eastAsia="Arial"/>
              </w:rPr>
              <w:t xml:space="preserve">Fractions of energy by source are assumed to remain fixed over time within each industry. </w:t>
            </w:r>
            <w:r w:rsidR="00126325">
              <w:rPr>
                <w:rFonts w:eastAsia="Arial"/>
              </w:rPr>
              <w:t xml:space="preserve"> </w:t>
            </w:r>
          </w:p>
        </w:tc>
      </w:tr>
      <w:tr w:rsidR="00F825E6" w14:paraId="28694E37" w14:textId="77777777" w:rsidTr="7654BBD9">
        <w:tc>
          <w:tcPr>
            <w:tcW w:w="2250" w:type="dxa"/>
            <w:tcBorders>
              <w:top w:val="nil"/>
              <w:left w:val="nil"/>
              <w:bottom w:val="nil"/>
              <w:right w:val="nil"/>
            </w:tcBorders>
          </w:tcPr>
          <w:p w14:paraId="74D76D82" w14:textId="1280D2F3" w:rsidR="00F825E6" w:rsidRDefault="00016EFA" w:rsidP="002B02E7">
            <w:pPr>
              <w:pStyle w:val="TableBody"/>
            </w:pPr>
            <w:r>
              <w:rPr>
                <w:rFonts w:eastAsia="Arial"/>
              </w:rPr>
              <w:t>Emissions intensity (</w:t>
            </w:r>
            <w:r w:rsidR="005B4D5E">
              <w:rPr>
                <w:rFonts w:eastAsia="Arial"/>
              </w:rPr>
              <w:t>emissions per unit of energy, by fuel</w:t>
            </w:r>
            <w:r>
              <w:rPr>
                <w:rFonts w:eastAsia="Arial"/>
              </w:rPr>
              <w:t>)</w:t>
            </w:r>
          </w:p>
        </w:tc>
        <w:tc>
          <w:tcPr>
            <w:tcW w:w="3510" w:type="dxa"/>
            <w:tcBorders>
              <w:top w:val="nil"/>
              <w:left w:val="nil"/>
              <w:bottom w:val="nil"/>
              <w:right w:val="nil"/>
            </w:tcBorders>
          </w:tcPr>
          <w:p w14:paraId="07910A05" w14:textId="27561C42" w:rsidR="00F825E6" w:rsidRDefault="0CDBF178" w:rsidP="002B02E7">
            <w:pPr>
              <w:pStyle w:val="TableBody"/>
              <w:rPr>
                <w:rFonts w:eastAsia="Arial"/>
              </w:rPr>
            </w:pPr>
            <w:r w:rsidRPr="0CDBF178">
              <w:rPr>
                <w:rFonts w:eastAsia="Arial"/>
              </w:rPr>
              <w:t>Historical emissions intensity is calibrated between energy consumption data (previous line) and the emissions per fuel type used in each industry (last line).</w:t>
            </w:r>
          </w:p>
          <w:p w14:paraId="623A039B" w14:textId="77777777" w:rsidR="00F825E6" w:rsidRDefault="00F825E6" w:rsidP="002B02E7">
            <w:pPr>
              <w:pStyle w:val="TableBody"/>
              <w:rPr>
                <w:szCs w:val="18"/>
              </w:rPr>
            </w:pPr>
          </w:p>
        </w:tc>
        <w:tc>
          <w:tcPr>
            <w:tcW w:w="3600" w:type="dxa"/>
            <w:tcBorders>
              <w:top w:val="nil"/>
              <w:left w:val="nil"/>
              <w:bottom w:val="nil"/>
              <w:right w:val="nil"/>
            </w:tcBorders>
          </w:tcPr>
          <w:p w14:paraId="66A94E70" w14:textId="497F5334" w:rsidR="00F825E6" w:rsidRDefault="001B0C91" w:rsidP="002B02E7">
            <w:pPr>
              <w:pStyle w:val="TableBody"/>
              <w:rPr>
                <w:rFonts w:eastAsia="Arial"/>
              </w:rPr>
            </w:pPr>
            <w:r>
              <w:rPr>
                <w:rFonts w:eastAsia="Arial"/>
              </w:rPr>
              <w:t>Ener</w:t>
            </w:r>
            <w:r w:rsidR="00725A1A">
              <w:rPr>
                <w:rFonts w:eastAsia="Arial"/>
              </w:rPr>
              <w:t>gy</w:t>
            </w:r>
            <w:r>
              <w:rPr>
                <w:rFonts w:eastAsia="Arial"/>
              </w:rPr>
              <w:t xml:space="preserve"> e</w:t>
            </w:r>
            <w:r w:rsidR="00FA0F51">
              <w:rPr>
                <w:rFonts w:eastAsia="Arial"/>
              </w:rPr>
              <w:t>missions intensities are assumed to remain unchanged in a baseline future.</w:t>
            </w:r>
          </w:p>
          <w:p w14:paraId="08330591" w14:textId="77777777" w:rsidR="00F825E6" w:rsidRDefault="00F825E6" w:rsidP="002B02E7">
            <w:pPr>
              <w:pStyle w:val="TableBody"/>
              <w:rPr>
                <w:rFonts w:eastAsia="Arial"/>
              </w:rPr>
            </w:pPr>
          </w:p>
        </w:tc>
      </w:tr>
      <w:tr w:rsidR="00F825E6" w14:paraId="2E906282" w14:textId="77777777" w:rsidTr="7654BBD9">
        <w:tc>
          <w:tcPr>
            <w:tcW w:w="2250" w:type="dxa"/>
            <w:tcBorders>
              <w:top w:val="nil"/>
              <w:left w:val="nil"/>
              <w:bottom w:val="nil"/>
              <w:right w:val="nil"/>
            </w:tcBorders>
          </w:tcPr>
          <w:p w14:paraId="51A1E844" w14:textId="200B208A" w:rsidR="00F825E6" w:rsidRPr="4CFBE0F0" w:rsidRDefault="00016EFA" w:rsidP="002B02E7">
            <w:pPr>
              <w:pStyle w:val="TableBody"/>
              <w:rPr>
                <w:rFonts w:eastAsia="Arial"/>
              </w:rPr>
            </w:pPr>
            <w:r>
              <w:rPr>
                <w:rFonts w:eastAsia="Arial"/>
              </w:rPr>
              <w:lastRenderedPageBreak/>
              <w:t>Process intensity (</w:t>
            </w:r>
            <w:r w:rsidR="005B4D5E">
              <w:rPr>
                <w:rFonts w:eastAsia="Arial"/>
              </w:rPr>
              <w:t>emissions</w:t>
            </w:r>
            <w:r>
              <w:rPr>
                <w:rFonts w:eastAsia="Arial"/>
              </w:rPr>
              <w:t xml:space="preserve"> per unit of </w:t>
            </w:r>
            <w:r w:rsidR="00313AE9">
              <w:rPr>
                <w:rFonts w:eastAsia="Arial"/>
              </w:rPr>
              <w:t xml:space="preserve">industrial </w:t>
            </w:r>
            <w:r>
              <w:rPr>
                <w:rFonts w:eastAsia="Arial"/>
              </w:rPr>
              <w:t>output</w:t>
            </w:r>
            <w:r w:rsidR="00725A1A">
              <w:rPr>
                <w:rFonts w:eastAsia="Arial"/>
              </w:rPr>
              <w:t>)</w:t>
            </w:r>
          </w:p>
        </w:tc>
        <w:tc>
          <w:tcPr>
            <w:tcW w:w="3510" w:type="dxa"/>
            <w:tcBorders>
              <w:top w:val="nil"/>
              <w:left w:val="nil"/>
              <w:bottom w:val="nil"/>
              <w:right w:val="nil"/>
            </w:tcBorders>
          </w:tcPr>
          <w:p w14:paraId="4B586772" w14:textId="5EC72D53" w:rsidR="00F825E6" w:rsidRPr="37345C14" w:rsidRDefault="0CDBF178">
            <w:pPr>
              <w:pStyle w:val="TableBody"/>
              <w:rPr>
                <w:rFonts w:eastAsia="Arial"/>
              </w:rPr>
            </w:pPr>
            <w:r w:rsidRPr="0CDBF178">
              <w:rPr>
                <w:rFonts w:eastAsia="Arial"/>
              </w:rPr>
              <w:t>CO2, CH4, and N2O emissions, as well as those from fluorinated gases (F-gases: HFCs, PFCs, SF6, NF3) per industrial sector are estimated using Minx</w:t>
            </w:r>
            <w:r>
              <w:t xml:space="preserve"> et al.</w:t>
            </w:r>
            <w:r w:rsidRPr="0CDBF178">
              <w:rPr>
                <w:rFonts w:eastAsia="Arial"/>
              </w:rPr>
              <w:t>'s</w:t>
            </w:r>
            <w:r>
              <w:t xml:space="preserve"> (2021) database. This database is part of the Earth System Science Data project. </w:t>
            </w:r>
          </w:p>
        </w:tc>
        <w:tc>
          <w:tcPr>
            <w:tcW w:w="3600" w:type="dxa"/>
            <w:tcBorders>
              <w:top w:val="nil"/>
              <w:left w:val="nil"/>
              <w:bottom w:val="nil"/>
              <w:right w:val="nil"/>
            </w:tcBorders>
          </w:tcPr>
          <w:p w14:paraId="4BB88C07" w14:textId="7FB9C2B8" w:rsidR="001B0C91" w:rsidRDefault="48B0C125">
            <w:pPr>
              <w:pStyle w:val="TableBody"/>
              <w:rPr>
                <w:rFonts w:eastAsia="Arial"/>
              </w:rPr>
            </w:pPr>
            <w:r w:rsidRPr="48B0C125">
              <w:rPr>
                <w:rFonts w:eastAsia="Arial"/>
              </w:rPr>
              <w:t>Process emissions intensities are assumed to remain unchanged at a baseline future.</w:t>
            </w:r>
          </w:p>
          <w:p w14:paraId="19856C17" w14:textId="38B325A9" w:rsidR="00F825E6" w:rsidRPr="37345C14" w:rsidRDefault="00F825E6" w:rsidP="002B02E7">
            <w:pPr>
              <w:pStyle w:val="TableBody"/>
              <w:rPr>
                <w:rFonts w:eastAsia="Arial"/>
              </w:rPr>
            </w:pPr>
          </w:p>
        </w:tc>
      </w:tr>
      <w:tr w:rsidR="00B0271C" w14:paraId="525DCBD4" w14:textId="77777777" w:rsidTr="7654BBD9">
        <w:tc>
          <w:tcPr>
            <w:tcW w:w="2250" w:type="dxa"/>
            <w:tcBorders>
              <w:top w:val="nil"/>
              <w:left w:val="nil"/>
              <w:bottom w:val="nil"/>
              <w:right w:val="nil"/>
            </w:tcBorders>
          </w:tcPr>
          <w:p w14:paraId="08FE6268" w14:textId="163C7E01" w:rsidR="00B0271C" w:rsidRDefault="00B5589E" w:rsidP="002B02E7">
            <w:pPr>
              <w:pStyle w:val="TableBody"/>
              <w:rPr>
                <w:rFonts w:eastAsia="Arial"/>
              </w:rPr>
            </w:pPr>
            <w:r>
              <w:rPr>
                <w:rFonts w:eastAsia="Arial"/>
              </w:rPr>
              <w:t>Total e</w:t>
            </w:r>
            <w:r w:rsidR="00B0271C">
              <w:rPr>
                <w:rFonts w:eastAsia="Arial"/>
              </w:rPr>
              <w:t>missions</w:t>
            </w:r>
          </w:p>
        </w:tc>
        <w:tc>
          <w:tcPr>
            <w:tcW w:w="3510" w:type="dxa"/>
            <w:tcBorders>
              <w:top w:val="nil"/>
              <w:left w:val="nil"/>
              <w:bottom w:val="nil"/>
              <w:right w:val="nil"/>
            </w:tcBorders>
          </w:tcPr>
          <w:p w14:paraId="2211DAF1" w14:textId="61CD5A7E" w:rsidR="00B0271C" w:rsidRDefault="0CDBF178" w:rsidP="002B02E7">
            <w:pPr>
              <w:pStyle w:val="TableBody"/>
              <w:rPr>
                <w:rFonts w:eastAsia="Arial"/>
              </w:rPr>
            </w:pPr>
            <w:r w:rsidRPr="0CDBF178">
              <w:rPr>
                <w:rFonts w:eastAsia="Arial"/>
              </w:rPr>
              <w:t>Historical sector emissions are used in a calibration process. Emissions data for calibration is obtained from Climate Watch (2022).</w:t>
            </w:r>
          </w:p>
        </w:tc>
        <w:tc>
          <w:tcPr>
            <w:tcW w:w="3600" w:type="dxa"/>
            <w:tcBorders>
              <w:top w:val="nil"/>
              <w:left w:val="nil"/>
              <w:bottom w:val="nil"/>
              <w:right w:val="nil"/>
            </w:tcBorders>
          </w:tcPr>
          <w:p w14:paraId="22091B01" w14:textId="672A36A4" w:rsidR="00B0271C" w:rsidRDefault="006657B6" w:rsidP="001B0C91">
            <w:pPr>
              <w:pStyle w:val="TableBody"/>
              <w:rPr>
                <w:rFonts w:eastAsia="Arial"/>
              </w:rPr>
            </w:pPr>
            <w:r>
              <w:rPr>
                <w:rFonts w:eastAsia="Arial"/>
              </w:rPr>
              <w:t xml:space="preserve">Total emissions are calculated </w:t>
            </w:r>
            <w:r w:rsidR="00E24449">
              <w:rPr>
                <w:rFonts w:eastAsia="Arial"/>
              </w:rPr>
              <w:t xml:space="preserve">based on the energy and process intensities, and the quantities of energy </w:t>
            </w:r>
            <w:r w:rsidR="00895073">
              <w:rPr>
                <w:rFonts w:eastAsia="Arial"/>
              </w:rPr>
              <w:t>consumed,</w:t>
            </w:r>
            <w:r w:rsidR="00E24449">
              <w:rPr>
                <w:rFonts w:eastAsia="Arial"/>
              </w:rPr>
              <w:t xml:space="preserve"> or output produced, respectively. </w:t>
            </w:r>
          </w:p>
        </w:tc>
      </w:tr>
      <w:tr w:rsidR="00F825E6" w:rsidRPr="00126325" w14:paraId="075AE2DF" w14:textId="77777777" w:rsidTr="7654BBD9">
        <w:tc>
          <w:tcPr>
            <w:tcW w:w="9360" w:type="dxa"/>
            <w:gridSpan w:val="3"/>
            <w:tcBorders>
              <w:top w:val="single" w:sz="4" w:space="0" w:color="auto"/>
              <w:left w:val="nil"/>
              <w:bottom w:val="nil"/>
              <w:right w:val="nil"/>
            </w:tcBorders>
          </w:tcPr>
          <w:p w14:paraId="792B25ED" w14:textId="4BFD289C" w:rsidR="00F825E6" w:rsidRPr="00126325" w:rsidRDefault="0CDBF178" w:rsidP="0CDBF178">
            <w:pPr>
              <w:pStyle w:val="TableNote"/>
              <w:rPr>
                <w:rFonts w:eastAsia="Arial"/>
              </w:rPr>
            </w:pPr>
            <w:r w:rsidRPr="0CDBF178">
              <w:rPr>
                <w:rFonts w:eastAsia="Arial"/>
              </w:rPr>
              <w:t xml:space="preserve">Notes: To calculate the industrial output’s quantity, we combine information on exports and imports in shares of exports and imports as a percent of GDP, and global total production of different sectors in tonnage. Using exports and imports, we estimate total local production, assuming the following: National Production = National Demand + Exports – Imports. National demand is estimated based on shares of exports and imports as a percentage of GDP. Once national production totals are estimated, national shares of the total monetary value of production with respect to global production are estimated. Then this share is used globally to distribute the global estimate in tonnage for individual countries. Industry parameters are calibrated to match the model’s emissions estimates in an industrial process with emissions data for this sector available at Climate Watch (2022). The set of calibrated parameters comprises emission-intensity factors of F-gases and fugitive emissions factors for different industrial processes. Estimated baseline values are modulated to reflect specific national contexts. </w:t>
            </w:r>
          </w:p>
        </w:tc>
      </w:tr>
    </w:tbl>
    <w:p w14:paraId="3A6D7566" w14:textId="63A6AF3D" w:rsidR="00DF07E5" w:rsidRDefault="0CDBF178" w:rsidP="005A562F">
      <w:pPr>
        <w:pStyle w:val="Heading2"/>
      </w:pPr>
      <w:bookmarkStart w:id="61" w:name="_Toc152088250"/>
      <w:r>
        <w:t>Transforming Industry</w:t>
      </w:r>
      <w:bookmarkEnd w:id="61"/>
    </w:p>
    <w:p w14:paraId="17407739" w14:textId="59D5494C" w:rsidR="00DF07E5" w:rsidRPr="00DF07E5" w:rsidRDefault="0CDBF178" w:rsidP="0CDBF178">
      <w:r>
        <w:t xml:space="preserve">Table C.2 shows transformations to reduce emissions from industry, which include changes to industrial processes and industrial energy.  Some transformations are specific to certain industries (e.g., substituting clinker in cement production) while others apply across industries (e.g., replacing virgin materials with recycled materials). Table C.3 details these transformations’ technical costs and benefits, and Table C.4 outlines the industry-specific non-technical costs and benefits. The costs and benefits of transforming industry on energy, waste management, and so forth are valued endogenously in those sectors. </w:t>
      </w:r>
    </w:p>
    <w:p w14:paraId="2CAEA3A9" w14:textId="77777777" w:rsidR="00DF07E5" w:rsidRDefault="00DF07E5" w:rsidP="37345C14">
      <w:pPr>
        <w:jc w:val="center"/>
        <w:rPr>
          <w:rFonts w:ascii="Arial" w:eastAsia="Arial" w:hAnsi="Arial" w:cs="Arial"/>
          <w:b/>
          <w:bCs/>
          <w:sz w:val="20"/>
          <w:szCs w:val="20"/>
        </w:rPr>
      </w:pPr>
    </w:p>
    <w:p w14:paraId="39E835AC" w14:textId="0AA56A53" w:rsidR="37345C14" w:rsidRPr="00431289" w:rsidRDefault="0CDBF178">
      <w:pPr>
        <w:pStyle w:val="Heading9"/>
      </w:pPr>
      <w:bookmarkStart w:id="62" w:name="_Toc152088323"/>
      <w:r w:rsidRPr="0CDBF178">
        <w:rPr>
          <w:rFonts w:eastAsia="Arial"/>
        </w:rPr>
        <w:t>Table C.2 Transformations to industry</w:t>
      </w:r>
      <w:bookmarkEnd w:id="62"/>
    </w:p>
    <w:tbl>
      <w:tblPr>
        <w:tblStyle w:val="TableGrid"/>
        <w:tblW w:w="0" w:type="auto"/>
        <w:tblLayout w:type="fixed"/>
        <w:tblLook w:val="0620" w:firstRow="1" w:lastRow="0" w:firstColumn="0" w:lastColumn="0" w:noHBand="1" w:noVBand="1"/>
      </w:tblPr>
      <w:tblGrid>
        <w:gridCol w:w="2250"/>
        <w:gridCol w:w="3510"/>
        <w:gridCol w:w="3600"/>
      </w:tblGrid>
      <w:tr w:rsidR="37345C14" w14:paraId="7EE9C574" w14:textId="77777777" w:rsidTr="48B0C125">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26BAEFFB" w14:textId="40890867" w:rsidR="37345C14" w:rsidRDefault="37345C14" w:rsidP="37345C14">
            <w:r w:rsidRPr="37345C14">
              <w:rPr>
                <w:rFonts w:eastAsia="Arial" w:cs="Arial"/>
                <w:b/>
                <w:bCs/>
                <w:sz w:val="18"/>
                <w:szCs w:val="18"/>
              </w:rPr>
              <w:t>Transformation</w:t>
            </w:r>
          </w:p>
        </w:tc>
        <w:tc>
          <w:tcPr>
            <w:tcW w:w="3510" w:type="dxa"/>
            <w:tcBorders>
              <w:left w:val="nil"/>
              <w:right w:val="nil"/>
            </w:tcBorders>
          </w:tcPr>
          <w:p w14:paraId="14945C33" w14:textId="0FA9BD1E" w:rsidR="37345C14" w:rsidRDefault="37345C14" w:rsidP="37345C14">
            <w:pPr>
              <w:jc w:val="center"/>
            </w:pPr>
            <w:r w:rsidRPr="37345C14">
              <w:rPr>
                <w:rFonts w:eastAsia="Arial" w:cs="Arial"/>
                <w:b/>
                <w:bCs/>
                <w:sz w:val="18"/>
                <w:szCs w:val="18"/>
              </w:rPr>
              <w:t>Description</w:t>
            </w:r>
          </w:p>
        </w:tc>
        <w:tc>
          <w:tcPr>
            <w:tcW w:w="3600" w:type="dxa"/>
            <w:tcBorders>
              <w:left w:val="nil"/>
              <w:right w:val="nil"/>
            </w:tcBorders>
          </w:tcPr>
          <w:p w14:paraId="6968D3EE" w14:textId="79D5C230" w:rsidR="37345C14" w:rsidRDefault="0CDBF178">
            <w:pPr>
              <w:jc w:val="center"/>
            </w:pPr>
            <w:r w:rsidRPr="0CDBF178">
              <w:rPr>
                <w:rFonts w:eastAsia="Arial" w:cs="Arial"/>
                <w:b/>
                <w:bCs/>
                <w:sz w:val="18"/>
                <w:szCs w:val="18"/>
              </w:rPr>
              <w:t>Implementation (by 2050)</w:t>
            </w:r>
          </w:p>
        </w:tc>
      </w:tr>
      <w:tr w:rsidR="00C06B37" w14:paraId="3EEBB9C5" w14:textId="77777777" w:rsidTr="48B0C125">
        <w:tc>
          <w:tcPr>
            <w:tcW w:w="9360" w:type="dxa"/>
            <w:gridSpan w:val="3"/>
            <w:tcBorders>
              <w:top w:val="nil"/>
              <w:left w:val="nil"/>
              <w:bottom w:val="nil"/>
              <w:right w:val="nil"/>
            </w:tcBorders>
          </w:tcPr>
          <w:p w14:paraId="55E14A49" w14:textId="2382B8F2" w:rsidR="00C06B37" w:rsidRPr="00C06B37" w:rsidRDefault="0CDBF178" w:rsidP="0CDBF178">
            <w:pPr>
              <w:pStyle w:val="TableBody"/>
              <w:rPr>
                <w:rFonts w:eastAsia="Arial"/>
                <w:i/>
                <w:iCs/>
              </w:rPr>
            </w:pPr>
            <w:r w:rsidRPr="0CDBF178">
              <w:rPr>
                <w:rFonts w:eastAsia="Arial"/>
                <w:i/>
                <w:iCs/>
              </w:rPr>
              <w:t>Improve material use</w:t>
            </w:r>
          </w:p>
        </w:tc>
      </w:tr>
      <w:tr w:rsidR="001C3692" w14:paraId="4D9437D0" w14:textId="77777777" w:rsidTr="48B0C125">
        <w:tc>
          <w:tcPr>
            <w:tcW w:w="2250" w:type="dxa"/>
            <w:tcBorders>
              <w:top w:val="nil"/>
              <w:left w:val="nil"/>
              <w:bottom w:val="nil"/>
              <w:right w:val="nil"/>
            </w:tcBorders>
          </w:tcPr>
          <w:p w14:paraId="54AA5BB2" w14:textId="29B95B98" w:rsidR="001C3692" w:rsidRDefault="0CDBF178" w:rsidP="0006524B">
            <w:pPr>
              <w:pStyle w:val="TableBody"/>
            </w:pPr>
            <w:r w:rsidRPr="0CDBF178">
              <w:rPr>
                <w:rFonts w:eastAsia="Arial"/>
              </w:rPr>
              <w:t>Reducing demand through material efficiency, longevity, and reuse (cement and steel)</w:t>
            </w:r>
          </w:p>
        </w:tc>
        <w:tc>
          <w:tcPr>
            <w:tcW w:w="3510" w:type="dxa"/>
            <w:tcBorders>
              <w:top w:val="nil"/>
              <w:left w:val="nil"/>
              <w:bottom w:val="nil"/>
              <w:right w:val="nil"/>
            </w:tcBorders>
          </w:tcPr>
          <w:p w14:paraId="268C9043" w14:textId="67F6AC2E" w:rsidR="001C3692" w:rsidRDefault="0CDBF178">
            <w:pPr>
              <w:pStyle w:val="TableBody"/>
            </w:pPr>
            <w:r w:rsidRPr="0CDBF178">
              <w:rPr>
                <w:rFonts w:eastAsia="Arial"/>
              </w:rPr>
              <w:t>Smarter designs can reduce the amount of steel and cement in a product; products and buildings are designed and built to last longer; products that are no longer used are reallocated for other purposes or recycled (Allwood, 2013).</w:t>
            </w:r>
          </w:p>
        </w:tc>
        <w:tc>
          <w:tcPr>
            <w:tcW w:w="3600" w:type="dxa"/>
            <w:tcBorders>
              <w:top w:val="nil"/>
              <w:left w:val="nil"/>
              <w:bottom w:val="nil"/>
              <w:right w:val="nil"/>
            </w:tcBorders>
          </w:tcPr>
          <w:p w14:paraId="79871096" w14:textId="42D89D42" w:rsidR="001C3692" w:rsidRDefault="48B0C125" w:rsidP="0006524B">
            <w:pPr>
              <w:pStyle w:val="TableBody"/>
            </w:pPr>
            <w:r w:rsidRPr="48B0C125">
              <w:rPr>
                <w:rFonts w:eastAsia="Arial"/>
              </w:rPr>
              <w:t>The demand for steel (metals) and cement is reduced by 30% compared to the demand for those materials under traditional development (see the table’s notes).</w:t>
            </w:r>
          </w:p>
        </w:tc>
      </w:tr>
      <w:tr w:rsidR="00A7682E" w14:paraId="7CFF5EC7" w14:textId="77777777" w:rsidTr="48B0C125">
        <w:tc>
          <w:tcPr>
            <w:tcW w:w="2250" w:type="dxa"/>
            <w:tcBorders>
              <w:top w:val="nil"/>
              <w:left w:val="nil"/>
              <w:bottom w:val="nil"/>
              <w:right w:val="nil"/>
            </w:tcBorders>
          </w:tcPr>
          <w:p w14:paraId="053E2D55" w14:textId="2DD2C5F1" w:rsidR="00A7682E" w:rsidRDefault="0049614B" w:rsidP="009B4783">
            <w:pPr>
              <w:pStyle w:val="TableBody"/>
              <w:rPr>
                <w:rFonts w:eastAsia="Arial"/>
              </w:rPr>
            </w:pPr>
            <w:r>
              <w:rPr>
                <w:rFonts w:eastAsia="Arial"/>
              </w:rPr>
              <w:t>Shifting</w:t>
            </w:r>
            <w:r w:rsidR="00AD1298">
              <w:rPr>
                <w:rFonts w:eastAsia="Arial"/>
              </w:rPr>
              <w:t xml:space="preserve"> </w:t>
            </w:r>
            <w:r>
              <w:rPr>
                <w:rFonts w:eastAsia="Arial"/>
              </w:rPr>
              <w:t xml:space="preserve">from virgin material to recycled material </w:t>
            </w:r>
            <w:r w:rsidR="00374D3D">
              <w:rPr>
                <w:rFonts w:eastAsia="Arial"/>
              </w:rPr>
              <w:t>(all recyclable</w:t>
            </w:r>
            <w:r w:rsidR="005C6F78">
              <w:rPr>
                <w:rFonts w:eastAsia="Arial"/>
              </w:rPr>
              <w:t xml:space="preserve"> materials)</w:t>
            </w:r>
          </w:p>
        </w:tc>
        <w:tc>
          <w:tcPr>
            <w:tcW w:w="3510" w:type="dxa"/>
            <w:tcBorders>
              <w:top w:val="nil"/>
              <w:left w:val="nil"/>
              <w:bottom w:val="nil"/>
              <w:right w:val="nil"/>
            </w:tcBorders>
          </w:tcPr>
          <w:p w14:paraId="3D5DCE86" w14:textId="0C48611E" w:rsidR="00A7682E" w:rsidRPr="7726BEE2" w:rsidRDefault="0CDBF178" w:rsidP="009B4783">
            <w:pPr>
              <w:pStyle w:val="TableBody"/>
              <w:rPr>
                <w:rFonts w:eastAsia="Arial"/>
              </w:rPr>
            </w:pPr>
            <w:r w:rsidRPr="0CDBF178">
              <w:rPr>
                <w:rFonts w:eastAsia="Arial"/>
              </w:rPr>
              <w:t xml:space="preserve">An increase in the use of recycled materials can provide industrial inputs that have lower GHGs than virgin production of those same materials. </w:t>
            </w:r>
          </w:p>
        </w:tc>
        <w:tc>
          <w:tcPr>
            <w:tcW w:w="3600" w:type="dxa"/>
            <w:tcBorders>
              <w:top w:val="nil"/>
              <w:left w:val="nil"/>
              <w:bottom w:val="nil"/>
              <w:right w:val="nil"/>
            </w:tcBorders>
          </w:tcPr>
          <w:p w14:paraId="52C8D0CE" w14:textId="7286ED81" w:rsidR="00A7682E" w:rsidRPr="3126604F" w:rsidRDefault="0CDBF178" w:rsidP="7726BEE2">
            <w:pPr>
              <w:pStyle w:val="TableBody"/>
              <w:rPr>
                <w:rFonts w:eastAsia="Arial"/>
              </w:rPr>
            </w:pPr>
            <w:r w:rsidRPr="0CDBF178">
              <w:rPr>
                <w:rFonts w:eastAsia="Arial"/>
              </w:rPr>
              <w:t>The amount of recycled material available is determined endogenously in the waste management sector and used as a substitute for virgin materials.</w:t>
            </w:r>
          </w:p>
        </w:tc>
      </w:tr>
      <w:tr w:rsidR="37345C14" w14:paraId="2B0390D1" w14:textId="77777777" w:rsidTr="48B0C125">
        <w:tc>
          <w:tcPr>
            <w:tcW w:w="2250" w:type="dxa"/>
            <w:tcBorders>
              <w:top w:val="nil"/>
              <w:left w:val="nil"/>
              <w:bottom w:val="nil"/>
              <w:right w:val="nil"/>
            </w:tcBorders>
          </w:tcPr>
          <w:p w14:paraId="3A0EDA70" w14:textId="01158C80" w:rsidR="37345C14" w:rsidRDefault="00D117F7" w:rsidP="009B4783">
            <w:pPr>
              <w:pStyle w:val="TableBody"/>
            </w:pPr>
            <w:r>
              <w:rPr>
                <w:rFonts w:eastAsia="Arial"/>
              </w:rPr>
              <w:t>Clinker</w:t>
            </w:r>
            <w:r w:rsidR="00D402A9">
              <w:rPr>
                <w:rFonts w:eastAsia="Arial"/>
              </w:rPr>
              <w:t xml:space="preserve"> substitution</w:t>
            </w:r>
            <w:r w:rsidR="00C528F8">
              <w:rPr>
                <w:rFonts w:eastAsia="Arial"/>
              </w:rPr>
              <w:t xml:space="preserve"> (cement)</w:t>
            </w:r>
          </w:p>
        </w:tc>
        <w:tc>
          <w:tcPr>
            <w:tcW w:w="3510" w:type="dxa"/>
            <w:tcBorders>
              <w:top w:val="nil"/>
              <w:left w:val="nil"/>
              <w:bottom w:val="nil"/>
              <w:right w:val="nil"/>
            </w:tcBorders>
          </w:tcPr>
          <w:p w14:paraId="3F25C5F2" w14:textId="3431A0D6" w:rsidR="37345C14" w:rsidRDefault="0CDBF178" w:rsidP="005EA2ED">
            <w:pPr>
              <w:pStyle w:val="TableBody"/>
              <w:rPr>
                <w:rFonts w:eastAsia="Arial"/>
              </w:rPr>
            </w:pPr>
            <w:r w:rsidRPr="0CDBF178">
              <w:rPr>
                <w:rFonts w:eastAsia="Arial"/>
              </w:rPr>
              <w:t>Clinker can be replaced partially by other inputs, such as fly ash and blast furnace slag, which are byproducts of other industrial and energy processes.</w:t>
            </w:r>
          </w:p>
          <w:p w14:paraId="70866166" w14:textId="464C8B73" w:rsidR="37345C14" w:rsidRDefault="37345C14" w:rsidP="009B4783">
            <w:pPr>
              <w:pStyle w:val="TableBody"/>
              <w:rPr>
                <w:szCs w:val="18"/>
              </w:rPr>
            </w:pPr>
          </w:p>
        </w:tc>
        <w:tc>
          <w:tcPr>
            <w:tcW w:w="3600" w:type="dxa"/>
            <w:tcBorders>
              <w:top w:val="nil"/>
              <w:left w:val="nil"/>
              <w:bottom w:val="nil"/>
              <w:right w:val="nil"/>
            </w:tcBorders>
          </w:tcPr>
          <w:p w14:paraId="31500C8A" w14:textId="66A98D55" w:rsidR="00172971" w:rsidRDefault="0CDBF178" w:rsidP="7726BEE2">
            <w:pPr>
              <w:pStyle w:val="TableBody"/>
              <w:rPr>
                <w:rFonts w:eastAsia="Arial"/>
              </w:rPr>
            </w:pPr>
            <w:r w:rsidRPr="0CDBF178">
              <w:rPr>
                <w:rFonts w:eastAsia="Arial"/>
              </w:rPr>
              <w:t>The amount of clinker in cement is reduced by 50% for all cement produced (see the table’s notes).</w:t>
            </w:r>
          </w:p>
          <w:p w14:paraId="49513321" w14:textId="234C1722" w:rsidR="37345C14" w:rsidRDefault="37345C14" w:rsidP="7726BEE2">
            <w:pPr>
              <w:pStyle w:val="TableBody"/>
              <w:rPr>
                <w:rFonts w:eastAsia="Arial"/>
              </w:rPr>
            </w:pPr>
          </w:p>
        </w:tc>
      </w:tr>
      <w:tr w:rsidR="00560E6A" w14:paraId="4415E690" w14:textId="77777777" w:rsidTr="48B0C125">
        <w:tc>
          <w:tcPr>
            <w:tcW w:w="9360" w:type="dxa"/>
            <w:gridSpan w:val="3"/>
            <w:tcBorders>
              <w:top w:val="nil"/>
              <w:left w:val="nil"/>
              <w:bottom w:val="nil"/>
              <w:right w:val="nil"/>
            </w:tcBorders>
          </w:tcPr>
          <w:p w14:paraId="2E3F0E57" w14:textId="49FA84E3" w:rsidR="00560E6A" w:rsidRDefault="0CDBF178" w:rsidP="0CDBF178">
            <w:pPr>
              <w:pStyle w:val="TableBody"/>
              <w:rPr>
                <w:rFonts w:eastAsia="Arial"/>
              </w:rPr>
            </w:pPr>
            <w:r w:rsidRPr="0CDBF178">
              <w:rPr>
                <w:rFonts w:eastAsia="Arial"/>
                <w:i/>
                <w:iCs/>
              </w:rPr>
              <w:lastRenderedPageBreak/>
              <w:t>Improve industrial energy use</w:t>
            </w:r>
          </w:p>
        </w:tc>
      </w:tr>
      <w:tr w:rsidR="00B048AA" w14:paraId="79C10718" w14:textId="77777777" w:rsidTr="48B0C125">
        <w:tc>
          <w:tcPr>
            <w:tcW w:w="2250" w:type="dxa"/>
            <w:tcBorders>
              <w:top w:val="nil"/>
              <w:left w:val="nil"/>
              <w:bottom w:val="nil"/>
              <w:right w:val="nil"/>
            </w:tcBorders>
          </w:tcPr>
          <w:p w14:paraId="7AF5B73E" w14:textId="702F3272" w:rsidR="00B048AA" w:rsidRPr="4CFBE0F0" w:rsidRDefault="0CDBF178" w:rsidP="4CFBE0F0">
            <w:pPr>
              <w:pStyle w:val="TableBody"/>
              <w:rPr>
                <w:rFonts w:eastAsia="Arial"/>
              </w:rPr>
            </w:pPr>
            <w:r w:rsidRPr="0CDBF178">
              <w:rPr>
                <w:rFonts w:eastAsia="Arial"/>
              </w:rPr>
              <w:t>Improve existing processes’ energy efficiency</w:t>
            </w:r>
          </w:p>
        </w:tc>
        <w:tc>
          <w:tcPr>
            <w:tcW w:w="3510" w:type="dxa"/>
            <w:tcBorders>
              <w:top w:val="nil"/>
              <w:left w:val="nil"/>
              <w:bottom w:val="nil"/>
              <w:right w:val="nil"/>
            </w:tcBorders>
          </w:tcPr>
          <w:p w14:paraId="3F83C4D4" w14:textId="5C022CAD" w:rsidR="00B048AA" w:rsidRPr="37345C14" w:rsidRDefault="003E3E37" w:rsidP="009B4783">
            <w:pPr>
              <w:pStyle w:val="TableBody"/>
              <w:rPr>
                <w:rFonts w:eastAsia="Arial"/>
              </w:rPr>
            </w:pPr>
            <w:r>
              <w:rPr>
                <w:rFonts w:eastAsia="Arial"/>
              </w:rPr>
              <w:t>E</w:t>
            </w:r>
            <w:r w:rsidR="611045C5" w:rsidRPr="611045C5">
              <w:rPr>
                <w:rFonts w:eastAsia="Arial"/>
              </w:rPr>
              <w:t>nergy efficiency</w:t>
            </w:r>
            <w:r w:rsidR="00863F22">
              <w:rPr>
                <w:rFonts w:eastAsia="Arial"/>
              </w:rPr>
              <w:t xml:space="preserve"> of </w:t>
            </w:r>
            <w:r w:rsidR="00B52625">
              <w:rPr>
                <w:rFonts w:eastAsia="Arial"/>
              </w:rPr>
              <w:t xml:space="preserve">existing </w:t>
            </w:r>
            <w:r w:rsidR="00530C7A">
              <w:rPr>
                <w:rFonts w:eastAsia="Arial"/>
              </w:rPr>
              <w:t>industrial</w:t>
            </w:r>
            <w:r w:rsidR="00863F22">
              <w:rPr>
                <w:rFonts w:eastAsia="Arial"/>
              </w:rPr>
              <w:t xml:space="preserve"> </w:t>
            </w:r>
            <w:r w:rsidR="00530C7A">
              <w:rPr>
                <w:rFonts w:eastAsia="Arial"/>
              </w:rPr>
              <w:t>processes</w:t>
            </w:r>
            <w:r w:rsidR="611045C5" w:rsidRPr="611045C5">
              <w:rPr>
                <w:rFonts w:eastAsia="Arial"/>
              </w:rPr>
              <w:t xml:space="preserve"> </w:t>
            </w:r>
            <w:r>
              <w:rPr>
                <w:rFonts w:eastAsia="Arial"/>
              </w:rPr>
              <w:t xml:space="preserve">can be improved </w:t>
            </w:r>
            <w:r w:rsidR="611045C5" w:rsidRPr="611045C5">
              <w:rPr>
                <w:rFonts w:eastAsia="Arial"/>
              </w:rPr>
              <w:t>through better management and process control (e.g.</w:t>
            </w:r>
            <w:r w:rsidR="00530C7A">
              <w:rPr>
                <w:rFonts w:eastAsia="Arial"/>
              </w:rPr>
              <w:t>,</w:t>
            </w:r>
            <w:r w:rsidR="611045C5" w:rsidRPr="611045C5">
              <w:rPr>
                <w:rFonts w:eastAsia="Arial"/>
              </w:rPr>
              <w:t xml:space="preserve"> kiln system improvement and heat loss reduction in cement and steel plants)</w:t>
            </w:r>
            <w:r w:rsidR="00530C7A">
              <w:rPr>
                <w:rFonts w:eastAsia="Arial"/>
              </w:rPr>
              <w:t xml:space="preserve"> and </w:t>
            </w:r>
            <w:r w:rsidR="00645C4A">
              <w:rPr>
                <w:rFonts w:eastAsia="Arial"/>
              </w:rPr>
              <w:t>newer</w:t>
            </w:r>
            <w:r w:rsidR="00530C7A">
              <w:rPr>
                <w:rFonts w:eastAsia="Arial"/>
              </w:rPr>
              <w:t xml:space="preserve"> technologies</w:t>
            </w:r>
            <w:r w:rsidR="611045C5" w:rsidRPr="611045C5">
              <w:rPr>
                <w:rFonts w:eastAsia="Arial"/>
              </w:rPr>
              <w:t>.</w:t>
            </w:r>
          </w:p>
        </w:tc>
        <w:tc>
          <w:tcPr>
            <w:tcW w:w="3600" w:type="dxa"/>
            <w:tcBorders>
              <w:top w:val="nil"/>
              <w:left w:val="nil"/>
              <w:bottom w:val="nil"/>
              <w:right w:val="nil"/>
            </w:tcBorders>
          </w:tcPr>
          <w:p w14:paraId="3D22C3DF" w14:textId="79E360E0" w:rsidR="00B048AA" w:rsidRPr="37345C14" w:rsidRDefault="003E3E37" w:rsidP="009B4783">
            <w:pPr>
              <w:pStyle w:val="TableBody"/>
              <w:rPr>
                <w:rFonts w:eastAsia="Arial"/>
              </w:rPr>
            </w:pPr>
            <w:r>
              <w:rPr>
                <w:rFonts w:eastAsia="Arial"/>
              </w:rPr>
              <w:t>I</w:t>
            </w:r>
            <w:r w:rsidR="00144313" w:rsidRPr="00144313">
              <w:rPr>
                <w:rFonts w:eastAsia="Arial"/>
              </w:rPr>
              <w:t xml:space="preserve">ndustrial energy </w:t>
            </w:r>
            <w:r w:rsidR="00144313">
              <w:rPr>
                <w:rFonts w:eastAsia="Arial"/>
              </w:rPr>
              <w:t>intensity</w:t>
            </w:r>
            <w:r w:rsidR="00144313" w:rsidRPr="00144313">
              <w:rPr>
                <w:rFonts w:eastAsia="Arial"/>
              </w:rPr>
              <w:t xml:space="preserve"> </w:t>
            </w:r>
            <w:r>
              <w:rPr>
                <w:rFonts w:eastAsia="Arial"/>
              </w:rPr>
              <w:t xml:space="preserve">is reduced </w:t>
            </w:r>
            <w:r w:rsidR="00144313" w:rsidRPr="00144313">
              <w:rPr>
                <w:rFonts w:eastAsia="Arial"/>
              </w:rPr>
              <w:t xml:space="preserve">by 30% </w:t>
            </w:r>
            <w:r>
              <w:rPr>
                <w:rFonts w:eastAsia="Arial"/>
              </w:rPr>
              <w:t>compared to intensity under traditional development.</w:t>
            </w:r>
          </w:p>
        </w:tc>
      </w:tr>
      <w:tr w:rsidR="0038672D" w14:paraId="464FB949" w14:textId="77777777" w:rsidTr="48B0C125">
        <w:tc>
          <w:tcPr>
            <w:tcW w:w="2250" w:type="dxa"/>
            <w:tcBorders>
              <w:top w:val="nil"/>
              <w:left w:val="nil"/>
              <w:bottom w:val="nil"/>
              <w:right w:val="nil"/>
            </w:tcBorders>
          </w:tcPr>
          <w:p w14:paraId="596ADE5C" w14:textId="6126A015" w:rsidR="0038672D" w:rsidRDefault="0038672D" w:rsidP="4CFBE0F0">
            <w:pPr>
              <w:pStyle w:val="TableBody"/>
              <w:rPr>
                <w:rFonts w:eastAsia="Arial"/>
              </w:rPr>
            </w:pPr>
            <w:r>
              <w:rPr>
                <w:rFonts w:eastAsia="Arial"/>
              </w:rPr>
              <w:t>Electrify low-temperature industrial heat</w:t>
            </w:r>
          </w:p>
        </w:tc>
        <w:tc>
          <w:tcPr>
            <w:tcW w:w="3510" w:type="dxa"/>
            <w:tcBorders>
              <w:top w:val="nil"/>
              <w:left w:val="nil"/>
              <w:bottom w:val="nil"/>
              <w:right w:val="nil"/>
            </w:tcBorders>
          </w:tcPr>
          <w:p w14:paraId="73E14297" w14:textId="6ED2C5E0" w:rsidR="0038672D" w:rsidRPr="611045C5" w:rsidRDefault="0CDBF178">
            <w:pPr>
              <w:pStyle w:val="TableBody"/>
              <w:rPr>
                <w:rFonts w:eastAsia="Arial"/>
              </w:rPr>
            </w:pPr>
            <w:r w:rsidRPr="0CDBF178">
              <w:rPr>
                <w:rFonts w:eastAsia="Arial"/>
              </w:rPr>
              <w:t>Low-temperature heat accounts for half of all industrial heat demands. This transformation transitions that heat-to-heat pumps, which run on electricity and can be several times more efficient at providing heat than fossil fuels (Rissman, 2022).</w:t>
            </w:r>
          </w:p>
        </w:tc>
        <w:tc>
          <w:tcPr>
            <w:tcW w:w="3600" w:type="dxa"/>
            <w:tcBorders>
              <w:top w:val="nil"/>
              <w:left w:val="nil"/>
              <w:bottom w:val="nil"/>
              <w:right w:val="nil"/>
            </w:tcBorders>
          </w:tcPr>
          <w:p w14:paraId="23C48C86" w14:textId="6D0DB983" w:rsidR="0038672D" w:rsidRDefault="00D85B33" w:rsidP="009B4783">
            <w:pPr>
              <w:pStyle w:val="TableBody"/>
              <w:rPr>
                <w:rFonts w:eastAsia="Arial"/>
              </w:rPr>
            </w:pPr>
            <w:r>
              <w:rPr>
                <w:rFonts w:eastAsia="Arial"/>
              </w:rPr>
              <w:t>H</w:t>
            </w:r>
            <w:r w:rsidR="007B23BF">
              <w:rPr>
                <w:rFonts w:eastAsia="Arial"/>
              </w:rPr>
              <w:t>eat pumps</w:t>
            </w:r>
            <w:r>
              <w:rPr>
                <w:rFonts w:eastAsia="Arial"/>
              </w:rPr>
              <w:t xml:space="preserve"> are used</w:t>
            </w:r>
            <w:r w:rsidR="007B23BF">
              <w:rPr>
                <w:rFonts w:eastAsia="Arial"/>
              </w:rPr>
              <w:t xml:space="preserve"> to meet 95% of low-temperature industrial heating demand</w:t>
            </w:r>
            <w:r w:rsidR="00D3161D">
              <w:rPr>
                <w:rFonts w:eastAsia="Arial"/>
              </w:rPr>
              <w:t>s</w:t>
            </w:r>
            <w:r>
              <w:rPr>
                <w:rFonts w:eastAsia="Arial"/>
              </w:rPr>
              <w:t>.</w:t>
            </w:r>
          </w:p>
        </w:tc>
      </w:tr>
      <w:tr w:rsidR="0038672D" w14:paraId="4E4A3C3E" w14:textId="77777777" w:rsidTr="48B0C125">
        <w:tc>
          <w:tcPr>
            <w:tcW w:w="2250" w:type="dxa"/>
            <w:tcBorders>
              <w:top w:val="nil"/>
              <w:left w:val="nil"/>
              <w:bottom w:val="nil"/>
              <w:right w:val="nil"/>
            </w:tcBorders>
          </w:tcPr>
          <w:p w14:paraId="0928818F" w14:textId="24BA1558" w:rsidR="0038672D" w:rsidRDefault="00F812B4" w:rsidP="4CFBE0F0">
            <w:pPr>
              <w:pStyle w:val="TableBody"/>
              <w:rPr>
                <w:rFonts w:eastAsia="Arial"/>
              </w:rPr>
            </w:pPr>
            <w:r>
              <w:rPr>
                <w:rFonts w:eastAsia="Arial"/>
              </w:rPr>
              <w:t>Transition medium and high-temperature industrial heat to electricity and hydrogen</w:t>
            </w:r>
          </w:p>
        </w:tc>
        <w:tc>
          <w:tcPr>
            <w:tcW w:w="3510" w:type="dxa"/>
            <w:tcBorders>
              <w:top w:val="nil"/>
              <w:left w:val="nil"/>
              <w:bottom w:val="nil"/>
              <w:right w:val="nil"/>
            </w:tcBorders>
          </w:tcPr>
          <w:p w14:paraId="71FEFA4B" w14:textId="6F24E608" w:rsidR="0038672D" w:rsidRPr="611045C5" w:rsidRDefault="0CDBF178">
            <w:pPr>
              <w:pStyle w:val="TableBody"/>
              <w:rPr>
                <w:rFonts w:eastAsia="Arial"/>
              </w:rPr>
            </w:pPr>
            <w:r w:rsidRPr="0CDBF178">
              <w:rPr>
                <w:rFonts w:eastAsia="Arial"/>
              </w:rPr>
              <w:t>Medium- and high-temperature heat accounts for half of all industrial heat demands, primarily in metals, cement, and chemicals (Rissman, 2022). This transformation switches that heat to electricity and hydrogen.</w:t>
            </w:r>
          </w:p>
        </w:tc>
        <w:tc>
          <w:tcPr>
            <w:tcW w:w="3600" w:type="dxa"/>
            <w:tcBorders>
              <w:top w:val="nil"/>
              <w:left w:val="nil"/>
              <w:bottom w:val="nil"/>
              <w:right w:val="nil"/>
            </w:tcBorders>
          </w:tcPr>
          <w:p w14:paraId="58880B94" w14:textId="19514FD9" w:rsidR="003526C0" w:rsidRPr="003526C0" w:rsidRDefault="0CDBF178" w:rsidP="00867154">
            <w:pPr>
              <w:ind w:firstLine="0"/>
              <w:rPr>
                <w:rFonts w:ascii="Calibri" w:hAnsi="Calibri" w:cs="Calibri"/>
                <w:color w:val="000000"/>
                <w:sz w:val="18"/>
                <w:szCs w:val="18"/>
              </w:rPr>
            </w:pPr>
            <w:r w:rsidRPr="0CDBF178">
              <w:rPr>
                <w:rFonts w:eastAsia="Arial"/>
                <w:sz w:val="18"/>
                <w:szCs w:val="18"/>
              </w:rPr>
              <w:t>Electricity and hydrogen equally replace fossil fuels to meet 95% of medium- and high-temperature industrial heating demands.</w:t>
            </w:r>
          </w:p>
          <w:p w14:paraId="5DD4F866" w14:textId="77777777" w:rsidR="0038672D" w:rsidRDefault="0038672D" w:rsidP="009B4783">
            <w:pPr>
              <w:pStyle w:val="TableBody"/>
              <w:rPr>
                <w:rFonts w:eastAsia="Arial"/>
              </w:rPr>
            </w:pPr>
          </w:p>
        </w:tc>
      </w:tr>
      <w:tr w:rsidR="00080C47" w14:paraId="6391F759" w14:textId="77777777" w:rsidTr="48B0C125">
        <w:tc>
          <w:tcPr>
            <w:tcW w:w="9360" w:type="dxa"/>
            <w:gridSpan w:val="3"/>
            <w:tcBorders>
              <w:top w:val="nil"/>
              <w:left w:val="nil"/>
              <w:bottom w:val="nil"/>
              <w:right w:val="nil"/>
            </w:tcBorders>
          </w:tcPr>
          <w:p w14:paraId="166609C8" w14:textId="4876816D" w:rsidR="00080C47" w:rsidRDefault="0CDBF178">
            <w:pPr>
              <w:pStyle w:val="TableBody"/>
              <w:rPr>
                <w:rFonts w:eastAsia="Arial"/>
              </w:rPr>
            </w:pPr>
            <w:r w:rsidRPr="0CDBF178">
              <w:rPr>
                <w:rFonts w:eastAsia="Arial"/>
                <w:i/>
                <w:iCs/>
              </w:rPr>
              <w:t>Other GHG abatement</w:t>
            </w:r>
          </w:p>
        </w:tc>
      </w:tr>
      <w:tr w:rsidR="00080C47" w14:paraId="3B1B1E76" w14:textId="77777777" w:rsidTr="48B0C125">
        <w:tc>
          <w:tcPr>
            <w:tcW w:w="2250" w:type="dxa"/>
            <w:tcBorders>
              <w:top w:val="nil"/>
              <w:left w:val="nil"/>
              <w:bottom w:val="nil"/>
              <w:right w:val="nil"/>
            </w:tcBorders>
          </w:tcPr>
          <w:p w14:paraId="0F39F732" w14:textId="46490764" w:rsidR="00080C47" w:rsidRDefault="0CDBF178" w:rsidP="0CDBF178">
            <w:pPr>
              <w:pStyle w:val="TableBody"/>
              <w:rPr>
                <w:rFonts w:eastAsia="Arial"/>
              </w:rPr>
            </w:pPr>
            <w:r w:rsidRPr="0CDBF178">
              <w:rPr>
                <w:rFonts w:eastAsia="Arial"/>
              </w:rPr>
              <w:t>F-gas reduction (all industries that emit F-gases)</w:t>
            </w:r>
          </w:p>
        </w:tc>
        <w:tc>
          <w:tcPr>
            <w:tcW w:w="3510" w:type="dxa"/>
            <w:tcBorders>
              <w:top w:val="nil"/>
              <w:left w:val="nil"/>
              <w:bottom w:val="nil"/>
              <w:right w:val="nil"/>
            </w:tcBorders>
          </w:tcPr>
          <w:p w14:paraId="3DCCFC86" w14:textId="33E39725" w:rsidR="00080C47" w:rsidRDefault="0CDBF178" w:rsidP="0CDBF178">
            <w:pPr>
              <w:pStyle w:val="TableBody"/>
              <w:rPr>
                <w:rFonts w:eastAsia="Arial"/>
              </w:rPr>
            </w:pPr>
            <w:r w:rsidRPr="0CDBF178">
              <w:rPr>
                <w:rFonts w:eastAsia="Arial"/>
              </w:rPr>
              <w:t>This transformation includes various actions to reduce F-gas emissions across multiple industries and products—for example, substitutions with less-harmful chemicals, destruction of byproducts, and gas recovery (</w:t>
            </w:r>
            <w:proofErr w:type="spellStart"/>
            <w:r w:rsidRPr="0CDBF178">
              <w:rPr>
                <w:rFonts w:eastAsia="Arial"/>
              </w:rPr>
              <w:t>Sovacool</w:t>
            </w:r>
            <w:proofErr w:type="spellEnd"/>
            <w:r w:rsidRPr="0CDBF178">
              <w:rPr>
                <w:rFonts w:eastAsia="Arial"/>
              </w:rPr>
              <w:t xml:space="preserve"> et al., 2021).</w:t>
            </w:r>
          </w:p>
        </w:tc>
        <w:tc>
          <w:tcPr>
            <w:tcW w:w="3600" w:type="dxa"/>
            <w:tcBorders>
              <w:top w:val="nil"/>
              <w:left w:val="nil"/>
              <w:bottom w:val="nil"/>
              <w:right w:val="nil"/>
            </w:tcBorders>
          </w:tcPr>
          <w:p w14:paraId="7C0085D4" w14:textId="7E27C4E0" w:rsidR="00080C47" w:rsidRDefault="0CDBF178" w:rsidP="002B02E7">
            <w:pPr>
              <w:pStyle w:val="TableBody"/>
              <w:rPr>
                <w:rFonts w:eastAsia="Arial"/>
              </w:rPr>
            </w:pPr>
            <w:r w:rsidRPr="0CDBF178">
              <w:rPr>
                <w:rFonts w:eastAsia="Arial"/>
              </w:rPr>
              <w:t>F-gas per unit of output is reduced by 85% from industrial processes and product use.</w:t>
            </w:r>
          </w:p>
        </w:tc>
      </w:tr>
      <w:tr w:rsidR="00080C47" w14:paraId="6E623E13" w14:textId="77777777" w:rsidTr="48B0C125">
        <w:tc>
          <w:tcPr>
            <w:tcW w:w="2250" w:type="dxa"/>
            <w:tcBorders>
              <w:top w:val="nil"/>
              <w:left w:val="nil"/>
              <w:bottom w:val="nil"/>
              <w:right w:val="nil"/>
            </w:tcBorders>
          </w:tcPr>
          <w:p w14:paraId="1A6C65DE" w14:textId="3F0B7FE5" w:rsidR="00080C47" w:rsidRDefault="0CDBF178" w:rsidP="0CDBF178">
            <w:pPr>
              <w:pStyle w:val="TableBody"/>
              <w:rPr>
                <w:rFonts w:eastAsia="Arial"/>
              </w:rPr>
            </w:pPr>
            <w:r w:rsidRPr="0CDBF178">
              <w:rPr>
                <w:rFonts w:eastAsia="Arial"/>
              </w:rPr>
              <w:t>N2O abatement in the chemicals industry (adipic and nitric acid production)</w:t>
            </w:r>
          </w:p>
        </w:tc>
        <w:tc>
          <w:tcPr>
            <w:tcW w:w="3510" w:type="dxa"/>
            <w:tcBorders>
              <w:top w:val="nil"/>
              <w:left w:val="nil"/>
              <w:bottom w:val="nil"/>
              <w:right w:val="nil"/>
            </w:tcBorders>
          </w:tcPr>
          <w:p w14:paraId="4B8CB6B0" w14:textId="3DC405A4" w:rsidR="00080C47" w:rsidRDefault="0CDBF178" w:rsidP="002B02E7">
            <w:pPr>
              <w:pStyle w:val="TableBody"/>
            </w:pPr>
            <w:r w:rsidRPr="0CDBF178">
              <w:rPr>
                <w:rFonts w:eastAsia="Arial"/>
              </w:rPr>
              <w:t xml:space="preserve">This transformation reduces nitrous oxide N2O process emissions from the chemicals industry by destroying the N2O. Applicable abatement measures include ammonia burner (avoid N2O formation), thermal decomposition, or catalytic decomposition (N2O removal). </w:t>
            </w:r>
          </w:p>
        </w:tc>
        <w:tc>
          <w:tcPr>
            <w:tcW w:w="3600" w:type="dxa"/>
            <w:tcBorders>
              <w:top w:val="nil"/>
              <w:left w:val="nil"/>
              <w:bottom w:val="nil"/>
              <w:right w:val="nil"/>
            </w:tcBorders>
          </w:tcPr>
          <w:p w14:paraId="70494AE3" w14:textId="77777777" w:rsidR="00080C47" w:rsidRDefault="00080C47" w:rsidP="002B02E7">
            <w:pPr>
              <w:pStyle w:val="TableBody"/>
              <w:rPr>
                <w:szCs w:val="18"/>
              </w:rPr>
            </w:pPr>
            <w:r w:rsidRPr="5068E932">
              <w:rPr>
                <w:rFonts w:eastAsia="Arial"/>
              </w:rPr>
              <w:t xml:space="preserve"> </w:t>
            </w:r>
          </w:p>
          <w:p w14:paraId="46CAD535" w14:textId="4DF709F0" w:rsidR="00080C47" w:rsidRDefault="00421788" w:rsidP="002B02E7">
            <w:pPr>
              <w:pStyle w:val="TableBody"/>
              <w:rPr>
                <w:rFonts w:eastAsia="Arial"/>
                <w:szCs w:val="18"/>
              </w:rPr>
            </w:pPr>
            <w:r>
              <w:rPr>
                <w:rFonts w:eastAsia="Arial"/>
                <w:szCs w:val="18"/>
              </w:rPr>
              <w:t>Ninety percent</w:t>
            </w:r>
            <w:r w:rsidR="00080C47">
              <w:rPr>
                <w:rFonts w:eastAsia="Arial"/>
                <w:szCs w:val="18"/>
              </w:rPr>
              <w:t xml:space="preserve"> of N2O emissions from all nitric and adipic acid facilities</w:t>
            </w:r>
            <w:r w:rsidR="006D078F">
              <w:rPr>
                <w:rFonts w:eastAsia="Arial"/>
                <w:szCs w:val="18"/>
              </w:rPr>
              <w:t xml:space="preserve"> are abated.</w:t>
            </w:r>
          </w:p>
        </w:tc>
      </w:tr>
      <w:tr w:rsidR="00080C47" w14:paraId="5A021AA3" w14:textId="77777777" w:rsidTr="48B0C125">
        <w:tc>
          <w:tcPr>
            <w:tcW w:w="2250" w:type="dxa"/>
            <w:tcBorders>
              <w:top w:val="nil"/>
              <w:left w:val="nil"/>
              <w:bottom w:val="nil"/>
              <w:right w:val="nil"/>
            </w:tcBorders>
          </w:tcPr>
          <w:p w14:paraId="4FC9956A" w14:textId="19B44C74" w:rsidR="00080C47" w:rsidRDefault="0CDBF178" w:rsidP="0CDBF178">
            <w:pPr>
              <w:pStyle w:val="TableBody"/>
              <w:rPr>
                <w:rFonts w:eastAsia="Arial"/>
              </w:rPr>
            </w:pPr>
            <w:r w:rsidRPr="0CDBF178">
              <w:rPr>
                <w:rFonts w:eastAsia="Arial"/>
              </w:rPr>
              <w:t>Carbon capture and storage (CCS) for steel, cement, chemicals, and plastics</w:t>
            </w:r>
          </w:p>
        </w:tc>
        <w:tc>
          <w:tcPr>
            <w:tcW w:w="3510" w:type="dxa"/>
            <w:tcBorders>
              <w:top w:val="nil"/>
              <w:left w:val="nil"/>
              <w:bottom w:val="nil"/>
              <w:right w:val="nil"/>
            </w:tcBorders>
          </w:tcPr>
          <w:p w14:paraId="42E5B86F" w14:textId="0108A26A" w:rsidR="00A16B1A" w:rsidRDefault="00080C47" w:rsidP="002B02E7">
            <w:pPr>
              <w:pStyle w:val="TableBody"/>
              <w:rPr>
                <w:rFonts w:eastAsia="Arial"/>
              </w:rPr>
            </w:pPr>
            <w:r>
              <w:rPr>
                <w:rFonts w:eastAsia="Arial"/>
              </w:rPr>
              <w:t>The capture and storage</w:t>
            </w:r>
            <w:r w:rsidR="00453D64">
              <w:rPr>
                <w:rFonts w:eastAsia="Arial"/>
              </w:rPr>
              <w:t xml:space="preserve">, sequestration, or use </w:t>
            </w:r>
            <w:r>
              <w:rPr>
                <w:rFonts w:eastAsia="Arial"/>
              </w:rPr>
              <w:t xml:space="preserve">of CO2 is key to </w:t>
            </w:r>
            <w:r w:rsidR="00400169">
              <w:rPr>
                <w:rFonts w:eastAsia="Arial"/>
              </w:rPr>
              <w:t>reducing</w:t>
            </w:r>
            <w:r>
              <w:rPr>
                <w:rFonts w:eastAsia="Arial"/>
              </w:rPr>
              <w:t xml:space="preserve"> emissions from hard-to-abate sectors</w:t>
            </w:r>
            <w:r w:rsidR="002B11ED">
              <w:rPr>
                <w:rFonts w:eastAsia="Arial"/>
              </w:rPr>
              <w:t>, particularly</w:t>
            </w:r>
            <w:r>
              <w:rPr>
                <w:rFonts w:eastAsia="Arial"/>
              </w:rPr>
              <w:t xml:space="preserve"> where production of CO2 is an inherent part of an industrial process (</w:t>
            </w:r>
            <w:proofErr w:type="spellStart"/>
            <w:r>
              <w:rPr>
                <w:rFonts w:eastAsia="Arial"/>
              </w:rPr>
              <w:t>Paltsey</w:t>
            </w:r>
            <w:proofErr w:type="spellEnd"/>
            <w:r>
              <w:rPr>
                <w:rFonts w:eastAsia="Arial"/>
              </w:rPr>
              <w:t xml:space="preserve"> et al., 2021</w:t>
            </w:r>
            <w:r w:rsidR="004A290F">
              <w:rPr>
                <w:rFonts w:eastAsia="Arial"/>
              </w:rPr>
              <w:t xml:space="preserve">; </w:t>
            </w:r>
            <w:r w:rsidR="004A290F">
              <w:rPr>
                <w:rFonts w:eastAsia="Arial" w:cs="Arial"/>
              </w:rPr>
              <w:t>IEA, 2020b)</w:t>
            </w:r>
            <w:r>
              <w:rPr>
                <w:rFonts w:eastAsia="Arial"/>
              </w:rPr>
              <w:t>.</w:t>
            </w:r>
          </w:p>
          <w:p w14:paraId="0375F4BA" w14:textId="63373161" w:rsidR="00A16B1A" w:rsidRPr="00A16B1A" w:rsidRDefault="00A16B1A" w:rsidP="002B02E7">
            <w:pPr>
              <w:pStyle w:val="TableBody"/>
              <w:rPr>
                <w:rFonts w:eastAsia="Arial"/>
                <w:i/>
                <w:iCs/>
              </w:rPr>
            </w:pPr>
          </w:p>
        </w:tc>
        <w:tc>
          <w:tcPr>
            <w:tcW w:w="3600" w:type="dxa"/>
            <w:tcBorders>
              <w:top w:val="nil"/>
              <w:left w:val="nil"/>
              <w:bottom w:val="nil"/>
              <w:right w:val="nil"/>
            </w:tcBorders>
          </w:tcPr>
          <w:p w14:paraId="5F3A48A7" w14:textId="0468AF82" w:rsidR="00080C47" w:rsidRPr="37345C14" w:rsidRDefault="00080C47" w:rsidP="002B02E7">
            <w:pPr>
              <w:pStyle w:val="TableBody"/>
              <w:rPr>
                <w:rFonts w:eastAsia="Arial"/>
              </w:rPr>
            </w:pPr>
            <w:r>
              <w:rPr>
                <w:rFonts w:eastAsia="Arial"/>
              </w:rPr>
              <w:t xml:space="preserve">CCS is implemented for 80% of the steel, cement, </w:t>
            </w:r>
            <w:r w:rsidR="002B11ED">
              <w:rPr>
                <w:rFonts w:eastAsia="Arial"/>
              </w:rPr>
              <w:t>chemicals, and plastics with a 90% capture rate.</w:t>
            </w:r>
          </w:p>
        </w:tc>
      </w:tr>
      <w:tr w:rsidR="00080C47" w14:paraId="00ADFA5E" w14:textId="77777777" w:rsidTr="48B0C125">
        <w:tc>
          <w:tcPr>
            <w:tcW w:w="2250" w:type="dxa"/>
            <w:tcBorders>
              <w:top w:val="nil"/>
              <w:left w:val="nil"/>
              <w:bottom w:val="nil"/>
              <w:right w:val="nil"/>
            </w:tcBorders>
          </w:tcPr>
          <w:p w14:paraId="0330E3EA" w14:textId="77777777" w:rsidR="00080C47" w:rsidRDefault="00080C47" w:rsidP="4CFBE0F0">
            <w:pPr>
              <w:pStyle w:val="TableBody"/>
              <w:rPr>
                <w:rFonts w:eastAsia="Arial"/>
              </w:rPr>
            </w:pPr>
          </w:p>
        </w:tc>
        <w:tc>
          <w:tcPr>
            <w:tcW w:w="3510" w:type="dxa"/>
            <w:tcBorders>
              <w:top w:val="nil"/>
              <w:left w:val="nil"/>
              <w:bottom w:val="nil"/>
              <w:right w:val="nil"/>
            </w:tcBorders>
          </w:tcPr>
          <w:p w14:paraId="05A4332C" w14:textId="77777777" w:rsidR="00080C47" w:rsidRDefault="00080C47" w:rsidP="009B4783">
            <w:pPr>
              <w:pStyle w:val="TableBody"/>
              <w:rPr>
                <w:rFonts w:eastAsia="Arial"/>
              </w:rPr>
            </w:pPr>
          </w:p>
        </w:tc>
        <w:tc>
          <w:tcPr>
            <w:tcW w:w="3600" w:type="dxa"/>
            <w:tcBorders>
              <w:top w:val="nil"/>
              <w:left w:val="nil"/>
              <w:bottom w:val="nil"/>
              <w:right w:val="nil"/>
            </w:tcBorders>
          </w:tcPr>
          <w:p w14:paraId="074BC414" w14:textId="77777777" w:rsidR="00080C47" w:rsidRPr="003526C0" w:rsidRDefault="00080C47" w:rsidP="003526C0">
            <w:pPr>
              <w:rPr>
                <w:rFonts w:eastAsia="Arial"/>
                <w:sz w:val="18"/>
                <w:szCs w:val="18"/>
              </w:rPr>
            </w:pPr>
          </w:p>
        </w:tc>
      </w:tr>
      <w:tr w:rsidR="00F50A01" w14:paraId="7B1BC802" w14:textId="77777777" w:rsidTr="48B0C125">
        <w:tc>
          <w:tcPr>
            <w:tcW w:w="9360" w:type="dxa"/>
            <w:gridSpan w:val="3"/>
            <w:tcBorders>
              <w:top w:val="single" w:sz="4" w:space="0" w:color="auto"/>
              <w:left w:val="nil"/>
              <w:bottom w:val="nil"/>
              <w:right w:val="nil"/>
            </w:tcBorders>
          </w:tcPr>
          <w:p w14:paraId="3619490F" w14:textId="5CEC36F9" w:rsidR="006528B7" w:rsidRPr="006528B7" w:rsidRDefault="0CDBF178" w:rsidP="0CDBF178">
            <w:pPr>
              <w:pStyle w:val="TableNote"/>
              <w:rPr>
                <w:rFonts w:eastAsia="Arial" w:cs="Arial"/>
              </w:rPr>
            </w:pPr>
            <w:r w:rsidRPr="0CDBF178">
              <w:rPr>
                <w:rFonts w:eastAsia="Arial" w:cs="Arial"/>
              </w:rPr>
              <w:t>Notes: Regarding materials efficiency, the Energy Policy Solutions Simulator () suggests that material efficiency could reduce cement demand by 70% and steel demand by 65% if sales reached a steady state. We have taken a more conservative estimate of the potential as a 30% reduction in demand for these materials compared to baseline, given that demand will increase in LAC as GDP rises and to avoid double counting the impact of recycling as a transformation in Circular Economy.</w:t>
            </w:r>
          </w:p>
          <w:p w14:paraId="57F41849" w14:textId="6E15CDAA" w:rsidR="00E76911" w:rsidRDefault="0CDBF178" w:rsidP="0CDBF178">
            <w:pPr>
              <w:pStyle w:val="TableNote"/>
              <w:rPr>
                <w:rFonts w:eastAsia="Arial"/>
              </w:rPr>
            </w:pPr>
            <w:r w:rsidRPr="0CDBF178">
              <w:rPr>
                <w:rFonts w:eastAsia="Arial"/>
              </w:rPr>
              <w:t>Regarding F-gas, the EPA’s non-CO2 Greenhouse Gas Data Tool suggests that by 2050, 85% of the emissions from F-</w:t>
            </w:r>
            <w:proofErr w:type="gramStart"/>
            <w:r w:rsidRPr="0CDBF178">
              <w:rPr>
                <w:rFonts w:eastAsia="Arial"/>
              </w:rPr>
              <w:t>gases</w:t>
            </w:r>
            <w:proofErr w:type="gramEnd"/>
            <w:r w:rsidRPr="0CDBF178">
              <w:rPr>
                <w:rFonts w:eastAsia="Arial"/>
              </w:rPr>
              <w:t xml:space="preserve"> could be abated. The EPA estimates a net increase in demand for these gases, whereas here it is per unit of demand, making the transformation described here more conservative.</w:t>
            </w:r>
          </w:p>
          <w:p w14:paraId="35C91D6B" w14:textId="1BB30BE6" w:rsidR="00F50A01" w:rsidRPr="00F50A01" w:rsidRDefault="0CDBF178" w:rsidP="0CDBF178">
            <w:pPr>
              <w:pStyle w:val="TableNote"/>
              <w:rPr>
                <w:rFonts w:eastAsia="Arial"/>
              </w:rPr>
            </w:pPr>
            <w:r w:rsidRPr="0CDBF178">
              <w:rPr>
                <w:rFonts w:eastAsia="Arial"/>
              </w:rPr>
              <w:t xml:space="preserve">Regarding clinker substitution, the amount of cement that can be replaced depends upon the replacement material. We estimate a potential replacement of 50%, given the range described by </w:t>
            </w:r>
            <w:proofErr w:type="spellStart"/>
            <w:r w:rsidRPr="0CDBF178">
              <w:rPr>
                <w:rFonts w:eastAsia="Arial"/>
              </w:rPr>
              <w:t>Atunes</w:t>
            </w:r>
            <w:proofErr w:type="spellEnd"/>
            <w:r w:rsidRPr="0CDBF178">
              <w:rPr>
                <w:rFonts w:eastAsia="Arial"/>
              </w:rPr>
              <w:t xml:space="preserve"> et al. (2021). Such replacement could be possible for all cement, given that reuse of fly ash, one of the most widely used substitutes, remains highly underutilized (Herath et al., 2020).</w:t>
            </w:r>
          </w:p>
          <w:p w14:paraId="2866641F" w14:textId="77777777" w:rsidR="00F50A01" w:rsidRPr="30FF5F6D" w:rsidRDefault="00F50A01" w:rsidP="009B4783">
            <w:pPr>
              <w:pStyle w:val="TableBody"/>
              <w:rPr>
                <w:rFonts w:eastAsia="Arial"/>
              </w:rPr>
            </w:pPr>
          </w:p>
        </w:tc>
      </w:tr>
    </w:tbl>
    <w:p w14:paraId="6FAB0E70" w14:textId="3DA00B2E" w:rsidR="00F50A01" w:rsidRPr="00563921" w:rsidRDefault="0CDBF178">
      <w:pPr>
        <w:pStyle w:val="Heading9"/>
        <w:rPr>
          <w:rFonts w:ascii="Times New Roman" w:hAnsi="Times New Roman"/>
          <w:sz w:val="24"/>
          <w:szCs w:val="24"/>
        </w:rPr>
      </w:pPr>
      <w:bookmarkStart w:id="63" w:name="_Toc152088324"/>
      <w:r w:rsidRPr="0CDBF178">
        <w:rPr>
          <w:rFonts w:eastAsia="Arial"/>
        </w:rPr>
        <w:lastRenderedPageBreak/>
        <w:t>Table C.3 Industry transformations’ technical costs</w:t>
      </w:r>
      <w:bookmarkEnd w:id="63"/>
    </w:p>
    <w:tbl>
      <w:tblPr>
        <w:tblStyle w:val="TableGrid"/>
        <w:tblW w:w="0" w:type="auto"/>
        <w:tblLayout w:type="fixed"/>
        <w:tblLook w:val="0620" w:firstRow="1" w:lastRow="0" w:firstColumn="0" w:lastColumn="0" w:noHBand="1" w:noVBand="1"/>
      </w:tblPr>
      <w:tblGrid>
        <w:gridCol w:w="2610"/>
        <w:gridCol w:w="2610"/>
        <w:gridCol w:w="4140"/>
      </w:tblGrid>
      <w:tr w:rsidR="00A512CE" w14:paraId="328A6810"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610" w:type="dxa"/>
            <w:tcBorders>
              <w:left w:val="nil"/>
              <w:right w:val="nil"/>
            </w:tcBorders>
            <w:vAlign w:val="bottom"/>
          </w:tcPr>
          <w:p w14:paraId="419A90A2" w14:textId="77777777" w:rsidR="00A512CE" w:rsidRDefault="00A512CE" w:rsidP="00E75B3C">
            <w:r w:rsidRPr="37345C14">
              <w:rPr>
                <w:rFonts w:eastAsia="Arial" w:cs="Arial"/>
                <w:b/>
                <w:bCs/>
                <w:sz w:val="18"/>
                <w:szCs w:val="18"/>
              </w:rPr>
              <w:t>Transformation</w:t>
            </w:r>
          </w:p>
        </w:tc>
        <w:tc>
          <w:tcPr>
            <w:tcW w:w="2610" w:type="dxa"/>
            <w:tcBorders>
              <w:left w:val="nil"/>
              <w:right w:val="nil"/>
            </w:tcBorders>
          </w:tcPr>
          <w:p w14:paraId="7CE2B711" w14:textId="7249079E" w:rsidR="00A512CE" w:rsidRDefault="0CDBF178">
            <w:pPr>
              <w:jc w:val="center"/>
              <w:rPr>
                <w:rFonts w:eastAsia="Arial" w:cs="Arial"/>
                <w:b/>
                <w:bCs/>
                <w:sz w:val="18"/>
                <w:szCs w:val="18"/>
              </w:rPr>
            </w:pPr>
            <w:r w:rsidRPr="0CDBF178">
              <w:rPr>
                <w:rFonts w:eastAsia="Arial" w:cs="Arial"/>
                <w:b/>
                <w:bCs/>
                <w:sz w:val="18"/>
                <w:szCs w:val="18"/>
              </w:rPr>
              <w:t>Technical costs</w:t>
            </w:r>
            <w:r w:rsidR="00A512CE">
              <w:br/>
            </w:r>
            <w:r w:rsidRPr="005A562F">
              <w:rPr>
                <w:rFonts w:eastAsia="Arial" w:cs="Arial"/>
                <w:b/>
                <w:bCs/>
                <w:sz w:val="18"/>
                <w:szCs w:val="18"/>
              </w:rPr>
              <w:t>(LAC average in 2019 USD)</w:t>
            </w:r>
          </w:p>
          <w:p w14:paraId="61AB6BBE" w14:textId="7C918D9A" w:rsidR="00D227FB" w:rsidRPr="00855CAA" w:rsidRDefault="00D227FB" w:rsidP="00E75B3C">
            <w:pPr>
              <w:jc w:val="center"/>
            </w:pPr>
            <w:r w:rsidRPr="00855CAA">
              <w:rPr>
                <w:rFonts w:eastAsia="Arial" w:cs="Arial"/>
                <w:sz w:val="18"/>
                <w:szCs w:val="18"/>
              </w:rPr>
              <w:t xml:space="preserve">(Negative values indicate </w:t>
            </w:r>
            <w:r w:rsidR="00EF02F3">
              <w:rPr>
                <w:rFonts w:eastAsia="Arial" w:cs="Arial"/>
                <w:sz w:val="18"/>
                <w:szCs w:val="18"/>
              </w:rPr>
              <w:t>avoided costs</w:t>
            </w:r>
            <w:r w:rsidR="00034751">
              <w:rPr>
                <w:rFonts w:eastAsia="Arial" w:cs="Arial"/>
                <w:sz w:val="18"/>
                <w:szCs w:val="18"/>
              </w:rPr>
              <w:t>, i.e., savings</w:t>
            </w:r>
            <w:r w:rsidRPr="00855CAA">
              <w:rPr>
                <w:rFonts w:eastAsia="Arial" w:cs="Arial"/>
                <w:sz w:val="18"/>
                <w:szCs w:val="18"/>
              </w:rPr>
              <w:t>)</w:t>
            </w:r>
          </w:p>
        </w:tc>
        <w:tc>
          <w:tcPr>
            <w:tcW w:w="4140" w:type="dxa"/>
            <w:tcBorders>
              <w:left w:val="nil"/>
              <w:right w:val="nil"/>
            </w:tcBorders>
          </w:tcPr>
          <w:p w14:paraId="08515083" w14:textId="2BD601CF" w:rsidR="00A512CE" w:rsidRDefault="0CDBF178">
            <w:pPr>
              <w:jc w:val="center"/>
            </w:pPr>
            <w:r w:rsidRPr="0CDBF178">
              <w:rPr>
                <w:rFonts w:eastAsia="Arial" w:cs="Arial"/>
                <w:b/>
                <w:bCs/>
                <w:sz w:val="18"/>
                <w:szCs w:val="18"/>
              </w:rPr>
              <w:t>Notes and data sources</w:t>
            </w:r>
          </w:p>
        </w:tc>
      </w:tr>
      <w:tr w:rsidR="00A512CE" w14:paraId="28CAFFDA" w14:textId="77777777" w:rsidTr="7654BBD9">
        <w:tc>
          <w:tcPr>
            <w:tcW w:w="9360" w:type="dxa"/>
            <w:gridSpan w:val="3"/>
            <w:tcBorders>
              <w:top w:val="nil"/>
              <w:left w:val="nil"/>
              <w:bottom w:val="nil"/>
              <w:right w:val="nil"/>
            </w:tcBorders>
          </w:tcPr>
          <w:p w14:paraId="02C709AE" w14:textId="331E9501" w:rsidR="00A512CE" w:rsidRPr="00C06B37" w:rsidRDefault="0CDBF178" w:rsidP="0CDBF178">
            <w:pPr>
              <w:pStyle w:val="TableBody"/>
              <w:rPr>
                <w:rFonts w:eastAsia="Arial"/>
                <w:i/>
                <w:iCs/>
              </w:rPr>
            </w:pPr>
            <w:r w:rsidRPr="0CDBF178">
              <w:rPr>
                <w:rFonts w:eastAsia="Arial"/>
                <w:i/>
                <w:iCs/>
              </w:rPr>
              <w:t>Improve material use</w:t>
            </w:r>
          </w:p>
        </w:tc>
      </w:tr>
      <w:tr w:rsidR="00A512CE" w14:paraId="14F8B985" w14:textId="77777777" w:rsidTr="7654BBD9">
        <w:tc>
          <w:tcPr>
            <w:tcW w:w="2610" w:type="dxa"/>
            <w:tcBorders>
              <w:top w:val="nil"/>
              <w:left w:val="nil"/>
              <w:bottom w:val="nil"/>
              <w:right w:val="nil"/>
            </w:tcBorders>
          </w:tcPr>
          <w:p w14:paraId="0EC6050C" w14:textId="55E3C258" w:rsidR="00A512CE" w:rsidRDefault="0CDBF178" w:rsidP="00A512CE">
            <w:pPr>
              <w:pStyle w:val="TableBody"/>
            </w:pPr>
            <w:r w:rsidRPr="0CDBF178">
              <w:rPr>
                <w:rFonts w:eastAsia="Arial"/>
              </w:rPr>
              <w:t>Reducing demand through material efficiency, longevity, and reuse (cement and steel)</w:t>
            </w:r>
          </w:p>
        </w:tc>
        <w:tc>
          <w:tcPr>
            <w:tcW w:w="2610" w:type="dxa"/>
            <w:tcBorders>
              <w:top w:val="nil"/>
              <w:left w:val="nil"/>
              <w:bottom w:val="nil"/>
              <w:right w:val="nil"/>
            </w:tcBorders>
          </w:tcPr>
          <w:p w14:paraId="0DEFE949" w14:textId="59AF1A8D" w:rsidR="00C7354D" w:rsidRDefault="0CDBF178" w:rsidP="00A512CE">
            <w:pPr>
              <w:pStyle w:val="TableBody"/>
              <w:rPr>
                <w:rFonts w:eastAsia="Arial"/>
              </w:rPr>
            </w:pPr>
            <w:r w:rsidRPr="0CDBF178">
              <w:rPr>
                <w:rFonts w:eastAsia="Arial"/>
              </w:rPr>
              <w:t>$85/ton cement avoided</w:t>
            </w:r>
          </w:p>
          <w:p w14:paraId="0DDC1AE9" w14:textId="6B90B98A" w:rsidR="00A512CE" w:rsidRDefault="0CDBF178" w:rsidP="00A512CE">
            <w:pPr>
              <w:pStyle w:val="TableBody"/>
              <w:rPr>
                <w:rFonts w:eastAsia="Arial"/>
              </w:rPr>
            </w:pPr>
            <w:r w:rsidRPr="0CDBF178">
              <w:rPr>
                <w:rFonts w:eastAsia="Arial"/>
              </w:rPr>
              <w:t>$370/ton steel avoided</w:t>
            </w:r>
          </w:p>
          <w:p w14:paraId="5DBC6657" w14:textId="2FEAF269" w:rsidR="00A512CE" w:rsidRDefault="00A512CE" w:rsidP="00A512CE">
            <w:pPr>
              <w:pStyle w:val="TableBody"/>
            </w:pPr>
          </w:p>
        </w:tc>
        <w:tc>
          <w:tcPr>
            <w:tcW w:w="4140" w:type="dxa"/>
            <w:tcBorders>
              <w:top w:val="nil"/>
              <w:left w:val="nil"/>
              <w:bottom w:val="nil"/>
              <w:right w:val="nil"/>
            </w:tcBorders>
          </w:tcPr>
          <w:p w14:paraId="1FAEEE4D" w14:textId="0BC3B372" w:rsidR="00A512CE" w:rsidRDefault="0CDBF178">
            <w:pPr>
              <w:pStyle w:val="TableBody"/>
            </w:pPr>
            <w:r w:rsidRPr="0CDBF178">
              <w:rPr>
                <w:rFonts w:eastAsia="Arial" w:cs="Arial"/>
              </w:rPr>
              <w:t>Efficiency in materials presents a savings equivalent to the cost of material use or production that is avoided, less the cost of efforts to implement efficiency and longevity measures. Here, we assume 90% of the cost of materials is realized as savings, with 10% used to achieve reductions. Steel’s cost in LAC is estimated at $410/ton (ITA, undated, adjusted from US prices in January 2019 of $800/ton) and the cost of cement is estimated at $94/ton (</w:t>
            </w:r>
            <w:proofErr w:type="spellStart"/>
            <w:r>
              <w:t>Sindicato</w:t>
            </w:r>
            <w:proofErr w:type="spellEnd"/>
            <w:r>
              <w:t xml:space="preserve"> Nacional da </w:t>
            </w:r>
            <w:proofErr w:type="spellStart"/>
            <w:r>
              <w:t>Indústria</w:t>
            </w:r>
            <w:proofErr w:type="spellEnd"/>
            <w:r>
              <w:t xml:space="preserve"> do </w:t>
            </w:r>
            <w:proofErr w:type="spellStart"/>
            <w:r>
              <w:t>Cimento</w:t>
            </w:r>
            <w:proofErr w:type="spellEnd"/>
            <w:r>
              <w:t>, 2022</w:t>
            </w:r>
            <w:r w:rsidRPr="0CDBF178">
              <w:rPr>
                <w:rFonts w:eastAsia="Arial" w:cs="Arial"/>
              </w:rPr>
              <w:t>)</w:t>
            </w:r>
          </w:p>
        </w:tc>
      </w:tr>
      <w:tr w:rsidR="00A512CE" w14:paraId="2FE347DD" w14:textId="77777777" w:rsidTr="7654BBD9">
        <w:tc>
          <w:tcPr>
            <w:tcW w:w="2610" w:type="dxa"/>
            <w:tcBorders>
              <w:top w:val="nil"/>
              <w:left w:val="nil"/>
              <w:bottom w:val="nil"/>
              <w:right w:val="nil"/>
            </w:tcBorders>
          </w:tcPr>
          <w:p w14:paraId="7EEA95C2" w14:textId="77777777" w:rsidR="00A512CE" w:rsidRDefault="00A512CE" w:rsidP="00A512CE">
            <w:pPr>
              <w:pStyle w:val="TableBody"/>
            </w:pPr>
            <w:r>
              <w:rPr>
                <w:rFonts w:eastAsia="Arial"/>
              </w:rPr>
              <w:t>Clinker substitution (cement)</w:t>
            </w:r>
          </w:p>
        </w:tc>
        <w:tc>
          <w:tcPr>
            <w:tcW w:w="2610" w:type="dxa"/>
            <w:tcBorders>
              <w:top w:val="nil"/>
              <w:left w:val="nil"/>
              <w:bottom w:val="nil"/>
              <w:right w:val="nil"/>
            </w:tcBorders>
          </w:tcPr>
          <w:p w14:paraId="397969E4" w14:textId="746EA2C9" w:rsidR="00A512CE" w:rsidRDefault="0CDBF178" w:rsidP="00A512CE">
            <w:pPr>
              <w:pStyle w:val="TableBody"/>
            </w:pPr>
            <w:r w:rsidRPr="0CDBF178">
              <w:rPr>
                <w:rFonts w:eastAsia="Arial"/>
              </w:rPr>
              <w:t xml:space="preserve">$47/ton of clinker substitution </w:t>
            </w:r>
          </w:p>
        </w:tc>
        <w:tc>
          <w:tcPr>
            <w:tcW w:w="4140" w:type="dxa"/>
            <w:tcBorders>
              <w:top w:val="nil"/>
              <w:left w:val="nil"/>
              <w:bottom w:val="nil"/>
              <w:right w:val="nil"/>
            </w:tcBorders>
          </w:tcPr>
          <w:p w14:paraId="0C839B23" w14:textId="3B5D8BFC" w:rsidR="00A512CE" w:rsidRDefault="0CDBF178">
            <w:pPr>
              <w:pStyle w:val="TableBody"/>
              <w:rPr>
                <w:rFonts w:eastAsia="Arial"/>
              </w:rPr>
            </w:pPr>
            <w:r w:rsidRPr="0CDBF178">
              <w:rPr>
                <w:rFonts w:eastAsia="Arial"/>
              </w:rPr>
              <w:t>Leming et al. (2017) estimate that a ton of fly ash costs roughly one-third of a ton of cement, although more fly ash may be needed to replace an equivalent amount of clinker to achieve the same physical properties. We estimate therefore that each ton of substitution results in 50% savings in cement costs, which was approximately $94/ton in LAC in 2019 (</w:t>
            </w:r>
            <w:proofErr w:type="spellStart"/>
            <w:r>
              <w:t>Sindicato</w:t>
            </w:r>
            <w:proofErr w:type="spellEnd"/>
            <w:r>
              <w:t xml:space="preserve"> Nacional da </w:t>
            </w:r>
            <w:proofErr w:type="spellStart"/>
            <w:r>
              <w:t>Indústria</w:t>
            </w:r>
            <w:proofErr w:type="spellEnd"/>
            <w:r>
              <w:t xml:space="preserve"> do </w:t>
            </w:r>
            <w:proofErr w:type="spellStart"/>
            <w:r>
              <w:t>Cimento</w:t>
            </w:r>
            <w:proofErr w:type="spellEnd"/>
            <w:r>
              <w:t>, 2022</w:t>
            </w:r>
            <w:r w:rsidRPr="0CDBF178">
              <w:rPr>
                <w:rFonts w:eastAsia="Arial"/>
              </w:rPr>
              <w:t>).</w:t>
            </w:r>
          </w:p>
        </w:tc>
      </w:tr>
      <w:tr w:rsidR="00C51C8D" w14:paraId="7E842010" w14:textId="77777777" w:rsidTr="7654BBD9">
        <w:tc>
          <w:tcPr>
            <w:tcW w:w="9360" w:type="dxa"/>
            <w:gridSpan w:val="3"/>
            <w:tcBorders>
              <w:top w:val="nil"/>
              <w:left w:val="nil"/>
              <w:bottom w:val="nil"/>
              <w:right w:val="nil"/>
            </w:tcBorders>
          </w:tcPr>
          <w:p w14:paraId="2E1F36C0" w14:textId="7F462768" w:rsidR="00C51C8D" w:rsidRDefault="7654BBD9" w:rsidP="0CDBF178">
            <w:pPr>
              <w:pStyle w:val="TableBody"/>
              <w:rPr>
                <w:rFonts w:eastAsia="Arial"/>
              </w:rPr>
            </w:pPr>
            <w:r w:rsidRPr="7654BBD9">
              <w:rPr>
                <w:rFonts w:eastAsia="Arial"/>
                <w:i/>
                <w:iCs/>
              </w:rPr>
              <w:t>Improve industrial processes and energy use</w:t>
            </w:r>
          </w:p>
        </w:tc>
      </w:tr>
      <w:tr w:rsidR="004613F3" w14:paraId="11E6E0BE" w14:textId="77777777" w:rsidTr="7654BBD9">
        <w:tc>
          <w:tcPr>
            <w:tcW w:w="2610" w:type="dxa"/>
            <w:tcBorders>
              <w:top w:val="nil"/>
              <w:left w:val="nil"/>
              <w:bottom w:val="nil"/>
              <w:right w:val="nil"/>
            </w:tcBorders>
          </w:tcPr>
          <w:p w14:paraId="2DCF0E7C" w14:textId="77777777" w:rsidR="004613F3" w:rsidRPr="4CFBE0F0" w:rsidRDefault="004613F3" w:rsidP="004613F3">
            <w:pPr>
              <w:pStyle w:val="TableBody"/>
              <w:rPr>
                <w:rFonts w:eastAsia="Arial"/>
              </w:rPr>
            </w:pPr>
            <w:r>
              <w:rPr>
                <w:rFonts w:eastAsia="Arial"/>
              </w:rPr>
              <w:t>Improve energy efficiency of existing processes</w:t>
            </w:r>
          </w:p>
        </w:tc>
        <w:tc>
          <w:tcPr>
            <w:tcW w:w="2610" w:type="dxa"/>
            <w:tcBorders>
              <w:top w:val="nil"/>
              <w:left w:val="nil"/>
              <w:bottom w:val="nil"/>
              <w:right w:val="nil"/>
            </w:tcBorders>
          </w:tcPr>
          <w:p w14:paraId="7B6B6A82" w14:textId="038DDBAA" w:rsidR="004613F3" w:rsidRPr="008A3DCA" w:rsidRDefault="004613F3" w:rsidP="003440FF">
            <w:pPr>
              <w:pStyle w:val="TableBody"/>
              <w:rPr>
                <w:rFonts w:eastAsia="Arial"/>
              </w:rPr>
            </w:pPr>
            <w:r w:rsidRPr="008A3DCA">
              <w:rPr>
                <w:rFonts w:eastAsia="Arial"/>
              </w:rPr>
              <w:t>$</w:t>
            </w:r>
            <w:r w:rsidR="003440FF" w:rsidRPr="008A3DCA">
              <w:rPr>
                <w:rFonts w:eastAsia="Arial"/>
              </w:rPr>
              <w:t>1</w:t>
            </w:r>
            <w:r w:rsidR="00FB54CB" w:rsidRPr="008A3DCA">
              <w:rPr>
                <w:rFonts w:eastAsia="Arial"/>
              </w:rPr>
              <w:t>0</w:t>
            </w:r>
            <w:r w:rsidR="003440FF" w:rsidRPr="008A3DCA">
              <w:rPr>
                <w:rFonts w:eastAsia="Arial"/>
              </w:rPr>
              <w:t>/G</w:t>
            </w:r>
            <w:r w:rsidR="00582EE3" w:rsidRPr="008A3DCA">
              <w:rPr>
                <w:rFonts w:eastAsia="Arial"/>
              </w:rPr>
              <w:t>J</w:t>
            </w:r>
          </w:p>
        </w:tc>
        <w:tc>
          <w:tcPr>
            <w:tcW w:w="4140" w:type="dxa"/>
            <w:tcBorders>
              <w:top w:val="nil"/>
              <w:left w:val="nil"/>
              <w:bottom w:val="nil"/>
              <w:right w:val="nil"/>
            </w:tcBorders>
          </w:tcPr>
          <w:p w14:paraId="62E1F7A8" w14:textId="145A4F1E" w:rsidR="004613F3" w:rsidRPr="008A3DCA" w:rsidRDefault="48B0C125" w:rsidP="008A3DCA">
            <w:pPr>
              <w:pStyle w:val="TableBody"/>
              <w:rPr>
                <w:rFonts w:eastAsia="Arial"/>
              </w:rPr>
            </w:pPr>
            <w:r w:rsidRPr="008A3DCA">
              <w:t>Talaei et al. (2019, Table 4) and Talaei et al. (2020, Table 6) estimate the capital cost of increasing energy efficiency of the existing Canadian cement and steel industries, respectively.  Average costs across interventions in both industries are CAD$18/</w:t>
            </w:r>
            <w:r w:rsidRPr="008A3DCA">
              <w:rPr>
                <w:rFonts w:eastAsia="Arial"/>
              </w:rPr>
              <w:t>gigajoule (GJ)</w:t>
            </w:r>
            <w:r w:rsidRPr="008A3DCA">
              <w:t xml:space="preserve"> for cement in and CAD$44/GJ for steel. </w:t>
            </w:r>
          </w:p>
        </w:tc>
      </w:tr>
      <w:tr w:rsidR="004613F3" w14:paraId="5A5D9AB4" w14:textId="77777777" w:rsidTr="7654BBD9">
        <w:tc>
          <w:tcPr>
            <w:tcW w:w="2610" w:type="dxa"/>
            <w:tcBorders>
              <w:top w:val="nil"/>
              <w:left w:val="nil"/>
              <w:bottom w:val="nil"/>
              <w:right w:val="nil"/>
            </w:tcBorders>
          </w:tcPr>
          <w:p w14:paraId="7B6C3204" w14:textId="77777777" w:rsidR="004613F3" w:rsidRDefault="004613F3" w:rsidP="004613F3">
            <w:pPr>
              <w:pStyle w:val="TableBody"/>
              <w:rPr>
                <w:rFonts w:eastAsia="Arial"/>
              </w:rPr>
            </w:pPr>
            <w:r>
              <w:rPr>
                <w:rFonts w:eastAsia="Arial"/>
              </w:rPr>
              <w:t>Electrify low-temperature industrial heat</w:t>
            </w:r>
          </w:p>
        </w:tc>
        <w:tc>
          <w:tcPr>
            <w:tcW w:w="2610" w:type="dxa"/>
            <w:tcBorders>
              <w:top w:val="nil"/>
              <w:left w:val="nil"/>
              <w:bottom w:val="nil"/>
              <w:right w:val="nil"/>
            </w:tcBorders>
          </w:tcPr>
          <w:p w14:paraId="39F930AD" w14:textId="313CA067" w:rsidR="004613F3" w:rsidRDefault="0CDBF178" w:rsidP="004613F3">
            <w:pPr>
              <w:pStyle w:val="TableBody"/>
              <w:rPr>
                <w:rFonts w:eastAsia="Arial"/>
              </w:rPr>
            </w:pPr>
            <w:r w:rsidRPr="0CDBF178">
              <w:rPr>
                <w:rFonts w:eastAsia="Arial"/>
              </w:rPr>
              <w:t>$5/megawatt hour of thermal heat (</w:t>
            </w:r>
            <w:proofErr w:type="spellStart"/>
            <w:r w:rsidRPr="0CDBF178">
              <w:rPr>
                <w:rFonts w:eastAsia="Arial"/>
              </w:rPr>
              <w:t>MWhth</w:t>
            </w:r>
            <w:proofErr w:type="spellEnd"/>
            <w:r w:rsidRPr="00667429">
              <w:rPr>
                <w:rFonts w:eastAsia="Arial"/>
              </w:rPr>
              <w:t>)</w:t>
            </w:r>
            <w:r w:rsidRPr="0CDBF178">
              <w:rPr>
                <w:rFonts w:eastAsia="Arial"/>
              </w:rPr>
              <w:t xml:space="preserve"> capital cost</w:t>
            </w:r>
          </w:p>
          <w:p w14:paraId="031A3942" w14:textId="77777777" w:rsidR="00596D82" w:rsidRDefault="00596D82" w:rsidP="004613F3">
            <w:pPr>
              <w:pStyle w:val="TableBody"/>
              <w:rPr>
                <w:rFonts w:eastAsia="Arial"/>
              </w:rPr>
            </w:pPr>
          </w:p>
          <w:p w14:paraId="00C7AE61" w14:textId="503126E6" w:rsidR="00596D82" w:rsidRPr="611045C5" w:rsidRDefault="0CDBF178" w:rsidP="004613F3">
            <w:pPr>
              <w:pStyle w:val="TableBody"/>
              <w:rPr>
                <w:rFonts w:eastAsia="Arial"/>
              </w:rPr>
            </w:pPr>
            <w:r w:rsidRPr="0CDBF178">
              <w:rPr>
                <w:rFonts w:eastAsia="Arial"/>
              </w:rPr>
              <w:t>$0.90/</w:t>
            </w:r>
            <w:proofErr w:type="spellStart"/>
            <w:r w:rsidRPr="0CDBF178">
              <w:rPr>
                <w:rFonts w:eastAsia="Arial"/>
              </w:rPr>
              <w:t>MWhth</w:t>
            </w:r>
            <w:proofErr w:type="spellEnd"/>
            <w:r w:rsidRPr="0CDBF178">
              <w:rPr>
                <w:rFonts w:eastAsia="Arial"/>
              </w:rPr>
              <w:t xml:space="preserve"> non-fuel operations and maintenance</w:t>
            </w:r>
          </w:p>
        </w:tc>
        <w:tc>
          <w:tcPr>
            <w:tcW w:w="4140" w:type="dxa"/>
            <w:tcBorders>
              <w:top w:val="nil"/>
              <w:left w:val="nil"/>
              <w:bottom w:val="nil"/>
              <w:right w:val="nil"/>
            </w:tcBorders>
          </w:tcPr>
          <w:p w14:paraId="07797A83" w14:textId="1E13A72D" w:rsidR="004613F3" w:rsidRDefault="0CDBF178" w:rsidP="004613F3">
            <w:pPr>
              <w:pStyle w:val="TableBody"/>
              <w:rPr>
                <w:rFonts w:eastAsia="Arial"/>
              </w:rPr>
            </w:pPr>
            <w:r w:rsidRPr="0CDBF178">
              <w:rPr>
                <w:rFonts w:eastAsia="Arial"/>
              </w:rPr>
              <w:t>Rissman (2022) estimates that heat pumps have a levelized capital cost of $8/MW of thermal heat demand compared to other technologies (although this cost premium is rapidly shrinking), and a $1.50 savings in non-fuel operating expenditure (</w:t>
            </w:r>
            <w:proofErr w:type="spellStart"/>
            <w:r w:rsidRPr="0CDBF178">
              <w:rPr>
                <w:rFonts w:eastAsia="Arial"/>
              </w:rPr>
              <w:t>opex</w:t>
            </w:r>
            <w:proofErr w:type="spellEnd"/>
            <w:r w:rsidRPr="0CDBF178">
              <w:rPr>
                <w:rFonts w:eastAsia="Arial"/>
              </w:rPr>
              <w:t>) in the US in 2022 dollars. (No discount rate is documented in this report, and we use levelized costs as presented.)</w:t>
            </w:r>
          </w:p>
        </w:tc>
      </w:tr>
      <w:tr w:rsidR="004613F3" w14:paraId="3C7C476C" w14:textId="77777777" w:rsidTr="7654BBD9">
        <w:tc>
          <w:tcPr>
            <w:tcW w:w="2610" w:type="dxa"/>
            <w:tcBorders>
              <w:top w:val="nil"/>
              <w:left w:val="nil"/>
              <w:bottom w:val="nil"/>
              <w:right w:val="nil"/>
            </w:tcBorders>
          </w:tcPr>
          <w:p w14:paraId="5404C9B0" w14:textId="77777777" w:rsidR="004613F3" w:rsidRDefault="004613F3" w:rsidP="004613F3">
            <w:pPr>
              <w:pStyle w:val="TableBody"/>
              <w:rPr>
                <w:rFonts w:eastAsia="Arial"/>
              </w:rPr>
            </w:pPr>
            <w:r>
              <w:rPr>
                <w:rFonts w:eastAsia="Arial"/>
              </w:rPr>
              <w:t>Transition medium and high-temperature industrial heat to electricity and hydrogen</w:t>
            </w:r>
          </w:p>
        </w:tc>
        <w:tc>
          <w:tcPr>
            <w:tcW w:w="2610" w:type="dxa"/>
            <w:tcBorders>
              <w:top w:val="nil"/>
              <w:left w:val="nil"/>
              <w:bottom w:val="nil"/>
              <w:right w:val="nil"/>
            </w:tcBorders>
          </w:tcPr>
          <w:p w14:paraId="680F7BB0" w14:textId="77777777" w:rsidR="004613F3" w:rsidRDefault="007D56BB" w:rsidP="004613F3">
            <w:pPr>
              <w:pStyle w:val="TableBody"/>
              <w:rPr>
                <w:rFonts w:eastAsia="Arial"/>
              </w:rPr>
            </w:pPr>
            <w:r>
              <w:rPr>
                <w:rFonts w:eastAsia="Arial"/>
              </w:rPr>
              <w:t>$</w:t>
            </w:r>
            <w:r w:rsidR="007F7DCB">
              <w:rPr>
                <w:rFonts w:eastAsia="Arial"/>
              </w:rPr>
              <w:t>15</w:t>
            </w:r>
            <w:r>
              <w:rPr>
                <w:rFonts w:eastAsia="Arial"/>
              </w:rPr>
              <w:t>/</w:t>
            </w:r>
            <w:proofErr w:type="spellStart"/>
            <w:r>
              <w:rPr>
                <w:rFonts w:eastAsia="Arial"/>
              </w:rPr>
              <w:t>MWhth</w:t>
            </w:r>
            <w:proofErr w:type="spellEnd"/>
            <w:r>
              <w:rPr>
                <w:rFonts w:eastAsia="Arial"/>
              </w:rPr>
              <w:t xml:space="preserve"> capital cost</w:t>
            </w:r>
          </w:p>
          <w:p w14:paraId="6B8A07B4" w14:textId="77777777" w:rsidR="002A1F5C" w:rsidRDefault="002A1F5C" w:rsidP="004613F3">
            <w:pPr>
              <w:pStyle w:val="TableBody"/>
              <w:rPr>
                <w:rFonts w:eastAsia="Arial"/>
              </w:rPr>
            </w:pPr>
          </w:p>
          <w:p w14:paraId="56BA4272" w14:textId="238D36CB" w:rsidR="002A1F5C" w:rsidRPr="611045C5" w:rsidRDefault="0CDBF178" w:rsidP="004613F3">
            <w:pPr>
              <w:pStyle w:val="TableBody"/>
              <w:rPr>
                <w:rFonts w:eastAsia="Arial"/>
              </w:rPr>
            </w:pPr>
            <w:r w:rsidRPr="0CDBF178">
              <w:rPr>
                <w:rFonts w:eastAsia="Arial"/>
              </w:rPr>
              <w:t>$0.90/</w:t>
            </w:r>
            <w:proofErr w:type="spellStart"/>
            <w:r w:rsidRPr="0CDBF178">
              <w:rPr>
                <w:rFonts w:eastAsia="Arial"/>
              </w:rPr>
              <w:t>MWhth</w:t>
            </w:r>
            <w:proofErr w:type="spellEnd"/>
            <w:r w:rsidRPr="0CDBF178">
              <w:rPr>
                <w:rFonts w:eastAsia="Arial"/>
              </w:rPr>
              <w:t xml:space="preserve"> non-fuel operations and maintenance</w:t>
            </w:r>
          </w:p>
        </w:tc>
        <w:tc>
          <w:tcPr>
            <w:tcW w:w="4140" w:type="dxa"/>
            <w:tcBorders>
              <w:top w:val="nil"/>
              <w:left w:val="nil"/>
              <w:bottom w:val="nil"/>
              <w:right w:val="nil"/>
            </w:tcBorders>
          </w:tcPr>
          <w:p w14:paraId="435C06C3" w14:textId="2A7A7D00" w:rsidR="004613F3" w:rsidRDefault="00617FA8" w:rsidP="004613F3">
            <w:pPr>
              <w:pStyle w:val="TableBody"/>
              <w:rPr>
                <w:rFonts w:eastAsia="Arial"/>
              </w:rPr>
            </w:pPr>
            <w:r>
              <w:rPr>
                <w:rFonts w:eastAsia="Arial"/>
              </w:rPr>
              <w:t xml:space="preserve">In the absence of other data, we estimate the costs </w:t>
            </w:r>
            <w:r w:rsidR="007D56BB">
              <w:rPr>
                <w:rFonts w:eastAsia="Arial"/>
              </w:rPr>
              <w:t xml:space="preserve">to be triple that of low-temperature heat and </w:t>
            </w:r>
            <w:r w:rsidR="002A1F5C">
              <w:rPr>
                <w:rFonts w:eastAsia="Arial"/>
              </w:rPr>
              <w:t>equivalent</w:t>
            </w:r>
            <w:r w:rsidR="007D56BB">
              <w:rPr>
                <w:rFonts w:eastAsia="Arial"/>
              </w:rPr>
              <w:t xml:space="preserve"> maintenance savings.</w:t>
            </w:r>
          </w:p>
        </w:tc>
      </w:tr>
      <w:tr w:rsidR="004613F3" w14:paraId="7BB705A6" w14:textId="77777777" w:rsidTr="7654BBD9">
        <w:tc>
          <w:tcPr>
            <w:tcW w:w="9360" w:type="dxa"/>
            <w:gridSpan w:val="3"/>
            <w:tcBorders>
              <w:top w:val="nil"/>
              <w:left w:val="nil"/>
              <w:bottom w:val="nil"/>
              <w:right w:val="nil"/>
            </w:tcBorders>
          </w:tcPr>
          <w:p w14:paraId="06CCD93F" w14:textId="567E0459" w:rsidR="004613F3" w:rsidRDefault="0CDBF178">
            <w:pPr>
              <w:pStyle w:val="TableBody"/>
              <w:rPr>
                <w:rFonts w:eastAsia="Arial"/>
              </w:rPr>
            </w:pPr>
            <w:r w:rsidRPr="0CDBF178">
              <w:rPr>
                <w:rFonts w:eastAsia="Arial"/>
                <w:i/>
                <w:iCs/>
              </w:rPr>
              <w:t>Other GHG abatement</w:t>
            </w:r>
          </w:p>
        </w:tc>
      </w:tr>
      <w:tr w:rsidR="004613F3" w14:paraId="6CC11AEB" w14:textId="77777777" w:rsidTr="008A3DCA">
        <w:tc>
          <w:tcPr>
            <w:tcW w:w="2610" w:type="dxa"/>
            <w:tcBorders>
              <w:top w:val="nil"/>
              <w:left w:val="nil"/>
              <w:bottom w:val="nil"/>
              <w:right w:val="nil"/>
            </w:tcBorders>
          </w:tcPr>
          <w:p w14:paraId="3760A140" w14:textId="67EDE5D5" w:rsidR="004613F3" w:rsidRDefault="0CDBF178" w:rsidP="0CDBF178">
            <w:pPr>
              <w:pStyle w:val="TableBody"/>
              <w:rPr>
                <w:rFonts w:eastAsia="Arial"/>
              </w:rPr>
            </w:pPr>
            <w:r w:rsidRPr="0CDBF178">
              <w:rPr>
                <w:rFonts w:eastAsia="Arial"/>
              </w:rPr>
              <w:t>F-gas reduction (all industries that emit F-Gases)</w:t>
            </w:r>
          </w:p>
        </w:tc>
        <w:tc>
          <w:tcPr>
            <w:tcW w:w="2610" w:type="dxa"/>
            <w:tcBorders>
              <w:top w:val="nil"/>
              <w:left w:val="nil"/>
              <w:bottom w:val="nil"/>
              <w:right w:val="nil"/>
            </w:tcBorders>
            <w:shd w:val="clear" w:color="auto" w:fill="auto"/>
          </w:tcPr>
          <w:p w14:paraId="1116D61D" w14:textId="0CADE3F9" w:rsidR="004613F3" w:rsidRPr="00C342BD" w:rsidRDefault="004613F3" w:rsidP="004613F3">
            <w:pPr>
              <w:pStyle w:val="TableBody"/>
              <w:rPr>
                <w:rFonts w:eastAsia="Arial"/>
              </w:rPr>
            </w:pPr>
            <w:r w:rsidRPr="00C342BD">
              <w:rPr>
                <w:rFonts w:eastAsia="Arial"/>
              </w:rPr>
              <w:t>$</w:t>
            </w:r>
            <w:r w:rsidR="00360D73">
              <w:rPr>
                <w:rFonts w:eastAsia="Arial"/>
              </w:rPr>
              <w:t>63</w:t>
            </w:r>
            <w:r w:rsidRPr="00C342BD">
              <w:rPr>
                <w:rFonts w:eastAsia="Arial"/>
              </w:rPr>
              <w:t>/tCO2e</w:t>
            </w:r>
          </w:p>
        </w:tc>
        <w:tc>
          <w:tcPr>
            <w:tcW w:w="4140" w:type="dxa"/>
            <w:tcBorders>
              <w:top w:val="nil"/>
              <w:left w:val="nil"/>
              <w:bottom w:val="nil"/>
              <w:right w:val="nil"/>
            </w:tcBorders>
            <w:shd w:val="clear" w:color="auto" w:fill="auto"/>
          </w:tcPr>
          <w:p w14:paraId="3420E36A" w14:textId="40226309" w:rsidR="004613F3" w:rsidRDefault="48B0C125" w:rsidP="004613F3">
            <w:pPr>
              <w:pStyle w:val="TableBody"/>
              <w:rPr>
                <w:rFonts w:eastAsia="Arial"/>
              </w:rPr>
            </w:pPr>
            <w:r w:rsidRPr="48B0C125">
              <w:rPr>
                <w:rFonts w:eastAsia="Arial" w:cs="Arial"/>
              </w:rPr>
              <w:t>The EPA (2019, undated) estimates that approximately 85% abatement of F-gases in Brazil, Argentina, and Venezuela (</w:t>
            </w:r>
            <w:r w:rsidRPr="48B0C125">
              <w:rPr>
                <w:rFonts w:eastAsia="Arial"/>
              </w:rPr>
              <w:t>the three largest emitters in LAC) occur at a cost of less than $100 per tons of carbon dioxide equivalent (</w:t>
            </w:r>
            <w:r w:rsidRPr="008A3DCA">
              <w:rPr>
                <w:rFonts w:eastAsia="Arial"/>
              </w:rPr>
              <w:t>tCO2e) by 2050</w:t>
            </w:r>
            <w:r w:rsidRPr="48B0C125">
              <w:rPr>
                <w:rFonts w:eastAsia="Arial"/>
              </w:rPr>
              <w:t xml:space="preserve">, in 2010 dollars. We use a weighted average to account for abatement that </w:t>
            </w:r>
            <w:r w:rsidRPr="48B0C125">
              <w:rPr>
                <w:rFonts w:eastAsia="Arial"/>
              </w:rPr>
              <w:lastRenderedPageBreak/>
              <w:t>can occur at no cost and adjust to LAC in 2019 dollars.</w:t>
            </w:r>
          </w:p>
        </w:tc>
      </w:tr>
      <w:tr w:rsidR="004613F3" w14:paraId="3B3866A4" w14:textId="77777777" w:rsidTr="7654BBD9">
        <w:tc>
          <w:tcPr>
            <w:tcW w:w="2610" w:type="dxa"/>
            <w:tcBorders>
              <w:top w:val="nil"/>
              <w:left w:val="nil"/>
              <w:bottom w:val="nil"/>
              <w:right w:val="nil"/>
            </w:tcBorders>
          </w:tcPr>
          <w:p w14:paraId="4732992A" w14:textId="72C8CCCB" w:rsidR="004613F3" w:rsidRDefault="0CDBF178" w:rsidP="0CDBF178">
            <w:pPr>
              <w:pStyle w:val="TableBody"/>
              <w:rPr>
                <w:rFonts w:eastAsia="Arial"/>
              </w:rPr>
            </w:pPr>
            <w:r w:rsidRPr="0CDBF178">
              <w:rPr>
                <w:rFonts w:eastAsia="Arial"/>
              </w:rPr>
              <w:lastRenderedPageBreak/>
              <w:t>N2O abatement in chemicals industry (adipic and nitric acid production)</w:t>
            </w:r>
          </w:p>
        </w:tc>
        <w:tc>
          <w:tcPr>
            <w:tcW w:w="2610" w:type="dxa"/>
            <w:tcBorders>
              <w:top w:val="nil"/>
              <w:left w:val="nil"/>
              <w:bottom w:val="nil"/>
              <w:right w:val="nil"/>
            </w:tcBorders>
          </w:tcPr>
          <w:p w14:paraId="2988FE1C" w14:textId="619215AD" w:rsidR="003F60FE" w:rsidRDefault="007A6607" w:rsidP="003F60FE">
            <w:pPr>
              <w:pStyle w:val="TableBody"/>
              <w:rPr>
                <w:rFonts w:eastAsia="Arial"/>
              </w:rPr>
            </w:pPr>
            <w:r>
              <w:rPr>
                <w:rFonts w:eastAsia="Arial"/>
              </w:rPr>
              <w:t>$13/tCO2e</w:t>
            </w:r>
          </w:p>
          <w:p w14:paraId="7B2ABA65" w14:textId="4A7D6F29" w:rsidR="003F60FE" w:rsidRDefault="003F60FE" w:rsidP="004613F3">
            <w:pPr>
              <w:pStyle w:val="TableBody"/>
            </w:pPr>
          </w:p>
        </w:tc>
        <w:tc>
          <w:tcPr>
            <w:tcW w:w="4140" w:type="dxa"/>
            <w:tcBorders>
              <w:top w:val="nil"/>
              <w:left w:val="nil"/>
              <w:bottom w:val="nil"/>
              <w:right w:val="nil"/>
            </w:tcBorders>
          </w:tcPr>
          <w:p w14:paraId="2485C738" w14:textId="5A5FF780" w:rsidR="004613F3" w:rsidRDefault="0CDBF178" w:rsidP="0CDBF178">
            <w:pPr>
              <w:pStyle w:val="TableBody"/>
              <w:rPr>
                <w:rFonts w:eastAsia="Arial"/>
              </w:rPr>
            </w:pPr>
            <w:r w:rsidRPr="0CDBF178">
              <w:rPr>
                <w:rFonts w:eastAsia="Arial"/>
              </w:rPr>
              <w:t>We use EPA data (2019, Table 5-10) to estimate an undiscounted abatement cost of $38/ton of adipic acid and $3/ton of nitric acid</w:t>
            </w:r>
            <w:r w:rsidR="009D2555">
              <w:rPr>
                <w:rFonts w:eastAsia="Arial"/>
              </w:rPr>
              <w:t xml:space="preserve"> </w:t>
            </w:r>
            <w:r w:rsidRPr="0CDBF178">
              <w:rPr>
                <w:rFonts w:eastAsia="Arial"/>
              </w:rPr>
              <w:t>approximated (in the US in 2010 dollars). We use an average of these costs and adjust to LAC 2019 USD.</w:t>
            </w:r>
          </w:p>
        </w:tc>
      </w:tr>
      <w:tr w:rsidR="004613F3" w14:paraId="6E6A61F6" w14:textId="77777777" w:rsidTr="7654BBD9">
        <w:tc>
          <w:tcPr>
            <w:tcW w:w="2610" w:type="dxa"/>
            <w:tcBorders>
              <w:top w:val="nil"/>
              <w:left w:val="nil"/>
              <w:bottom w:val="single" w:sz="4" w:space="0" w:color="auto"/>
              <w:right w:val="nil"/>
            </w:tcBorders>
          </w:tcPr>
          <w:p w14:paraId="7DC67D5D" w14:textId="3C7A7DB4" w:rsidR="004613F3" w:rsidRDefault="0CDBF178" w:rsidP="004613F3">
            <w:pPr>
              <w:pStyle w:val="TableBody"/>
              <w:rPr>
                <w:rFonts w:eastAsia="Arial"/>
              </w:rPr>
            </w:pPr>
            <w:r w:rsidRPr="0CDBF178">
              <w:rPr>
                <w:rFonts w:eastAsia="Arial"/>
              </w:rPr>
              <w:t>CCS for steel, cement, and other industries</w:t>
            </w:r>
          </w:p>
        </w:tc>
        <w:tc>
          <w:tcPr>
            <w:tcW w:w="2610" w:type="dxa"/>
            <w:tcBorders>
              <w:top w:val="nil"/>
              <w:left w:val="nil"/>
              <w:bottom w:val="single" w:sz="4" w:space="0" w:color="auto"/>
              <w:right w:val="nil"/>
            </w:tcBorders>
          </w:tcPr>
          <w:p w14:paraId="3C73C8B4" w14:textId="79FF430B" w:rsidR="004613F3" w:rsidRPr="000C60F7" w:rsidRDefault="00535218" w:rsidP="004613F3">
            <w:pPr>
              <w:pStyle w:val="TableBody"/>
              <w:rPr>
                <w:rFonts w:eastAsia="Arial"/>
              </w:rPr>
            </w:pPr>
            <w:r w:rsidRPr="000C60F7">
              <w:rPr>
                <w:rFonts w:eastAsia="Arial"/>
              </w:rPr>
              <w:t>$</w:t>
            </w:r>
            <w:r w:rsidR="00B14CD7">
              <w:rPr>
                <w:rFonts w:eastAsia="Arial"/>
              </w:rPr>
              <w:t>40</w:t>
            </w:r>
            <w:r w:rsidRPr="000C60F7">
              <w:rPr>
                <w:rFonts w:eastAsia="Arial"/>
              </w:rPr>
              <w:t>/ton CO2 (cement)</w:t>
            </w:r>
          </w:p>
          <w:p w14:paraId="6DA921C0" w14:textId="04F1029B" w:rsidR="00535218" w:rsidRPr="000C60F7" w:rsidRDefault="00535218" w:rsidP="004613F3">
            <w:pPr>
              <w:pStyle w:val="TableBody"/>
              <w:rPr>
                <w:rFonts w:eastAsia="Arial"/>
              </w:rPr>
            </w:pPr>
            <w:r w:rsidRPr="000C60F7">
              <w:rPr>
                <w:rFonts w:eastAsia="Arial"/>
              </w:rPr>
              <w:t>$</w:t>
            </w:r>
            <w:r w:rsidR="00B14CD7">
              <w:rPr>
                <w:rFonts w:eastAsia="Arial"/>
              </w:rPr>
              <w:t>50</w:t>
            </w:r>
            <w:r w:rsidRPr="000C60F7">
              <w:rPr>
                <w:rFonts w:eastAsia="Arial"/>
              </w:rPr>
              <w:t>/ton CO2 (steel)</w:t>
            </w:r>
          </w:p>
          <w:p w14:paraId="42C4462E" w14:textId="71B0C3AB" w:rsidR="00C342BD" w:rsidRPr="37345C14" w:rsidRDefault="00535218" w:rsidP="004613F3">
            <w:pPr>
              <w:pStyle w:val="TableBody"/>
              <w:rPr>
                <w:rFonts w:eastAsia="Arial"/>
              </w:rPr>
            </w:pPr>
            <w:r w:rsidRPr="000C60F7">
              <w:rPr>
                <w:rFonts w:eastAsia="Arial"/>
              </w:rPr>
              <w:t>$1</w:t>
            </w:r>
            <w:r w:rsidR="00B14CD7">
              <w:rPr>
                <w:rFonts w:eastAsia="Arial"/>
              </w:rPr>
              <w:t>0</w:t>
            </w:r>
            <w:r w:rsidRPr="000C60F7">
              <w:rPr>
                <w:rFonts w:eastAsia="Arial"/>
              </w:rPr>
              <w:t>0/ton CO2 (</w:t>
            </w:r>
            <w:r w:rsidR="00B14CD7">
              <w:rPr>
                <w:rFonts w:eastAsia="Arial"/>
              </w:rPr>
              <w:t>chemicals</w:t>
            </w:r>
            <w:r w:rsidRPr="000C60F7">
              <w:rPr>
                <w:rFonts w:eastAsia="Arial"/>
              </w:rPr>
              <w:t>)</w:t>
            </w:r>
          </w:p>
        </w:tc>
        <w:tc>
          <w:tcPr>
            <w:tcW w:w="4140" w:type="dxa"/>
            <w:tcBorders>
              <w:top w:val="nil"/>
              <w:left w:val="nil"/>
              <w:bottom w:val="single" w:sz="4" w:space="0" w:color="auto"/>
              <w:right w:val="nil"/>
            </w:tcBorders>
          </w:tcPr>
          <w:p w14:paraId="77812F9B" w14:textId="72851536" w:rsidR="00E4188A" w:rsidRDefault="00E4188A" w:rsidP="004613F3">
            <w:pPr>
              <w:pStyle w:val="TableBody"/>
              <w:rPr>
                <w:rFonts w:eastAsia="Arial" w:cs="Arial"/>
              </w:rPr>
            </w:pPr>
            <w:r>
              <w:rPr>
                <w:rFonts w:eastAsia="Arial" w:cs="Arial"/>
              </w:rPr>
              <w:t>The IEA (2020</w:t>
            </w:r>
            <w:r w:rsidR="000904AF">
              <w:rPr>
                <w:rFonts w:eastAsia="Arial" w:cs="Arial"/>
              </w:rPr>
              <w:t>b</w:t>
            </w:r>
            <w:r>
              <w:rPr>
                <w:rFonts w:eastAsia="Arial" w:cs="Arial"/>
              </w:rPr>
              <w:t xml:space="preserve">) estimates that CCS </w:t>
            </w:r>
            <w:r w:rsidR="004F3227">
              <w:rPr>
                <w:rFonts w:eastAsia="Arial" w:cs="Arial"/>
              </w:rPr>
              <w:t xml:space="preserve">globally </w:t>
            </w:r>
            <w:r>
              <w:rPr>
                <w:rFonts w:eastAsia="Arial" w:cs="Arial"/>
              </w:rPr>
              <w:t>adds $30-50/ton cement</w:t>
            </w:r>
            <w:r w:rsidR="00B14CD7">
              <w:rPr>
                <w:rFonts w:eastAsia="Arial" w:cs="Arial"/>
              </w:rPr>
              <w:t xml:space="preserve">, </w:t>
            </w:r>
            <w:r w:rsidR="0007540E">
              <w:rPr>
                <w:rFonts w:eastAsia="Arial" w:cs="Arial"/>
              </w:rPr>
              <w:t xml:space="preserve">$50/ton </w:t>
            </w:r>
            <w:r w:rsidR="00D029B5">
              <w:rPr>
                <w:rFonts w:eastAsia="Arial" w:cs="Arial"/>
              </w:rPr>
              <w:t>of steel</w:t>
            </w:r>
            <w:r w:rsidR="00B14CD7">
              <w:rPr>
                <w:rFonts w:eastAsia="Arial" w:cs="Arial"/>
              </w:rPr>
              <w:t>, and $100/ton of chemicals</w:t>
            </w:r>
            <w:r w:rsidR="007C24FF">
              <w:rPr>
                <w:rFonts w:eastAsia="Arial" w:cs="Arial"/>
              </w:rPr>
              <w:t>.</w:t>
            </w:r>
          </w:p>
          <w:p w14:paraId="1D45A97E" w14:textId="77777777" w:rsidR="00E4188A" w:rsidRDefault="00E4188A" w:rsidP="004613F3">
            <w:pPr>
              <w:pStyle w:val="TableBody"/>
              <w:rPr>
                <w:rFonts w:eastAsia="Arial" w:cs="Arial"/>
              </w:rPr>
            </w:pPr>
          </w:p>
          <w:p w14:paraId="7EC5340A" w14:textId="20A6E9C3" w:rsidR="004613F3" w:rsidRPr="37345C14" w:rsidRDefault="004613F3" w:rsidP="004613F3">
            <w:pPr>
              <w:pStyle w:val="TableBody"/>
              <w:rPr>
                <w:rFonts w:eastAsia="Arial"/>
              </w:rPr>
            </w:pPr>
          </w:p>
        </w:tc>
      </w:tr>
      <w:tr w:rsidR="00704396" w14:paraId="5845038F" w14:textId="77777777" w:rsidTr="7654BBD9">
        <w:tc>
          <w:tcPr>
            <w:tcW w:w="9360" w:type="dxa"/>
            <w:gridSpan w:val="3"/>
            <w:tcBorders>
              <w:top w:val="single" w:sz="4" w:space="0" w:color="auto"/>
              <w:left w:val="nil"/>
              <w:bottom w:val="nil"/>
              <w:right w:val="nil"/>
            </w:tcBorders>
          </w:tcPr>
          <w:p w14:paraId="77BE3D5D" w14:textId="77777777" w:rsidR="00704396" w:rsidRPr="003526C0" w:rsidRDefault="00704396" w:rsidP="00973008">
            <w:pPr>
              <w:pStyle w:val="TableBody"/>
              <w:rPr>
                <w:rFonts w:eastAsia="Arial"/>
                <w:szCs w:val="18"/>
              </w:rPr>
            </w:pPr>
          </w:p>
        </w:tc>
      </w:tr>
    </w:tbl>
    <w:p w14:paraId="7838A30C" w14:textId="6541D677" w:rsidR="00464BFE" w:rsidRPr="00EC7555" w:rsidRDefault="0CDBF178" w:rsidP="0CDBF178">
      <w:pPr>
        <w:pStyle w:val="Heading9"/>
        <w:rPr>
          <w:rFonts w:ascii="Times New Roman" w:hAnsi="Times New Roman"/>
          <w:sz w:val="24"/>
          <w:szCs w:val="24"/>
        </w:rPr>
      </w:pPr>
      <w:bookmarkStart w:id="64" w:name="_Toc152088325"/>
      <w:r w:rsidRPr="0CDBF178">
        <w:rPr>
          <w:rFonts w:eastAsia="Arial"/>
        </w:rPr>
        <w:t xml:space="preserve">Table C.4. Non-technical benefits and costs of transforming </w:t>
      </w:r>
      <w:proofErr w:type="gramStart"/>
      <w:r w:rsidRPr="0CDBF178">
        <w:rPr>
          <w:rFonts w:eastAsia="Arial"/>
        </w:rPr>
        <w:t>industry</w:t>
      </w:r>
      <w:bookmarkEnd w:id="64"/>
      <w:proofErr w:type="gramEnd"/>
    </w:p>
    <w:tbl>
      <w:tblPr>
        <w:tblStyle w:val="TableGrid"/>
        <w:tblW w:w="5000" w:type="pct"/>
        <w:tblLayout w:type="fixed"/>
        <w:tblLook w:val="0620" w:firstRow="1" w:lastRow="0" w:firstColumn="0" w:lastColumn="0" w:noHBand="1" w:noVBand="1"/>
      </w:tblPr>
      <w:tblGrid>
        <w:gridCol w:w="2250"/>
        <w:gridCol w:w="2880"/>
        <w:gridCol w:w="4230"/>
      </w:tblGrid>
      <w:tr w:rsidR="005B46C3" w14:paraId="10315F55" w14:textId="77777777" w:rsidTr="48B0C125">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tcPr>
          <w:p w14:paraId="5496F761" w14:textId="33C56D7C" w:rsidR="005B46C3" w:rsidRDefault="0CDBF178">
            <w:pPr>
              <w:pStyle w:val="TableColHeading"/>
            </w:pPr>
            <w:r w:rsidRPr="0CDBF178">
              <w:rPr>
                <w:rFonts w:eastAsia="Arial"/>
              </w:rPr>
              <w:t>Benefit or cost</w:t>
            </w:r>
          </w:p>
        </w:tc>
        <w:tc>
          <w:tcPr>
            <w:tcW w:w="2880" w:type="dxa"/>
            <w:tcBorders>
              <w:left w:val="nil"/>
              <w:right w:val="nil"/>
            </w:tcBorders>
          </w:tcPr>
          <w:p w14:paraId="7ACF48B1" w14:textId="77777777" w:rsidR="005B46C3" w:rsidRDefault="005E6A76" w:rsidP="000A582B">
            <w:pPr>
              <w:pStyle w:val="TableColHeading"/>
              <w:rPr>
                <w:rFonts w:eastAsia="Arial"/>
              </w:rPr>
            </w:pPr>
            <w:r>
              <w:rPr>
                <w:rFonts w:eastAsia="Arial"/>
              </w:rPr>
              <w:t>Value</w:t>
            </w:r>
          </w:p>
          <w:p w14:paraId="56B48687" w14:textId="29E3A15B" w:rsidR="00FA0935" w:rsidRPr="00855CAA" w:rsidRDefault="0CDBF178" w:rsidP="0CDBF178">
            <w:pPr>
              <w:pStyle w:val="TableColHeading"/>
              <w:rPr>
                <w:b w:val="0"/>
              </w:rPr>
            </w:pPr>
            <w:r w:rsidRPr="00A46C79">
              <w:rPr>
                <w:rFonts w:eastAsia="Arial"/>
                <w:bCs/>
              </w:rPr>
              <w:t>(LAC average in 2019 USD)</w:t>
            </w:r>
            <w:r w:rsidR="00FA0935">
              <w:br/>
            </w:r>
            <w:r w:rsidRPr="0CDBF178">
              <w:rPr>
                <w:rFonts w:eastAsia="Arial"/>
                <w:b w:val="0"/>
              </w:rPr>
              <w:t>(Positive values indicate benefits and savings)</w:t>
            </w:r>
          </w:p>
        </w:tc>
        <w:tc>
          <w:tcPr>
            <w:tcW w:w="4230" w:type="dxa"/>
            <w:tcBorders>
              <w:left w:val="nil"/>
              <w:right w:val="nil"/>
            </w:tcBorders>
          </w:tcPr>
          <w:p w14:paraId="13E13992" w14:textId="45107B8B" w:rsidR="005B46C3" w:rsidRDefault="0CDBF178" w:rsidP="0CDBF178">
            <w:pPr>
              <w:pStyle w:val="TableColHeading"/>
            </w:pPr>
            <w:r w:rsidRPr="0CDBF178">
              <w:rPr>
                <w:rFonts w:eastAsia="Arial"/>
              </w:rPr>
              <w:t>Notes and data sources</w:t>
            </w:r>
          </w:p>
        </w:tc>
      </w:tr>
      <w:tr w:rsidR="005B46C3" w14:paraId="4380742B" w14:textId="77777777" w:rsidTr="48B0C125">
        <w:tc>
          <w:tcPr>
            <w:tcW w:w="2250" w:type="dxa"/>
            <w:tcBorders>
              <w:top w:val="nil"/>
              <w:left w:val="nil"/>
              <w:bottom w:val="nil"/>
              <w:right w:val="nil"/>
            </w:tcBorders>
          </w:tcPr>
          <w:p w14:paraId="3A51854B" w14:textId="43AD6964" w:rsidR="005B46C3" w:rsidRDefault="005B46C3" w:rsidP="00E93999">
            <w:pPr>
              <w:pStyle w:val="TableBody"/>
              <w:rPr>
                <w:rFonts w:eastAsia="Arial"/>
              </w:rPr>
            </w:pPr>
            <w:r>
              <w:rPr>
                <w:rFonts w:eastAsia="Arial"/>
              </w:rPr>
              <w:t>Avoided health effects from local air pollution from concrete production, excluding industrial energy pollution</w:t>
            </w:r>
          </w:p>
        </w:tc>
        <w:tc>
          <w:tcPr>
            <w:tcW w:w="2880" w:type="dxa"/>
            <w:tcBorders>
              <w:top w:val="nil"/>
              <w:left w:val="nil"/>
              <w:bottom w:val="nil"/>
              <w:right w:val="nil"/>
            </w:tcBorders>
          </w:tcPr>
          <w:p w14:paraId="457ABF7A" w14:textId="5656B46E" w:rsidR="005B46C3" w:rsidRDefault="005B46C3" w:rsidP="00E93999">
            <w:pPr>
              <w:pStyle w:val="TableBody"/>
              <w:rPr>
                <w:rFonts w:eastAsia="Arial"/>
              </w:rPr>
            </w:pPr>
            <w:r>
              <w:rPr>
                <w:rFonts w:eastAsia="Arial"/>
              </w:rPr>
              <w:t>$45/ton cement</w:t>
            </w:r>
          </w:p>
        </w:tc>
        <w:tc>
          <w:tcPr>
            <w:tcW w:w="4230" w:type="dxa"/>
            <w:tcBorders>
              <w:top w:val="nil"/>
              <w:left w:val="nil"/>
              <w:bottom w:val="nil"/>
              <w:right w:val="nil"/>
            </w:tcBorders>
          </w:tcPr>
          <w:p w14:paraId="11109067" w14:textId="3F04E55D" w:rsidR="005B46C3" w:rsidRDefault="0CDBF178" w:rsidP="0CDBF178">
            <w:pPr>
              <w:pStyle w:val="TableBody"/>
              <w:rPr>
                <w:rFonts w:eastAsia="Arial"/>
              </w:rPr>
            </w:pPr>
            <w:r w:rsidRPr="0CDBF178">
              <w:rPr>
                <w:rFonts w:eastAsia="Arial"/>
              </w:rPr>
              <w:t>Miller et al., (2020, Figure 2) estimate cement externalities of $80-90/ton in Latin America in 2015 dollars, of which at least 75% stem from local air pollution’s health effects. Of this, at least 70% is from process-based (i.e., non-energy) emissions.</w:t>
            </w:r>
          </w:p>
        </w:tc>
      </w:tr>
      <w:tr w:rsidR="005B46C3" w14:paraId="239FC2DB" w14:textId="77777777" w:rsidTr="48B0C125">
        <w:tc>
          <w:tcPr>
            <w:tcW w:w="2250" w:type="dxa"/>
            <w:tcBorders>
              <w:top w:val="nil"/>
              <w:left w:val="nil"/>
              <w:bottom w:val="single" w:sz="4" w:space="0" w:color="auto"/>
              <w:right w:val="nil"/>
            </w:tcBorders>
          </w:tcPr>
          <w:p w14:paraId="37E8DFAB" w14:textId="7DB92C09" w:rsidR="005B46C3" w:rsidRPr="00E94927" w:rsidRDefault="005B46C3" w:rsidP="00E93999">
            <w:pPr>
              <w:pStyle w:val="TableBody"/>
              <w:rPr>
                <w:rFonts w:eastAsia="Arial"/>
              </w:rPr>
            </w:pPr>
            <w:r w:rsidRPr="00E94927">
              <w:rPr>
                <w:rFonts w:eastAsia="Arial"/>
              </w:rPr>
              <w:t>Avoided health impacts from local air pollution from industrial on-si</w:t>
            </w:r>
            <w:r w:rsidR="0097376A">
              <w:rPr>
                <w:rFonts w:eastAsia="Arial"/>
              </w:rPr>
              <w:t>t</w:t>
            </w:r>
            <w:r w:rsidRPr="00E94927">
              <w:rPr>
                <w:rFonts w:eastAsia="Arial"/>
              </w:rPr>
              <w:t>e energy</w:t>
            </w:r>
          </w:p>
        </w:tc>
        <w:tc>
          <w:tcPr>
            <w:tcW w:w="2880" w:type="dxa"/>
            <w:tcBorders>
              <w:top w:val="nil"/>
              <w:left w:val="nil"/>
              <w:bottom w:val="single" w:sz="4" w:space="0" w:color="auto"/>
              <w:right w:val="nil"/>
            </w:tcBorders>
          </w:tcPr>
          <w:p w14:paraId="1994E435" w14:textId="58E42B0C" w:rsidR="00F310C8" w:rsidRPr="00F310C8" w:rsidRDefault="48B0C125" w:rsidP="00F310C8">
            <w:pPr>
              <w:pStyle w:val="TableBody"/>
              <w:rPr>
                <w:rFonts w:eastAsia="Arial"/>
              </w:rPr>
            </w:pPr>
            <w:r w:rsidRPr="48B0C125">
              <w:rPr>
                <w:rFonts w:eastAsia="Arial"/>
              </w:rPr>
              <w:t>$2.47/GJ coal</w:t>
            </w:r>
          </w:p>
          <w:p w14:paraId="6271FBEF" w14:textId="77777777" w:rsidR="00F310C8" w:rsidRDefault="00F310C8" w:rsidP="00F310C8">
            <w:pPr>
              <w:pStyle w:val="TableBody"/>
              <w:rPr>
                <w:rFonts w:eastAsia="Arial"/>
              </w:rPr>
            </w:pPr>
            <w:r w:rsidRPr="00F310C8">
              <w:rPr>
                <w:rFonts w:eastAsia="Arial"/>
              </w:rPr>
              <w:t xml:space="preserve">$0.12/GJ natural gas </w:t>
            </w:r>
          </w:p>
          <w:p w14:paraId="1E08FB9E" w14:textId="0631E730" w:rsidR="00F310C8" w:rsidRDefault="0CDBF178" w:rsidP="00F310C8">
            <w:pPr>
              <w:pStyle w:val="TableBody"/>
              <w:rPr>
                <w:rFonts w:eastAsia="Arial"/>
              </w:rPr>
            </w:pPr>
            <w:r w:rsidRPr="0CDBF178">
              <w:rPr>
                <w:rFonts w:eastAsia="Arial"/>
              </w:rPr>
              <w:t xml:space="preserve">$2.47/GJ coke (a coal-based fuel) </w:t>
            </w:r>
          </w:p>
          <w:p w14:paraId="4B7AE115" w14:textId="6801899B" w:rsidR="00F310C8" w:rsidRPr="00F310C8" w:rsidRDefault="00F310C8" w:rsidP="00F310C8">
            <w:pPr>
              <w:pStyle w:val="TableBody"/>
              <w:rPr>
                <w:rFonts w:eastAsia="Arial"/>
              </w:rPr>
            </w:pPr>
            <w:r w:rsidRPr="00F310C8">
              <w:rPr>
                <w:rFonts w:eastAsia="Arial"/>
              </w:rPr>
              <w:t xml:space="preserve">$0.31/l diesel      </w:t>
            </w:r>
          </w:p>
          <w:p w14:paraId="4419CE60" w14:textId="77777777" w:rsidR="00F310C8" w:rsidRPr="00F310C8" w:rsidRDefault="00F310C8" w:rsidP="00F310C8">
            <w:pPr>
              <w:pStyle w:val="TableBody"/>
              <w:rPr>
                <w:rFonts w:eastAsia="Arial"/>
              </w:rPr>
            </w:pPr>
            <w:r w:rsidRPr="00F310C8">
              <w:rPr>
                <w:rFonts w:eastAsia="Arial"/>
              </w:rPr>
              <w:t xml:space="preserve">$0.039/l gasoline      </w:t>
            </w:r>
          </w:p>
          <w:p w14:paraId="2D0F1A5C" w14:textId="77777777" w:rsidR="00F310C8" w:rsidRPr="00F310C8" w:rsidRDefault="00F310C8" w:rsidP="00F310C8">
            <w:pPr>
              <w:pStyle w:val="TableBody"/>
              <w:rPr>
                <w:rFonts w:eastAsia="Arial"/>
              </w:rPr>
            </w:pPr>
            <w:r w:rsidRPr="00F310C8">
              <w:rPr>
                <w:rFonts w:eastAsia="Arial"/>
              </w:rPr>
              <w:t>$3.05/GJ biomass</w:t>
            </w:r>
          </w:p>
          <w:p w14:paraId="51128A68" w14:textId="41D156FE" w:rsidR="00F310C8" w:rsidRPr="00F310C8" w:rsidRDefault="00F310C8" w:rsidP="00F310C8">
            <w:pPr>
              <w:pStyle w:val="TableBody"/>
              <w:rPr>
                <w:rFonts w:eastAsia="Arial"/>
              </w:rPr>
            </w:pPr>
          </w:p>
          <w:p w14:paraId="4F5485DB" w14:textId="34344E2B" w:rsidR="00F310C8" w:rsidRPr="00F310C8" w:rsidRDefault="00F310C8" w:rsidP="00F310C8">
            <w:pPr>
              <w:pStyle w:val="TableBody"/>
              <w:rPr>
                <w:rFonts w:eastAsia="Arial"/>
              </w:rPr>
            </w:pPr>
          </w:p>
          <w:p w14:paraId="67F96429" w14:textId="1A0EF933" w:rsidR="005B46C3" w:rsidRPr="00E94927" w:rsidRDefault="005B46C3" w:rsidP="00E93999">
            <w:pPr>
              <w:pStyle w:val="TableBody"/>
              <w:rPr>
                <w:rFonts w:eastAsia="Arial"/>
              </w:rPr>
            </w:pPr>
          </w:p>
        </w:tc>
        <w:tc>
          <w:tcPr>
            <w:tcW w:w="4230" w:type="dxa"/>
            <w:tcBorders>
              <w:top w:val="nil"/>
              <w:left w:val="nil"/>
              <w:bottom w:val="single" w:sz="4" w:space="0" w:color="auto"/>
              <w:right w:val="nil"/>
            </w:tcBorders>
          </w:tcPr>
          <w:p w14:paraId="6584683C" w14:textId="6284669A" w:rsidR="005B46C3" w:rsidRPr="00E94927" w:rsidRDefault="0CDBF178">
            <w:pPr>
              <w:pStyle w:val="TableBody"/>
              <w:rPr>
                <w:rFonts w:eastAsia="Arial"/>
              </w:rPr>
            </w:pPr>
            <w:r w:rsidRPr="0CDBF178">
              <w:rPr>
                <w:rFonts w:eastAsia="Arial" w:cs="Arial"/>
              </w:rPr>
              <w:t>We use IMF’s fossil-fuel subsidies database (2021) to calculate the avoided air pollution costs of industrial fuel consumption. This database provides costs specific to industry’s use of coal and natural gas. We use average values across LAC. We use coal costs for coke, and use costs shown in transport for diesel and gasoline. For biomass, we use average pollution costs across other fuel types.</w:t>
            </w:r>
          </w:p>
        </w:tc>
      </w:tr>
      <w:tr w:rsidR="008111C7" w14:paraId="6F2F59DC" w14:textId="77777777" w:rsidTr="48B0C125">
        <w:tc>
          <w:tcPr>
            <w:tcW w:w="2250" w:type="dxa"/>
            <w:tcBorders>
              <w:top w:val="single" w:sz="4" w:space="0" w:color="auto"/>
              <w:left w:val="nil"/>
              <w:bottom w:val="nil"/>
              <w:right w:val="nil"/>
            </w:tcBorders>
          </w:tcPr>
          <w:p w14:paraId="6E0C2173" w14:textId="77777777" w:rsidR="008111C7" w:rsidRPr="00E94927" w:rsidRDefault="008111C7" w:rsidP="00E93999">
            <w:pPr>
              <w:pStyle w:val="TableBody"/>
              <w:rPr>
                <w:rFonts w:eastAsia="Arial"/>
              </w:rPr>
            </w:pPr>
          </w:p>
        </w:tc>
        <w:tc>
          <w:tcPr>
            <w:tcW w:w="2880" w:type="dxa"/>
            <w:tcBorders>
              <w:top w:val="single" w:sz="4" w:space="0" w:color="auto"/>
              <w:left w:val="nil"/>
              <w:bottom w:val="nil"/>
              <w:right w:val="nil"/>
            </w:tcBorders>
          </w:tcPr>
          <w:p w14:paraId="626C36CE" w14:textId="77777777" w:rsidR="008111C7" w:rsidRPr="00F310C8" w:rsidRDefault="008111C7" w:rsidP="00F310C8">
            <w:pPr>
              <w:pStyle w:val="TableBody"/>
              <w:rPr>
                <w:rFonts w:eastAsia="Arial"/>
              </w:rPr>
            </w:pPr>
          </w:p>
        </w:tc>
        <w:tc>
          <w:tcPr>
            <w:tcW w:w="4230" w:type="dxa"/>
            <w:tcBorders>
              <w:top w:val="single" w:sz="4" w:space="0" w:color="auto"/>
              <w:left w:val="nil"/>
              <w:bottom w:val="nil"/>
              <w:right w:val="nil"/>
            </w:tcBorders>
          </w:tcPr>
          <w:p w14:paraId="6C7F6AC1" w14:textId="77777777" w:rsidR="008111C7" w:rsidRPr="00E94927" w:rsidRDefault="008111C7" w:rsidP="00E93999">
            <w:pPr>
              <w:pStyle w:val="TableBody"/>
              <w:rPr>
                <w:rFonts w:eastAsia="Arial" w:cs="Arial"/>
              </w:rPr>
            </w:pPr>
          </w:p>
        </w:tc>
      </w:tr>
    </w:tbl>
    <w:p w14:paraId="3612A86E" w14:textId="77777777" w:rsidR="006F4EAA" w:rsidRDefault="006F4EAA" w:rsidP="00086F49">
      <w:pPr>
        <w:pStyle w:val="TableNote"/>
        <w:rPr>
          <w:rFonts w:eastAsia="Arial"/>
        </w:rPr>
      </w:pPr>
    </w:p>
    <w:p w14:paraId="37470E3A" w14:textId="19D317CC" w:rsidR="00F3568C" w:rsidRDefault="00F3568C" w:rsidP="00F310C8">
      <w:pPr>
        <w:rPr>
          <w:rFonts w:ascii="Arial" w:hAnsi="Arial"/>
          <w:sz w:val="32"/>
          <w:szCs w:val="20"/>
        </w:rPr>
      </w:pPr>
      <w:r>
        <w:br w:type="page"/>
      </w:r>
    </w:p>
    <w:p w14:paraId="1D1E6773" w14:textId="77519DBD" w:rsidR="00FF3731" w:rsidRDefault="00FF3731" w:rsidP="00F14592">
      <w:pPr>
        <w:pStyle w:val="Heading1"/>
      </w:pPr>
      <w:bookmarkStart w:id="65" w:name="_Toc152088251"/>
      <w:r w:rsidRPr="37345C14">
        <w:rPr>
          <w:rFonts w:eastAsia="Arial" w:cs="Arial"/>
          <w:szCs w:val="32"/>
        </w:rPr>
        <w:lastRenderedPageBreak/>
        <w:t xml:space="preserve">Appendix </w:t>
      </w:r>
      <w:r>
        <w:rPr>
          <w:rFonts w:eastAsia="Arial" w:cs="Arial"/>
          <w:szCs w:val="32"/>
        </w:rPr>
        <w:t>D</w:t>
      </w:r>
      <w:r w:rsidRPr="37345C14">
        <w:rPr>
          <w:rFonts w:eastAsia="Arial" w:cs="Arial"/>
          <w:szCs w:val="32"/>
        </w:rPr>
        <w:t xml:space="preserve">. </w:t>
      </w:r>
      <w:r w:rsidR="002C3356">
        <w:rPr>
          <w:rFonts w:eastAsia="Arial" w:cs="Arial"/>
          <w:szCs w:val="32"/>
        </w:rPr>
        <w:t>Energy</w:t>
      </w:r>
      <w:r w:rsidR="00BC73A2">
        <w:rPr>
          <w:rFonts w:eastAsia="Arial" w:cs="Arial"/>
          <w:szCs w:val="32"/>
        </w:rPr>
        <w:t xml:space="preserve"> Production</w:t>
      </w:r>
      <w:bookmarkEnd w:id="65"/>
    </w:p>
    <w:p w14:paraId="4E8EA168" w14:textId="39F73F1B" w:rsidR="006307F4" w:rsidRDefault="65F79D52" w:rsidP="0CDBF178">
      <w:r>
        <w:t xml:space="preserve">The electricity and fuel production sector assesses the demands and emissions associated with both primary and secondary energy, and the costs of transforming them. The electricity sector is modeled differently from other sectors using </w:t>
      </w:r>
      <w:proofErr w:type="spellStart"/>
      <w:r>
        <w:t>NemoMod</w:t>
      </w:r>
      <w:proofErr w:type="spellEnd"/>
      <w:r>
        <w:t xml:space="preserve">, an energy framework developed by the Stockholm Environmental Institute (Veysey et al., 2023). </w:t>
      </w:r>
      <w:proofErr w:type="spellStart"/>
      <w:r>
        <w:t>NemoMod</w:t>
      </w:r>
      <w:proofErr w:type="spellEnd"/>
      <w:r>
        <w:t xml:space="preserve"> takes as input </w:t>
      </w:r>
      <w:proofErr w:type="spellStart"/>
      <w:r>
        <w:t>varous</w:t>
      </w:r>
      <w:proofErr w:type="spellEnd"/>
      <w:r>
        <w:t xml:space="preserve"> drivers and data, including demands, residual generation capacities, capacity and availability factors, capital and operating costs, emission factors, and a series of constraints and generates a least-cost pathway to meet demand contingent on constraints.</w:t>
      </w:r>
    </w:p>
    <w:p w14:paraId="36E161B5" w14:textId="71EDA7CB" w:rsidR="001B20AD" w:rsidRDefault="0CDBF178" w:rsidP="00A46C79">
      <w:pPr>
        <w:pStyle w:val="Heading2"/>
      </w:pPr>
      <w:bookmarkStart w:id="66" w:name="_Toc152088252"/>
      <w:r>
        <w:t>Electricity and Fuel Production Historical Data and Projections</w:t>
      </w:r>
      <w:bookmarkEnd w:id="66"/>
    </w:p>
    <w:p w14:paraId="25B7424F" w14:textId="048DEF7E" w:rsidR="00EA4307" w:rsidRDefault="0CDBF178">
      <w:r>
        <w:t xml:space="preserve">Electricity and fuel production emissions are a product of the data in Table D.1. Under Traditional Development, the electricity sector simulates a least-cost future that resembles today’s electricity production portfolio. That is, we constrain </w:t>
      </w:r>
      <w:proofErr w:type="spellStart"/>
      <w:r>
        <w:t>NemoMod</w:t>
      </w:r>
      <w:proofErr w:type="spellEnd"/>
      <w:r>
        <w:t xml:space="preserve"> to find a solution subject to the following constraints:</w:t>
      </w:r>
    </w:p>
    <w:p w14:paraId="0277A094" w14:textId="0CD6D8EB" w:rsidR="00EA4307" w:rsidRDefault="0CDBF178">
      <w:pPr>
        <w:pStyle w:val="ListParagraph"/>
        <w:numPr>
          <w:ilvl w:val="0"/>
          <w:numId w:val="27"/>
        </w:numPr>
      </w:pPr>
      <w:r>
        <w:t>Fossil fuels will continue to comprise at least the same fraction of electricity generation in the future as they do today.</w:t>
      </w:r>
    </w:p>
    <w:p w14:paraId="7F6E2D86" w14:textId="0D8D7CC5" w:rsidR="001B20AD" w:rsidRDefault="00EA4307" w:rsidP="00D60845">
      <w:pPr>
        <w:pStyle w:val="ListParagraph"/>
        <w:numPr>
          <w:ilvl w:val="0"/>
          <w:numId w:val="27"/>
        </w:numPr>
      </w:pPr>
      <w:r>
        <w:t xml:space="preserve">No nuclear, hydropower, or biomass generation capacity can be </w:t>
      </w:r>
      <w:r w:rsidR="007E6B9C">
        <w:t>added.</w:t>
      </w:r>
    </w:p>
    <w:p w14:paraId="4F39E627" w14:textId="6A224DB7" w:rsidR="00BC6E05" w:rsidRDefault="0CDBF178">
      <w:r w:rsidRPr="0CDBF178">
        <w:rPr>
          <w:rFonts w:eastAsia="Arial"/>
        </w:rPr>
        <w:t xml:space="preserve">For emissions, electricity and fuel-production parameters are calibrated to match emissions estimates in the electricity sector available at Climate Watch (2022). The set of calibrated parameters comprises </w:t>
      </w:r>
      <w:proofErr w:type="gramStart"/>
      <w:r w:rsidRPr="0CDBF178">
        <w:rPr>
          <w:rFonts w:eastAsia="Arial"/>
        </w:rPr>
        <w:t>technologies’</w:t>
      </w:r>
      <w:proofErr w:type="gramEnd"/>
      <w:r w:rsidRPr="0CDBF178">
        <w:rPr>
          <w:rFonts w:eastAsia="Arial"/>
        </w:rPr>
        <w:t xml:space="preserve"> and fuels’ efficiency factors.</w:t>
      </w:r>
    </w:p>
    <w:p w14:paraId="40D5668A" w14:textId="476F44DC" w:rsidR="001B20AD" w:rsidRDefault="0CDBF178">
      <w:pPr>
        <w:pStyle w:val="Heading9"/>
      </w:pPr>
      <w:bookmarkStart w:id="67" w:name="_Toc152088326"/>
      <w:r w:rsidRPr="0CDBF178">
        <w:rPr>
          <w:rFonts w:eastAsia="Arial"/>
        </w:rPr>
        <w:t>Table D.1 Data and methods</w:t>
      </w:r>
      <w:bookmarkEnd w:id="67"/>
    </w:p>
    <w:tbl>
      <w:tblPr>
        <w:tblStyle w:val="TableGrid"/>
        <w:tblW w:w="0" w:type="auto"/>
        <w:tblLayout w:type="fixed"/>
        <w:tblLook w:val="0620" w:firstRow="1" w:lastRow="0" w:firstColumn="0" w:lastColumn="0" w:noHBand="1" w:noVBand="1"/>
      </w:tblPr>
      <w:tblGrid>
        <w:gridCol w:w="2250"/>
        <w:gridCol w:w="3510"/>
        <w:gridCol w:w="3600"/>
      </w:tblGrid>
      <w:tr w:rsidR="001B20AD" w14:paraId="44C2D052"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55CB9585" w14:textId="77777777" w:rsidR="001B20AD" w:rsidRDefault="001B20AD" w:rsidP="002B02E7">
            <w:r>
              <w:rPr>
                <w:rFonts w:eastAsia="Arial" w:cs="Arial"/>
                <w:b/>
                <w:bCs/>
                <w:sz w:val="18"/>
                <w:szCs w:val="18"/>
              </w:rPr>
              <w:t>Data</w:t>
            </w:r>
          </w:p>
        </w:tc>
        <w:tc>
          <w:tcPr>
            <w:tcW w:w="3510" w:type="dxa"/>
            <w:tcBorders>
              <w:left w:val="nil"/>
              <w:right w:val="nil"/>
            </w:tcBorders>
          </w:tcPr>
          <w:p w14:paraId="7E3403E7" w14:textId="04F78EB0" w:rsidR="001B20AD"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2C86A709" w14:textId="5AAAA255" w:rsidR="001B20AD" w:rsidRDefault="0CDBF178" w:rsidP="0CDBF178">
            <w:pPr>
              <w:jc w:val="center"/>
            </w:pPr>
            <w:r w:rsidRPr="0CDBF178">
              <w:rPr>
                <w:rFonts w:eastAsia="Arial" w:cs="Arial"/>
                <w:b/>
                <w:bCs/>
                <w:sz w:val="18"/>
                <w:szCs w:val="18"/>
              </w:rPr>
              <w:t>Method for projection under nominal future conditions</w:t>
            </w:r>
          </w:p>
        </w:tc>
      </w:tr>
      <w:tr w:rsidR="00B1314F" w14:paraId="58AE272A" w14:textId="77777777" w:rsidTr="7654BBD9">
        <w:tc>
          <w:tcPr>
            <w:tcW w:w="2250" w:type="dxa"/>
            <w:tcBorders>
              <w:top w:val="nil"/>
              <w:left w:val="nil"/>
              <w:bottom w:val="nil"/>
              <w:right w:val="nil"/>
            </w:tcBorders>
          </w:tcPr>
          <w:p w14:paraId="00BEC1A5" w14:textId="5E65F1EA" w:rsidR="00B1314F" w:rsidRDefault="00B1314F" w:rsidP="002B02E7">
            <w:pPr>
              <w:pStyle w:val="TableBody"/>
            </w:pPr>
            <w:r>
              <w:rPr>
                <w:rFonts w:eastAsia="Arial"/>
              </w:rPr>
              <w:t xml:space="preserve">Electricity </w:t>
            </w:r>
            <w:r w:rsidR="00143183">
              <w:rPr>
                <w:rFonts w:eastAsia="Arial"/>
              </w:rPr>
              <w:t xml:space="preserve">and fuel </w:t>
            </w:r>
            <w:r w:rsidR="00EE6970">
              <w:rPr>
                <w:rFonts w:eastAsia="Arial"/>
              </w:rPr>
              <w:t>demand from</w:t>
            </w:r>
            <w:r>
              <w:rPr>
                <w:rFonts w:eastAsia="Arial"/>
              </w:rPr>
              <w:t xml:space="preserve"> each sector</w:t>
            </w:r>
            <w:r w:rsidR="00D53331">
              <w:rPr>
                <w:rFonts w:eastAsia="Arial"/>
              </w:rPr>
              <w:t xml:space="preserve"> (</w:t>
            </w:r>
            <w:r w:rsidR="00722CAE">
              <w:rPr>
                <w:rFonts w:eastAsia="Arial"/>
              </w:rPr>
              <w:t>energy</w:t>
            </w:r>
            <w:r w:rsidR="00D53331">
              <w:rPr>
                <w:rFonts w:eastAsia="Arial"/>
              </w:rPr>
              <w:t>/fuel/sector)</w:t>
            </w:r>
          </w:p>
        </w:tc>
        <w:tc>
          <w:tcPr>
            <w:tcW w:w="7110" w:type="dxa"/>
            <w:gridSpan w:val="2"/>
            <w:tcBorders>
              <w:top w:val="nil"/>
              <w:left w:val="nil"/>
              <w:bottom w:val="nil"/>
              <w:right w:val="nil"/>
            </w:tcBorders>
          </w:tcPr>
          <w:p w14:paraId="6DBBCCD6" w14:textId="783C0203" w:rsidR="00B1314F" w:rsidRDefault="7654BBD9" w:rsidP="0CDBF178">
            <w:pPr>
              <w:pStyle w:val="TableBody"/>
            </w:pPr>
            <w:r w:rsidRPr="7654BBD9">
              <w:rPr>
                <w:rFonts w:eastAsia="Arial"/>
              </w:rPr>
              <w:t xml:space="preserve">Demands are endogenously modeled in each sector as described, based on sector activity, energy intensity, sector-specific fuel mix, and other factors. The demand for </w:t>
            </w:r>
            <w:r w:rsidRPr="004E1BAB">
              <w:rPr>
                <w:rFonts w:eastAsia="Arial"/>
              </w:rPr>
              <w:t>electricity in fuel production and for fuels in electricity production are included here, based on the Energy Information Administration (EIA) World Energy Balance (20</w:t>
            </w:r>
            <w:r w:rsidR="00A46C79" w:rsidRPr="004E1BAB">
              <w:rPr>
                <w:rFonts w:eastAsia="Arial"/>
              </w:rPr>
              <w:t>22</w:t>
            </w:r>
            <w:r w:rsidRPr="004E1BAB">
              <w:rPr>
                <w:rFonts w:eastAsia="Arial"/>
              </w:rPr>
              <w:t>).</w:t>
            </w:r>
          </w:p>
        </w:tc>
      </w:tr>
      <w:tr w:rsidR="00EE6970" w14:paraId="75288835" w14:textId="77777777" w:rsidTr="7654BBD9">
        <w:tc>
          <w:tcPr>
            <w:tcW w:w="2250" w:type="dxa"/>
            <w:tcBorders>
              <w:top w:val="nil"/>
              <w:left w:val="nil"/>
              <w:bottom w:val="nil"/>
              <w:right w:val="nil"/>
            </w:tcBorders>
          </w:tcPr>
          <w:p w14:paraId="3BFF594F" w14:textId="1E7A21CF" w:rsidR="00EE6970" w:rsidRDefault="00EE6970" w:rsidP="00143183">
            <w:pPr>
              <w:pStyle w:val="TableBody"/>
              <w:rPr>
                <w:rFonts w:eastAsia="Arial"/>
              </w:rPr>
            </w:pPr>
            <w:r>
              <w:rPr>
                <w:rFonts w:eastAsia="Arial"/>
              </w:rPr>
              <w:t>Electricity production costs by technology</w:t>
            </w:r>
          </w:p>
        </w:tc>
        <w:tc>
          <w:tcPr>
            <w:tcW w:w="3510" w:type="dxa"/>
            <w:tcBorders>
              <w:top w:val="nil"/>
              <w:left w:val="nil"/>
              <w:bottom w:val="nil"/>
              <w:right w:val="nil"/>
            </w:tcBorders>
          </w:tcPr>
          <w:p w14:paraId="4E1209A9" w14:textId="31ED6B5B" w:rsidR="00EE6970" w:rsidRDefault="7654BBD9" w:rsidP="48B0C125">
            <w:pPr>
              <w:pStyle w:val="TableBody"/>
              <w:rPr>
                <w:rFonts w:eastAsia="Arial"/>
              </w:rPr>
            </w:pPr>
            <w:r w:rsidRPr="7654BBD9">
              <w:rPr>
                <w:rFonts w:eastAsia="Arial"/>
              </w:rPr>
              <w:t xml:space="preserve">Capital </w:t>
            </w:r>
            <w:r w:rsidRPr="004E1BAB">
              <w:rPr>
                <w:rFonts w:eastAsia="Arial"/>
              </w:rPr>
              <w:t>expenditure (capex) is based on IEA estimates (EIA, 202</w:t>
            </w:r>
            <w:r w:rsidR="00A46C79" w:rsidRPr="004E1BAB">
              <w:rPr>
                <w:rFonts w:eastAsia="Arial"/>
              </w:rPr>
              <w:t>2</w:t>
            </w:r>
            <w:r w:rsidRPr="004E1BAB">
              <w:rPr>
                <w:rFonts w:eastAsia="Arial"/>
              </w:rPr>
              <w:t xml:space="preserve">). Non-fuel </w:t>
            </w:r>
            <w:proofErr w:type="spellStart"/>
            <w:r w:rsidRPr="004E1BAB">
              <w:rPr>
                <w:rFonts w:eastAsia="Arial"/>
              </w:rPr>
              <w:t>opex</w:t>
            </w:r>
            <w:proofErr w:type="spellEnd"/>
            <w:r w:rsidRPr="004E1BAB">
              <w:rPr>
                <w:rFonts w:eastAsia="Arial"/>
              </w:rPr>
              <w:t xml:space="preserve"> is assumed to be a fraction of capex, based on proportions to levelized</w:t>
            </w:r>
            <w:r w:rsidRPr="7654BBD9">
              <w:rPr>
                <w:rFonts w:eastAsia="Arial"/>
              </w:rPr>
              <w:t xml:space="preserve"> cost of electricity (LCOE) per different technologies using IEA estimates (IEA, 2020c). </w:t>
            </w:r>
          </w:p>
        </w:tc>
        <w:tc>
          <w:tcPr>
            <w:tcW w:w="3600" w:type="dxa"/>
            <w:tcBorders>
              <w:top w:val="nil"/>
              <w:left w:val="nil"/>
              <w:bottom w:val="nil"/>
              <w:right w:val="nil"/>
            </w:tcBorders>
          </w:tcPr>
          <w:p w14:paraId="250969B2" w14:textId="02FB0E31" w:rsidR="00EE6970" w:rsidRDefault="0CDBF178">
            <w:pPr>
              <w:pStyle w:val="TableBody"/>
              <w:rPr>
                <w:rFonts w:eastAsia="Arial"/>
              </w:rPr>
            </w:pPr>
            <w:r w:rsidRPr="0CDBF178">
              <w:rPr>
                <w:rFonts w:eastAsia="Arial"/>
              </w:rPr>
              <w:t>The cost of renewable energy production is expected to decline on average by 50% by 2050 but vary by technology. The cost of fossil fuels’ energy production remains unchanged.</w:t>
            </w:r>
          </w:p>
        </w:tc>
      </w:tr>
      <w:tr w:rsidR="001940C5" w14:paraId="3347245E" w14:textId="77777777" w:rsidTr="7654BBD9">
        <w:tc>
          <w:tcPr>
            <w:tcW w:w="2250" w:type="dxa"/>
            <w:tcBorders>
              <w:top w:val="nil"/>
              <w:left w:val="nil"/>
              <w:bottom w:val="nil"/>
              <w:right w:val="nil"/>
            </w:tcBorders>
          </w:tcPr>
          <w:p w14:paraId="3E1E694B" w14:textId="47E0374A" w:rsidR="001940C5" w:rsidRDefault="001940C5" w:rsidP="00143183">
            <w:pPr>
              <w:pStyle w:val="TableBody"/>
              <w:rPr>
                <w:rFonts w:eastAsia="Arial"/>
              </w:rPr>
            </w:pPr>
            <w:r>
              <w:rPr>
                <w:rFonts w:eastAsia="Arial"/>
              </w:rPr>
              <w:t>Fuel costs</w:t>
            </w:r>
          </w:p>
        </w:tc>
        <w:tc>
          <w:tcPr>
            <w:tcW w:w="7110" w:type="dxa"/>
            <w:gridSpan w:val="2"/>
            <w:tcBorders>
              <w:top w:val="nil"/>
              <w:left w:val="nil"/>
              <w:bottom w:val="nil"/>
              <w:right w:val="nil"/>
            </w:tcBorders>
          </w:tcPr>
          <w:p w14:paraId="169A29ED" w14:textId="007A2E0D" w:rsidR="001940C5" w:rsidRDefault="7654BBD9" w:rsidP="00143183">
            <w:pPr>
              <w:pStyle w:val="TableBody"/>
              <w:rPr>
                <w:rFonts w:eastAsia="Arial"/>
              </w:rPr>
            </w:pPr>
            <w:r w:rsidRPr="7654BBD9">
              <w:rPr>
                <w:rFonts w:eastAsia="Arial"/>
              </w:rPr>
              <w:t xml:space="preserve">Fuel costs are estimated for coal, oil, nuclear, naturals gas, coal and biomass using different datasets, including British Petroleum’s (BP’s) Statistical Review of World Energy (Dudley, 2019), </w:t>
            </w:r>
            <w:r w:rsidRPr="004E1BAB">
              <w:rPr>
                <w:rFonts w:eastAsia="Arial"/>
              </w:rPr>
              <w:t>and data from the World Nuclear Association (2023).</w:t>
            </w:r>
            <w:r w:rsidRPr="7654BBD9">
              <w:rPr>
                <w:rFonts w:eastAsia="Arial"/>
              </w:rPr>
              <w:t xml:space="preserve"> </w:t>
            </w:r>
          </w:p>
        </w:tc>
      </w:tr>
      <w:tr w:rsidR="00771E55" w14:paraId="1D23518D" w14:textId="77777777" w:rsidTr="7654BBD9">
        <w:tc>
          <w:tcPr>
            <w:tcW w:w="2250" w:type="dxa"/>
            <w:tcBorders>
              <w:top w:val="nil"/>
              <w:left w:val="nil"/>
              <w:bottom w:val="nil"/>
              <w:right w:val="nil"/>
            </w:tcBorders>
          </w:tcPr>
          <w:p w14:paraId="1E554941" w14:textId="19338204" w:rsidR="00771E55" w:rsidRDefault="00771E55" w:rsidP="03757DE5">
            <w:pPr>
              <w:pStyle w:val="TableBody"/>
              <w:rPr>
                <w:rFonts w:eastAsia="Arial"/>
              </w:rPr>
            </w:pPr>
          </w:p>
          <w:p w14:paraId="12FDC22C" w14:textId="5509B8F5" w:rsidR="00771E55" w:rsidRDefault="00771E55" w:rsidP="00143183">
            <w:pPr>
              <w:pStyle w:val="TableBody"/>
              <w:rPr>
                <w:rFonts w:eastAsia="Arial"/>
              </w:rPr>
            </w:pPr>
          </w:p>
        </w:tc>
        <w:tc>
          <w:tcPr>
            <w:tcW w:w="3510" w:type="dxa"/>
            <w:tcBorders>
              <w:top w:val="nil"/>
              <w:left w:val="nil"/>
              <w:bottom w:val="nil"/>
              <w:right w:val="nil"/>
            </w:tcBorders>
          </w:tcPr>
          <w:p w14:paraId="54D7933C" w14:textId="695F1A6E" w:rsidR="00114A09" w:rsidRDefault="7654BBD9">
            <w:pPr>
              <w:pStyle w:val="TableBody"/>
              <w:rPr>
                <w:rFonts w:eastAsia="Arial"/>
              </w:rPr>
            </w:pPr>
            <w:r w:rsidRPr="7654BBD9">
              <w:rPr>
                <w:rFonts w:eastAsia="Arial"/>
              </w:rPr>
              <w:t xml:space="preserve">Installed and residual capacities are estimated using the World Resources Institute (WRI) Global Database of Power </w:t>
            </w:r>
            <w:r w:rsidRPr="7654BBD9">
              <w:rPr>
                <w:rFonts w:eastAsia="Arial"/>
              </w:rPr>
              <w:lastRenderedPageBreak/>
              <w:t>Plants (Byers, 2018) and scaled to match installed capacity totals to scale capacities from the UN Energy Statistics Database (United Nations Statistics Division, 2023) in each country to avoid undercounting available capacity. Minimum shares of production are estimated using IEA monthly electric statistics (2022a).</w:t>
            </w:r>
          </w:p>
          <w:p w14:paraId="66CE489D" w14:textId="231C9230" w:rsidR="00114A09" w:rsidRDefault="0CDBF178" w:rsidP="0CDBF178">
            <w:pPr>
              <w:pStyle w:val="TableBody"/>
              <w:rPr>
                <w:rFonts w:eastAsia="Arial"/>
              </w:rPr>
            </w:pPr>
            <w:r w:rsidRPr="0CDBF178">
              <w:rPr>
                <w:rFonts w:eastAsia="Arial"/>
              </w:rPr>
              <w:t>Transmission losses by country are estimated using World Bank Data API (World Bank, 2023)</w:t>
            </w:r>
          </w:p>
          <w:p w14:paraId="1CEB5B33" w14:textId="77777777" w:rsidR="00144B21" w:rsidRDefault="00144B21" w:rsidP="00143183">
            <w:pPr>
              <w:pStyle w:val="TableBody"/>
              <w:rPr>
                <w:rFonts w:eastAsia="Arial"/>
              </w:rPr>
            </w:pPr>
          </w:p>
          <w:p w14:paraId="5F53E239" w14:textId="75AD1D01" w:rsidR="00144B21" w:rsidRDefault="0CDBF178" w:rsidP="0CDBF178">
            <w:pPr>
              <w:pStyle w:val="TableBody"/>
              <w:rPr>
                <w:rFonts w:eastAsia="Arial"/>
              </w:rPr>
            </w:pPr>
            <w:r w:rsidRPr="0CDBF178">
              <w:rPr>
                <w:rFonts w:eastAsia="Arial"/>
              </w:rPr>
              <w:t>Constant average capacity factors for electricity production for different technologies are estimated using data from the US EIA (EIA, 2015)</w:t>
            </w:r>
          </w:p>
          <w:p w14:paraId="2C0ED951" w14:textId="56F47554" w:rsidR="00771E55" w:rsidRDefault="00771E55" w:rsidP="00143183">
            <w:pPr>
              <w:pStyle w:val="TableBody"/>
              <w:rPr>
                <w:rFonts w:eastAsia="Arial"/>
              </w:rPr>
            </w:pPr>
          </w:p>
        </w:tc>
        <w:tc>
          <w:tcPr>
            <w:tcW w:w="3600" w:type="dxa"/>
            <w:tcBorders>
              <w:top w:val="nil"/>
              <w:left w:val="nil"/>
              <w:bottom w:val="nil"/>
              <w:right w:val="nil"/>
            </w:tcBorders>
          </w:tcPr>
          <w:p w14:paraId="50B3CF44" w14:textId="057E14FA" w:rsidR="00771E55" w:rsidRDefault="0CDBF178" w:rsidP="00143183">
            <w:pPr>
              <w:pStyle w:val="TableBody"/>
              <w:rPr>
                <w:rFonts w:eastAsia="Arial"/>
              </w:rPr>
            </w:pPr>
            <w:proofErr w:type="spellStart"/>
            <w:r w:rsidRPr="0CDBF178">
              <w:rPr>
                <w:rFonts w:eastAsia="Arial"/>
              </w:rPr>
              <w:lastRenderedPageBreak/>
              <w:t>NemoMod</w:t>
            </w:r>
            <w:proofErr w:type="spellEnd"/>
            <w:r w:rsidRPr="0CDBF178">
              <w:rPr>
                <w:rFonts w:eastAsia="Arial"/>
              </w:rPr>
              <w:t xml:space="preserve"> calculates the least-cost method of meeting future electricity demand subject to two constraints: continued use of fossil </w:t>
            </w:r>
            <w:r w:rsidRPr="0CDBF178">
              <w:rPr>
                <w:rFonts w:eastAsia="Arial"/>
              </w:rPr>
              <w:lastRenderedPageBreak/>
              <w:t>fuels; and no new nuclear, hydropower, or biomass capacity</w:t>
            </w:r>
          </w:p>
        </w:tc>
      </w:tr>
      <w:tr w:rsidR="00143183" w14:paraId="4AA6328E" w14:textId="77777777" w:rsidTr="7654BBD9">
        <w:tc>
          <w:tcPr>
            <w:tcW w:w="2250" w:type="dxa"/>
            <w:tcBorders>
              <w:top w:val="nil"/>
              <w:left w:val="nil"/>
              <w:bottom w:val="nil"/>
              <w:right w:val="nil"/>
            </w:tcBorders>
          </w:tcPr>
          <w:p w14:paraId="60459D79" w14:textId="7BC026C5" w:rsidR="00143183" w:rsidRDefault="00143183" w:rsidP="00143183">
            <w:pPr>
              <w:pStyle w:val="TableBody"/>
            </w:pPr>
            <w:r>
              <w:rPr>
                <w:rFonts w:eastAsia="Arial"/>
              </w:rPr>
              <w:lastRenderedPageBreak/>
              <w:t xml:space="preserve">Emissions intensity </w:t>
            </w:r>
            <w:r w:rsidR="00B5589E">
              <w:rPr>
                <w:rFonts w:eastAsia="Arial"/>
              </w:rPr>
              <w:t>(emissions per unit of energy, by fuel)</w:t>
            </w:r>
          </w:p>
        </w:tc>
        <w:tc>
          <w:tcPr>
            <w:tcW w:w="3510" w:type="dxa"/>
            <w:tcBorders>
              <w:top w:val="nil"/>
              <w:left w:val="nil"/>
              <w:bottom w:val="nil"/>
              <w:right w:val="nil"/>
            </w:tcBorders>
          </w:tcPr>
          <w:p w14:paraId="32479DD8" w14:textId="0EB98C2E" w:rsidR="00143183" w:rsidRDefault="0CDBF178">
            <w:pPr>
              <w:pStyle w:val="TableBody"/>
              <w:rPr>
                <w:rFonts w:eastAsia="Arial"/>
              </w:rPr>
            </w:pPr>
            <w:r w:rsidRPr="0CDBF178">
              <w:rPr>
                <w:rFonts w:eastAsia="Arial"/>
              </w:rPr>
              <w:t>Historical emissions intensities of fossil fuels are based on factors found in volume 2, Table 2.2 of the IPCC Guidance for National Greenhouse Gas Inventories (IPCC, 2006) and calibrated between energy consumption data (previous line) and the emissions per fuel type used in each industry (last line). Fuel demands are determined by imports, energy intensity of different industrial activities, and share of fuel type used in different industrial sectors. These shares are estimated using IEA (2022b).</w:t>
            </w:r>
          </w:p>
        </w:tc>
        <w:tc>
          <w:tcPr>
            <w:tcW w:w="3600" w:type="dxa"/>
            <w:tcBorders>
              <w:top w:val="nil"/>
              <w:left w:val="nil"/>
              <w:bottom w:val="nil"/>
              <w:right w:val="nil"/>
            </w:tcBorders>
          </w:tcPr>
          <w:p w14:paraId="007F3C11" w14:textId="77777777" w:rsidR="00143183" w:rsidRDefault="00143183" w:rsidP="00143183">
            <w:pPr>
              <w:pStyle w:val="TableBody"/>
              <w:rPr>
                <w:rFonts w:eastAsia="Arial"/>
              </w:rPr>
            </w:pPr>
            <w:r>
              <w:rPr>
                <w:rFonts w:eastAsia="Arial"/>
              </w:rPr>
              <w:t>Energy emissions intensities are assumed to remain unchanged in a baseline future.</w:t>
            </w:r>
          </w:p>
          <w:p w14:paraId="2C300E6D" w14:textId="77777777" w:rsidR="00143183" w:rsidRDefault="00143183" w:rsidP="00143183">
            <w:pPr>
              <w:pStyle w:val="TableBody"/>
              <w:rPr>
                <w:rFonts w:eastAsia="Arial"/>
              </w:rPr>
            </w:pPr>
          </w:p>
        </w:tc>
      </w:tr>
      <w:tr w:rsidR="00143183" w14:paraId="44276811" w14:textId="77777777" w:rsidTr="7654BBD9">
        <w:tc>
          <w:tcPr>
            <w:tcW w:w="2250" w:type="dxa"/>
            <w:tcBorders>
              <w:top w:val="nil"/>
              <w:left w:val="nil"/>
              <w:bottom w:val="nil"/>
              <w:right w:val="nil"/>
            </w:tcBorders>
          </w:tcPr>
          <w:p w14:paraId="1F3E5BB7" w14:textId="77777777" w:rsidR="00143183" w:rsidRDefault="00143183" w:rsidP="00143183">
            <w:pPr>
              <w:pStyle w:val="TableBody"/>
              <w:rPr>
                <w:rFonts w:eastAsia="Arial"/>
              </w:rPr>
            </w:pPr>
            <w:r>
              <w:rPr>
                <w:rFonts w:eastAsia="Arial"/>
              </w:rPr>
              <w:t>Emissions (MTCO2e)</w:t>
            </w:r>
          </w:p>
        </w:tc>
        <w:tc>
          <w:tcPr>
            <w:tcW w:w="3510" w:type="dxa"/>
            <w:tcBorders>
              <w:top w:val="nil"/>
              <w:left w:val="nil"/>
              <w:bottom w:val="nil"/>
              <w:right w:val="nil"/>
            </w:tcBorders>
          </w:tcPr>
          <w:p w14:paraId="5FD437C1" w14:textId="5F1A82FD" w:rsidR="009D2346" w:rsidRDefault="0CDBF178" w:rsidP="00143183">
            <w:pPr>
              <w:pStyle w:val="TableBody"/>
              <w:rPr>
                <w:rFonts w:eastAsia="Arial"/>
              </w:rPr>
            </w:pPr>
            <w:r w:rsidRPr="0CDBF178">
              <w:rPr>
                <w:rFonts w:eastAsia="Arial"/>
              </w:rPr>
              <w:t>Historical sector emissions are used in the calibration process. Emissions data for calibration is obtained from Climate Watch (2022).</w:t>
            </w:r>
          </w:p>
          <w:p w14:paraId="214611C3" w14:textId="77777777" w:rsidR="009D2346" w:rsidRDefault="009D2346" w:rsidP="00143183">
            <w:pPr>
              <w:pStyle w:val="TableBody"/>
              <w:rPr>
                <w:rFonts w:eastAsia="Arial"/>
              </w:rPr>
            </w:pPr>
          </w:p>
          <w:p w14:paraId="36514D3A" w14:textId="0F1212C7" w:rsidR="00143183" w:rsidRDefault="00885D3A" w:rsidP="00143183">
            <w:pPr>
              <w:pStyle w:val="TableBody"/>
              <w:rPr>
                <w:rFonts w:eastAsia="Arial"/>
              </w:rPr>
            </w:pPr>
            <w:r>
              <w:rPr>
                <w:rFonts w:eastAsia="Arial"/>
              </w:rPr>
              <w:t>Emissions also include fugitive emissions.</w:t>
            </w:r>
            <w:r w:rsidR="009D2346">
              <w:rPr>
                <w:rFonts w:eastAsia="Arial"/>
              </w:rPr>
              <w:t xml:space="preserve"> </w:t>
            </w:r>
            <w:r w:rsidR="00250023">
              <w:rPr>
                <w:rFonts w:eastAsia="Arial"/>
              </w:rPr>
              <w:t xml:space="preserve"> </w:t>
            </w:r>
          </w:p>
        </w:tc>
        <w:tc>
          <w:tcPr>
            <w:tcW w:w="3600" w:type="dxa"/>
            <w:tcBorders>
              <w:top w:val="nil"/>
              <w:left w:val="nil"/>
              <w:bottom w:val="nil"/>
              <w:right w:val="nil"/>
            </w:tcBorders>
          </w:tcPr>
          <w:p w14:paraId="680C8A6D" w14:textId="2C0B63D4" w:rsidR="00143183" w:rsidRDefault="0CDBF178" w:rsidP="00143183">
            <w:pPr>
              <w:pStyle w:val="TableBody"/>
              <w:rPr>
                <w:rFonts w:eastAsia="Arial"/>
              </w:rPr>
            </w:pPr>
            <w:r w:rsidRPr="0CDBF178">
              <w:rPr>
                <w:rFonts w:eastAsia="Arial"/>
              </w:rPr>
              <w:t>Total emissions are calculated based on emissions intensities and the quantities of energy consumed (by fuel).</w:t>
            </w:r>
          </w:p>
        </w:tc>
      </w:tr>
      <w:tr w:rsidR="00143183" w:rsidRPr="00126325" w14:paraId="08538771" w14:textId="77777777" w:rsidTr="7654BBD9">
        <w:trPr>
          <w:trHeight w:val="580"/>
        </w:trPr>
        <w:tc>
          <w:tcPr>
            <w:tcW w:w="9360" w:type="dxa"/>
            <w:gridSpan w:val="3"/>
            <w:tcBorders>
              <w:top w:val="single" w:sz="4" w:space="0" w:color="auto"/>
              <w:left w:val="nil"/>
              <w:bottom w:val="nil"/>
              <w:right w:val="nil"/>
            </w:tcBorders>
          </w:tcPr>
          <w:p w14:paraId="4DEFEC92" w14:textId="185004B4" w:rsidR="00143183" w:rsidRPr="00126325" w:rsidRDefault="00143183" w:rsidP="00FF06F8">
            <w:pPr>
              <w:pStyle w:val="TableNote"/>
              <w:spacing w:line="264" w:lineRule="auto"/>
              <w:rPr>
                <w:rFonts w:eastAsia="Arial"/>
              </w:rPr>
            </w:pPr>
          </w:p>
        </w:tc>
      </w:tr>
    </w:tbl>
    <w:p w14:paraId="26EE5128" w14:textId="5698345D" w:rsidR="0051693A" w:rsidRDefault="0CDBF178" w:rsidP="00A46C79">
      <w:pPr>
        <w:pStyle w:val="Heading2"/>
      </w:pPr>
      <w:bookmarkStart w:id="68" w:name="_Toc152088253"/>
      <w:r>
        <w:t>Transforming Energy and Fuel Production</w:t>
      </w:r>
      <w:bookmarkEnd w:id="68"/>
    </w:p>
    <w:p w14:paraId="1A1EB40F" w14:textId="77777777" w:rsidR="0051693A" w:rsidRDefault="0051693A" w:rsidP="006307F4"/>
    <w:p w14:paraId="3A85EA62" w14:textId="6213C839" w:rsidR="00A874D6" w:rsidRDefault="0CDBF178" w:rsidP="0CDBF178">
      <w:r>
        <w:t>We implement three transformations in electricity described in Table D.2. We currently do not transform primary fuel production.  Tables D.3 and D.4 show the technical and non-technical costs and benefits.</w:t>
      </w:r>
    </w:p>
    <w:p w14:paraId="40F90921" w14:textId="1EA46BAC" w:rsidR="006B78C0" w:rsidRDefault="0CDBF178" w:rsidP="006B78C0">
      <w:pPr>
        <w:pStyle w:val="Heading9"/>
      </w:pPr>
      <w:bookmarkStart w:id="69" w:name="_Toc152088327"/>
      <w:r w:rsidRPr="0CDBF178">
        <w:rPr>
          <w:rFonts w:eastAsia="Arial"/>
        </w:rPr>
        <w:t>Table D.2 Transformations to energy and fuel production</w:t>
      </w:r>
      <w:bookmarkEnd w:id="69"/>
    </w:p>
    <w:tbl>
      <w:tblPr>
        <w:tblStyle w:val="TableGrid"/>
        <w:tblW w:w="0" w:type="auto"/>
        <w:tblLayout w:type="fixed"/>
        <w:tblLook w:val="0620" w:firstRow="1" w:lastRow="0" w:firstColumn="0" w:lastColumn="0" w:noHBand="1" w:noVBand="1"/>
      </w:tblPr>
      <w:tblGrid>
        <w:gridCol w:w="2250"/>
        <w:gridCol w:w="3510"/>
        <w:gridCol w:w="3600"/>
      </w:tblGrid>
      <w:tr w:rsidR="00A874D6" w14:paraId="445E9B1D"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40A7A643" w14:textId="77777777" w:rsidR="00A874D6" w:rsidRDefault="00A874D6" w:rsidP="002B02E7">
            <w:r w:rsidRPr="37345C14">
              <w:rPr>
                <w:rFonts w:eastAsia="Arial" w:cs="Arial"/>
                <w:b/>
                <w:bCs/>
                <w:sz w:val="18"/>
                <w:szCs w:val="18"/>
              </w:rPr>
              <w:t>Transformation</w:t>
            </w:r>
          </w:p>
        </w:tc>
        <w:tc>
          <w:tcPr>
            <w:tcW w:w="3510" w:type="dxa"/>
            <w:tcBorders>
              <w:left w:val="nil"/>
              <w:right w:val="nil"/>
            </w:tcBorders>
          </w:tcPr>
          <w:p w14:paraId="7AA22F67" w14:textId="77777777" w:rsidR="00A874D6" w:rsidRDefault="00A874D6" w:rsidP="002B02E7">
            <w:pPr>
              <w:jc w:val="center"/>
            </w:pPr>
            <w:r w:rsidRPr="37345C14">
              <w:rPr>
                <w:rFonts w:eastAsia="Arial" w:cs="Arial"/>
                <w:b/>
                <w:bCs/>
                <w:sz w:val="18"/>
                <w:szCs w:val="18"/>
              </w:rPr>
              <w:t>Description</w:t>
            </w:r>
          </w:p>
        </w:tc>
        <w:tc>
          <w:tcPr>
            <w:tcW w:w="3600" w:type="dxa"/>
            <w:tcBorders>
              <w:left w:val="nil"/>
              <w:right w:val="nil"/>
            </w:tcBorders>
          </w:tcPr>
          <w:p w14:paraId="3B01852B" w14:textId="77777777" w:rsidR="00A874D6" w:rsidRDefault="00A874D6" w:rsidP="002B02E7">
            <w:pPr>
              <w:jc w:val="center"/>
            </w:pPr>
            <w:r w:rsidRPr="37345C14">
              <w:rPr>
                <w:rFonts w:eastAsia="Arial" w:cs="Arial"/>
                <w:b/>
                <w:bCs/>
                <w:sz w:val="18"/>
                <w:szCs w:val="18"/>
              </w:rPr>
              <w:t>Implementation</w:t>
            </w:r>
          </w:p>
        </w:tc>
      </w:tr>
      <w:tr w:rsidR="00A874D6" w14:paraId="6554FD31" w14:textId="77777777" w:rsidTr="7654BBD9">
        <w:tc>
          <w:tcPr>
            <w:tcW w:w="2250" w:type="dxa"/>
            <w:tcBorders>
              <w:top w:val="nil"/>
              <w:left w:val="nil"/>
              <w:bottom w:val="nil"/>
              <w:right w:val="nil"/>
            </w:tcBorders>
          </w:tcPr>
          <w:p w14:paraId="5826D654" w14:textId="326620E4" w:rsidR="00A874D6" w:rsidRDefault="002518E2" w:rsidP="002B02E7">
            <w:pPr>
              <w:pStyle w:val="TableBody"/>
            </w:pPr>
            <w:r>
              <w:rPr>
                <w:rFonts w:eastAsia="Arial"/>
              </w:rPr>
              <w:t>Transition to a renewable grid</w:t>
            </w:r>
          </w:p>
        </w:tc>
        <w:tc>
          <w:tcPr>
            <w:tcW w:w="3510" w:type="dxa"/>
            <w:tcBorders>
              <w:top w:val="nil"/>
              <w:left w:val="nil"/>
              <w:bottom w:val="nil"/>
              <w:right w:val="nil"/>
            </w:tcBorders>
          </w:tcPr>
          <w:p w14:paraId="64F94043" w14:textId="3EB97235" w:rsidR="00A874D6" w:rsidRDefault="00AD3760" w:rsidP="002B02E7">
            <w:pPr>
              <w:pStyle w:val="TableBody"/>
            </w:pPr>
            <w:r>
              <w:t xml:space="preserve">A renewable grid phases out fossil fuels and meets demand with </w:t>
            </w:r>
            <w:r w:rsidR="00153BE5">
              <w:t>renewable energy coupled with storage.</w:t>
            </w:r>
          </w:p>
        </w:tc>
        <w:tc>
          <w:tcPr>
            <w:tcW w:w="3600" w:type="dxa"/>
            <w:tcBorders>
              <w:top w:val="nil"/>
              <w:left w:val="nil"/>
              <w:bottom w:val="nil"/>
              <w:right w:val="nil"/>
            </w:tcBorders>
          </w:tcPr>
          <w:p w14:paraId="49232BD2" w14:textId="148FCD56" w:rsidR="00A874D6" w:rsidRDefault="0CDBF178" w:rsidP="002B02E7">
            <w:pPr>
              <w:pStyle w:val="TableBody"/>
            </w:pPr>
            <w:r w:rsidRPr="0CDBF178">
              <w:rPr>
                <w:rFonts w:eastAsia="Arial"/>
              </w:rPr>
              <w:t xml:space="preserve">This transition constrains </w:t>
            </w:r>
            <w:proofErr w:type="spellStart"/>
            <w:r w:rsidRPr="0CDBF178">
              <w:rPr>
                <w:rFonts w:eastAsia="Arial"/>
              </w:rPr>
              <w:t>NemoMod</w:t>
            </w:r>
            <w:proofErr w:type="spellEnd"/>
            <w:r w:rsidRPr="0CDBF178">
              <w:rPr>
                <w:rFonts w:eastAsia="Arial"/>
              </w:rPr>
              <w:t xml:space="preserve"> to produce electricity with 95% renewables, which are limited to solar (≥ 15%), wind (≥ 15%), and geothermal (≥10%), along with a </w:t>
            </w:r>
            <w:r w:rsidRPr="0CDBF178">
              <w:rPr>
                <w:rFonts w:eastAsia="Arial"/>
              </w:rPr>
              <w:lastRenderedPageBreak/>
              <w:t xml:space="preserve">variety of storage technologies. </w:t>
            </w:r>
            <w:r>
              <w:t>No new nuclear, hydropower, or biomass generation capacity can be added.</w:t>
            </w:r>
          </w:p>
        </w:tc>
      </w:tr>
      <w:tr w:rsidR="00914194" w14:paraId="0635BDC7" w14:textId="77777777" w:rsidTr="7654BBD9">
        <w:tc>
          <w:tcPr>
            <w:tcW w:w="2250" w:type="dxa"/>
            <w:tcBorders>
              <w:top w:val="nil"/>
              <w:left w:val="nil"/>
              <w:bottom w:val="nil"/>
              <w:right w:val="nil"/>
            </w:tcBorders>
          </w:tcPr>
          <w:p w14:paraId="104A2FCD" w14:textId="3B21F5A3" w:rsidR="00914194" w:rsidRDefault="00914194" w:rsidP="002B02E7">
            <w:pPr>
              <w:pStyle w:val="TableBody"/>
              <w:rPr>
                <w:rFonts w:eastAsia="Arial"/>
              </w:rPr>
            </w:pPr>
            <w:r>
              <w:rPr>
                <w:rFonts w:eastAsia="Arial"/>
              </w:rPr>
              <w:lastRenderedPageBreak/>
              <w:t>Produce green hydrogen</w:t>
            </w:r>
          </w:p>
        </w:tc>
        <w:tc>
          <w:tcPr>
            <w:tcW w:w="3510" w:type="dxa"/>
            <w:tcBorders>
              <w:top w:val="nil"/>
              <w:left w:val="nil"/>
              <w:bottom w:val="nil"/>
              <w:right w:val="nil"/>
            </w:tcBorders>
          </w:tcPr>
          <w:p w14:paraId="09187A15" w14:textId="6CBD30D5" w:rsidR="00914194" w:rsidRDefault="00B31403" w:rsidP="002B02E7">
            <w:pPr>
              <w:pStyle w:val="TableBody"/>
              <w:rPr>
                <w:rFonts w:eastAsia="Arial"/>
              </w:rPr>
            </w:pPr>
            <w:r>
              <w:rPr>
                <w:rFonts w:eastAsia="Arial"/>
              </w:rPr>
              <w:t>Green hydrogen is generally produced by electrolysis powered by renewable energy, instead of more typical methods of steam methane reformation</w:t>
            </w:r>
            <w:r w:rsidR="03757DE5" w:rsidRPr="03757DE5">
              <w:rPr>
                <w:rFonts w:eastAsia="Arial"/>
              </w:rPr>
              <w:t xml:space="preserve"> or gasification</w:t>
            </w:r>
            <w:r>
              <w:rPr>
                <w:rFonts w:eastAsia="Arial"/>
              </w:rPr>
              <w:t>.</w:t>
            </w:r>
          </w:p>
        </w:tc>
        <w:tc>
          <w:tcPr>
            <w:tcW w:w="3600" w:type="dxa"/>
            <w:tcBorders>
              <w:top w:val="nil"/>
              <w:left w:val="nil"/>
              <w:bottom w:val="nil"/>
              <w:right w:val="nil"/>
            </w:tcBorders>
          </w:tcPr>
          <w:p w14:paraId="0B102A5C" w14:textId="09CE71E4" w:rsidR="00914194" w:rsidRDefault="00B31403" w:rsidP="002B02E7">
            <w:pPr>
              <w:pStyle w:val="TableBody"/>
              <w:rPr>
                <w:rFonts w:eastAsia="Arial"/>
              </w:rPr>
            </w:pPr>
            <w:r>
              <w:rPr>
                <w:rFonts w:eastAsia="Arial"/>
              </w:rPr>
              <w:t xml:space="preserve">All hydrogen is produced through </w:t>
            </w:r>
            <w:r w:rsidR="009F4B45">
              <w:rPr>
                <w:rFonts w:eastAsia="Arial"/>
              </w:rPr>
              <w:t>electrolysis.</w:t>
            </w:r>
          </w:p>
        </w:tc>
      </w:tr>
      <w:tr w:rsidR="00A874D6" w14:paraId="7F78E40C" w14:textId="77777777" w:rsidTr="7654BBD9">
        <w:tc>
          <w:tcPr>
            <w:tcW w:w="2250" w:type="dxa"/>
            <w:tcBorders>
              <w:top w:val="nil"/>
              <w:left w:val="nil"/>
              <w:bottom w:val="nil"/>
              <w:right w:val="nil"/>
            </w:tcBorders>
          </w:tcPr>
          <w:p w14:paraId="08821BD8" w14:textId="47E5DBA8" w:rsidR="00A874D6" w:rsidRDefault="002518E2" w:rsidP="002B02E7">
            <w:pPr>
              <w:pStyle w:val="TableBody"/>
              <w:rPr>
                <w:rFonts w:eastAsia="Arial"/>
              </w:rPr>
            </w:pPr>
            <w:r>
              <w:rPr>
                <w:rFonts w:eastAsia="Arial"/>
              </w:rPr>
              <w:t>Reduce transmission losses</w:t>
            </w:r>
          </w:p>
        </w:tc>
        <w:tc>
          <w:tcPr>
            <w:tcW w:w="3510" w:type="dxa"/>
            <w:tcBorders>
              <w:top w:val="nil"/>
              <w:left w:val="nil"/>
              <w:bottom w:val="nil"/>
              <w:right w:val="nil"/>
            </w:tcBorders>
          </w:tcPr>
          <w:p w14:paraId="0272D52F" w14:textId="13565DE9" w:rsidR="00A874D6" w:rsidRPr="7726BEE2" w:rsidRDefault="7654BBD9" w:rsidP="002B02E7">
            <w:pPr>
              <w:pStyle w:val="TableBody"/>
              <w:rPr>
                <w:rFonts w:eastAsia="Arial"/>
              </w:rPr>
            </w:pPr>
            <w:r w:rsidRPr="7654BBD9">
              <w:rPr>
                <w:rFonts w:eastAsia="Arial"/>
              </w:rPr>
              <w:t xml:space="preserve">Electricity grids experience technical and non-technical losses in transmission and distribution from infrastructure and demand characteristics (Jiménez et al., 2014). This transformation mitigates technical losses through upgrades and improvements to the grid, such as replacing transformers and power lines, installing smart grids, and managing reactive power (IEA, </w:t>
            </w:r>
            <w:r w:rsidRPr="00A46C79">
              <w:rPr>
                <w:rFonts w:eastAsia="Arial"/>
                <w:highlight w:val="green"/>
              </w:rPr>
              <w:t>2020</w:t>
            </w:r>
            <w:r w:rsidRPr="7654BBD9">
              <w:rPr>
                <w:rFonts w:eastAsia="Arial"/>
              </w:rPr>
              <w:t>).</w:t>
            </w:r>
          </w:p>
        </w:tc>
        <w:tc>
          <w:tcPr>
            <w:tcW w:w="3600" w:type="dxa"/>
            <w:tcBorders>
              <w:top w:val="nil"/>
              <w:left w:val="nil"/>
              <w:bottom w:val="nil"/>
              <w:right w:val="nil"/>
            </w:tcBorders>
          </w:tcPr>
          <w:p w14:paraId="0A6929E5" w14:textId="2B4BD8FE" w:rsidR="00A874D6" w:rsidRPr="3126604F" w:rsidRDefault="7654BBD9">
            <w:pPr>
              <w:pStyle w:val="TableBody"/>
              <w:rPr>
                <w:rFonts w:eastAsia="Arial"/>
              </w:rPr>
            </w:pPr>
            <w:r w:rsidRPr="7654BBD9">
              <w:rPr>
                <w:rFonts w:eastAsia="Arial"/>
              </w:rPr>
              <w:t>Investments in transmission infrastructure reduce half of excess losses currently experienced in each country, where excess is defined as losses greater than the 4% experienced in OECD (World Bank, 2023).</w:t>
            </w:r>
          </w:p>
        </w:tc>
      </w:tr>
      <w:tr w:rsidR="0016759D" w14:paraId="07E14109" w14:textId="77777777" w:rsidTr="7654BBD9">
        <w:tc>
          <w:tcPr>
            <w:tcW w:w="2250" w:type="dxa"/>
            <w:tcBorders>
              <w:top w:val="nil"/>
              <w:left w:val="nil"/>
              <w:bottom w:val="nil"/>
              <w:right w:val="nil"/>
            </w:tcBorders>
          </w:tcPr>
          <w:p w14:paraId="4B7E5947" w14:textId="22CCA297" w:rsidR="0016759D" w:rsidRDefault="0016759D" w:rsidP="002B02E7">
            <w:pPr>
              <w:pStyle w:val="TableBody"/>
              <w:rPr>
                <w:rFonts w:eastAsia="Arial"/>
              </w:rPr>
            </w:pPr>
            <w:r>
              <w:rPr>
                <w:rFonts w:eastAsia="Arial"/>
              </w:rPr>
              <w:t xml:space="preserve">Flaring </w:t>
            </w:r>
            <w:r w:rsidR="004B75CE">
              <w:rPr>
                <w:rFonts w:eastAsia="Arial"/>
              </w:rPr>
              <w:t>fugitive emissions</w:t>
            </w:r>
          </w:p>
        </w:tc>
        <w:tc>
          <w:tcPr>
            <w:tcW w:w="3510" w:type="dxa"/>
            <w:tcBorders>
              <w:top w:val="nil"/>
              <w:left w:val="nil"/>
              <w:bottom w:val="nil"/>
              <w:right w:val="nil"/>
            </w:tcBorders>
          </w:tcPr>
          <w:p w14:paraId="4933E3CA" w14:textId="143AD652" w:rsidR="0016759D" w:rsidRDefault="0CDBF178">
            <w:pPr>
              <w:pStyle w:val="TableBody"/>
              <w:rPr>
                <w:rFonts w:eastAsia="Arial"/>
              </w:rPr>
            </w:pPr>
            <w:r w:rsidRPr="0CDBF178">
              <w:rPr>
                <w:rFonts w:eastAsia="Arial"/>
              </w:rPr>
              <w:t xml:space="preserve">Production of oil and natural gas can result in significant fugitive emissions of CH4, which has a higher global warming potential than CO2 (Gordon et al., 2023). This transformation replaces venting of fugitive emissions with flaring, which combusts CH4 into CO2 and lowers GWP (EPA, 2019).  </w:t>
            </w:r>
          </w:p>
        </w:tc>
        <w:tc>
          <w:tcPr>
            <w:tcW w:w="3600" w:type="dxa"/>
            <w:tcBorders>
              <w:top w:val="nil"/>
              <w:left w:val="nil"/>
              <w:bottom w:val="nil"/>
              <w:right w:val="nil"/>
            </w:tcBorders>
          </w:tcPr>
          <w:p w14:paraId="66B6A4E8" w14:textId="1BABCC4C" w:rsidR="0016759D" w:rsidRPr="00FE08CB" w:rsidRDefault="009758A6" w:rsidP="002B02E7">
            <w:pPr>
              <w:pStyle w:val="TableBody"/>
              <w:rPr>
                <w:rFonts w:eastAsia="Arial"/>
              </w:rPr>
            </w:pPr>
            <w:r>
              <w:rPr>
                <w:rFonts w:eastAsia="Arial"/>
              </w:rPr>
              <w:t>Eighty percent of vented emissions are flared.</w:t>
            </w:r>
          </w:p>
        </w:tc>
      </w:tr>
      <w:tr w:rsidR="0016759D" w14:paraId="4BF31E1A" w14:textId="77777777" w:rsidTr="7654BBD9">
        <w:tc>
          <w:tcPr>
            <w:tcW w:w="2250" w:type="dxa"/>
            <w:tcBorders>
              <w:top w:val="nil"/>
              <w:left w:val="nil"/>
              <w:bottom w:val="nil"/>
              <w:right w:val="nil"/>
            </w:tcBorders>
          </w:tcPr>
          <w:p w14:paraId="078CDBAA" w14:textId="38DF69B8" w:rsidR="0016759D" w:rsidRDefault="0016759D" w:rsidP="002B02E7">
            <w:pPr>
              <w:pStyle w:val="TableBody"/>
              <w:rPr>
                <w:rFonts w:eastAsia="Arial"/>
              </w:rPr>
            </w:pPr>
            <w:r>
              <w:rPr>
                <w:rFonts w:eastAsia="Arial"/>
              </w:rPr>
              <w:t xml:space="preserve">Minimizing </w:t>
            </w:r>
            <w:r w:rsidR="004B75CE">
              <w:rPr>
                <w:rFonts w:eastAsia="Arial"/>
              </w:rPr>
              <w:t>leaks of fugitive emissions</w:t>
            </w:r>
          </w:p>
        </w:tc>
        <w:tc>
          <w:tcPr>
            <w:tcW w:w="3510" w:type="dxa"/>
            <w:tcBorders>
              <w:top w:val="nil"/>
              <w:left w:val="nil"/>
              <w:bottom w:val="nil"/>
              <w:right w:val="nil"/>
            </w:tcBorders>
          </w:tcPr>
          <w:p w14:paraId="41D3CF57" w14:textId="79B1B2A7" w:rsidR="0016759D" w:rsidRDefault="00195A41" w:rsidP="002B02E7">
            <w:pPr>
              <w:pStyle w:val="TableBody"/>
              <w:rPr>
                <w:rFonts w:eastAsia="Arial"/>
              </w:rPr>
            </w:pPr>
            <w:r>
              <w:rPr>
                <w:rFonts w:eastAsia="Arial"/>
              </w:rPr>
              <w:t>This transformation uses a variety of technology to identify and repair leaks of fugitive emissions</w:t>
            </w:r>
            <w:r w:rsidR="005E6A76">
              <w:rPr>
                <w:rFonts w:eastAsia="Arial"/>
              </w:rPr>
              <w:t xml:space="preserve"> (EPA, 2019</w:t>
            </w:r>
            <w:r w:rsidR="00636194">
              <w:rPr>
                <w:rFonts w:eastAsia="Arial"/>
              </w:rPr>
              <w:t>)</w:t>
            </w:r>
            <w:r>
              <w:rPr>
                <w:rFonts w:eastAsia="Arial"/>
              </w:rPr>
              <w:t>.</w:t>
            </w:r>
          </w:p>
        </w:tc>
        <w:tc>
          <w:tcPr>
            <w:tcW w:w="3600" w:type="dxa"/>
            <w:tcBorders>
              <w:top w:val="nil"/>
              <w:left w:val="nil"/>
              <w:bottom w:val="nil"/>
              <w:right w:val="nil"/>
            </w:tcBorders>
          </w:tcPr>
          <w:p w14:paraId="75C61A7D" w14:textId="744561C2" w:rsidR="0016759D" w:rsidRPr="00195A41" w:rsidRDefault="00195A41" w:rsidP="002B02E7">
            <w:pPr>
              <w:pStyle w:val="TableBody"/>
              <w:rPr>
                <w:rFonts w:eastAsia="Arial"/>
              </w:rPr>
            </w:pPr>
            <w:r>
              <w:rPr>
                <w:rFonts w:eastAsia="Arial"/>
              </w:rPr>
              <w:t>Eighty percent of leaked fugitive emissions are repaired.</w:t>
            </w:r>
          </w:p>
        </w:tc>
      </w:tr>
      <w:tr w:rsidR="00A874D6" w14:paraId="20C61B63" w14:textId="77777777" w:rsidTr="7654BBD9">
        <w:tc>
          <w:tcPr>
            <w:tcW w:w="9360" w:type="dxa"/>
            <w:gridSpan w:val="3"/>
            <w:tcBorders>
              <w:top w:val="single" w:sz="4" w:space="0" w:color="auto"/>
              <w:left w:val="nil"/>
              <w:bottom w:val="nil"/>
              <w:right w:val="nil"/>
            </w:tcBorders>
          </w:tcPr>
          <w:p w14:paraId="0CCFF3BC" w14:textId="77777777" w:rsidR="00A874D6" w:rsidRPr="30FF5F6D" w:rsidRDefault="00A874D6" w:rsidP="00552972">
            <w:pPr>
              <w:pStyle w:val="TableNote"/>
              <w:rPr>
                <w:rFonts w:eastAsia="Arial"/>
              </w:rPr>
            </w:pPr>
          </w:p>
        </w:tc>
      </w:tr>
    </w:tbl>
    <w:p w14:paraId="6CA534BF" w14:textId="37DE65C6" w:rsidR="00891166" w:rsidRDefault="00891166">
      <w:pPr>
        <w:rPr>
          <w:rFonts w:ascii="Arial" w:eastAsia="Arial" w:hAnsi="Arial"/>
          <w:b/>
          <w:bCs/>
          <w:sz w:val="20"/>
          <w:szCs w:val="20"/>
        </w:rPr>
      </w:pPr>
    </w:p>
    <w:p w14:paraId="1C1711CE" w14:textId="6CE77B05" w:rsidR="006B78C0" w:rsidRPr="005D7B19" w:rsidRDefault="0CDBF178" w:rsidP="0CDBF178">
      <w:pPr>
        <w:pStyle w:val="Heading9"/>
        <w:rPr>
          <w:rFonts w:ascii="Times New Roman" w:hAnsi="Times New Roman"/>
          <w:sz w:val="24"/>
          <w:szCs w:val="24"/>
        </w:rPr>
      </w:pPr>
      <w:bookmarkStart w:id="70" w:name="_Toc152088328"/>
      <w:r w:rsidRPr="0CDBF178">
        <w:rPr>
          <w:rFonts w:eastAsia="Arial"/>
        </w:rPr>
        <w:t>Table D.3 Energy and fuel production transformations’ technical costs</w:t>
      </w:r>
      <w:bookmarkEnd w:id="70"/>
    </w:p>
    <w:tbl>
      <w:tblPr>
        <w:tblStyle w:val="TableGrid"/>
        <w:tblW w:w="0" w:type="auto"/>
        <w:tblLayout w:type="fixed"/>
        <w:tblLook w:val="0620" w:firstRow="1" w:lastRow="0" w:firstColumn="0" w:lastColumn="0" w:noHBand="1" w:noVBand="1"/>
      </w:tblPr>
      <w:tblGrid>
        <w:gridCol w:w="2250"/>
        <w:gridCol w:w="3600"/>
        <w:gridCol w:w="3510"/>
      </w:tblGrid>
      <w:tr w:rsidR="006B78C0" w14:paraId="4A4605B3" w14:textId="77777777" w:rsidTr="48B0C125">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6CEAB7DD" w14:textId="77777777" w:rsidR="006B78C0" w:rsidRDefault="006B78C0" w:rsidP="002B02E7">
            <w:r w:rsidRPr="37345C14">
              <w:rPr>
                <w:rFonts w:eastAsia="Arial" w:cs="Arial"/>
                <w:b/>
                <w:bCs/>
                <w:sz w:val="18"/>
                <w:szCs w:val="18"/>
              </w:rPr>
              <w:t>Transformation</w:t>
            </w:r>
          </w:p>
        </w:tc>
        <w:tc>
          <w:tcPr>
            <w:tcW w:w="3600" w:type="dxa"/>
            <w:tcBorders>
              <w:left w:val="nil"/>
              <w:right w:val="nil"/>
            </w:tcBorders>
          </w:tcPr>
          <w:p w14:paraId="6D5FC87C" w14:textId="7DAEED8C" w:rsidR="006B78C0" w:rsidRDefault="0CDBF178">
            <w:pPr>
              <w:jc w:val="center"/>
              <w:rPr>
                <w:rFonts w:eastAsia="Arial" w:cs="Arial"/>
                <w:b/>
                <w:bCs/>
                <w:sz w:val="18"/>
                <w:szCs w:val="18"/>
              </w:rPr>
            </w:pPr>
            <w:r w:rsidRPr="0CDBF178">
              <w:rPr>
                <w:rFonts w:eastAsia="Arial" w:cs="Arial"/>
                <w:b/>
                <w:bCs/>
                <w:sz w:val="18"/>
                <w:szCs w:val="18"/>
              </w:rPr>
              <w:t>Technical costs</w:t>
            </w:r>
          </w:p>
          <w:p w14:paraId="0E9B3828" w14:textId="77777777" w:rsidR="00AC4626" w:rsidRDefault="0CDBF178" w:rsidP="00AC4626">
            <w:pPr>
              <w:jc w:val="center"/>
              <w:rPr>
                <w:rFonts w:eastAsia="Arial" w:cs="Arial"/>
                <w:b/>
                <w:bCs/>
                <w:sz w:val="18"/>
                <w:szCs w:val="18"/>
              </w:rPr>
            </w:pPr>
            <w:r w:rsidRPr="00A46C79">
              <w:rPr>
                <w:rFonts w:eastAsia="Arial" w:cs="Arial"/>
                <w:b/>
                <w:bCs/>
                <w:sz w:val="18"/>
                <w:szCs w:val="18"/>
              </w:rPr>
              <w:t>(LAC average in 2019 USD)</w:t>
            </w:r>
          </w:p>
          <w:p w14:paraId="039C9632" w14:textId="73C61ACA" w:rsidR="00AC4626" w:rsidRDefault="00AC4626" w:rsidP="00AC4626">
            <w:pPr>
              <w:jc w:val="center"/>
            </w:pPr>
            <w:r w:rsidRPr="00855CAA">
              <w:rPr>
                <w:rFonts w:eastAsia="Arial" w:cs="Arial"/>
                <w:sz w:val="18"/>
                <w:szCs w:val="18"/>
              </w:rPr>
              <w:t xml:space="preserve">(Negative values indicate </w:t>
            </w:r>
            <w:r>
              <w:rPr>
                <w:rFonts w:eastAsia="Arial" w:cs="Arial"/>
                <w:sz w:val="18"/>
                <w:szCs w:val="18"/>
              </w:rPr>
              <w:t>avoided costs, i.e., savings</w:t>
            </w:r>
            <w:r w:rsidRPr="00855CAA">
              <w:rPr>
                <w:rFonts w:eastAsia="Arial" w:cs="Arial"/>
                <w:sz w:val="18"/>
                <w:szCs w:val="18"/>
              </w:rPr>
              <w:t>)</w:t>
            </w:r>
          </w:p>
        </w:tc>
        <w:tc>
          <w:tcPr>
            <w:tcW w:w="3510" w:type="dxa"/>
            <w:tcBorders>
              <w:left w:val="nil"/>
              <w:right w:val="nil"/>
            </w:tcBorders>
          </w:tcPr>
          <w:p w14:paraId="293AA7D9" w14:textId="58333BAB" w:rsidR="006B78C0" w:rsidRDefault="0CDBF178" w:rsidP="0CDBF178">
            <w:pPr>
              <w:jc w:val="center"/>
            </w:pPr>
            <w:r w:rsidRPr="0CDBF178">
              <w:rPr>
                <w:rFonts w:eastAsia="Arial" w:cs="Arial"/>
                <w:b/>
                <w:bCs/>
                <w:sz w:val="18"/>
                <w:szCs w:val="18"/>
              </w:rPr>
              <w:t>Notes and data sources</w:t>
            </w:r>
          </w:p>
        </w:tc>
      </w:tr>
      <w:tr w:rsidR="006B78C0" w14:paraId="61D06662" w14:textId="77777777" w:rsidTr="48B0C125">
        <w:tc>
          <w:tcPr>
            <w:tcW w:w="2250" w:type="dxa"/>
            <w:tcBorders>
              <w:top w:val="nil"/>
              <w:left w:val="nil"/>
              <w:bottom w:val="nil"/>
              <w:right w:val="nil"/>
            </w:tcBorders>
          </w:tcPr>
          <w:p w14:paraId="5B113136" w14:textId="50355F27" w:rsidR="006B78C0" w:rsidRDefault="006B78C0" w:rsidP="006B78C0">
            <w:pPr>
              <w:pStyle w:val="TableBody"/>
            </w:pPr>
            <w:r>
              <w:rPr>
                <w:rFonts w:eastAsia="Arial"/>
              </w:rPr>
              <w:t>Transition to a renewable grid</w:t>
            </w:r>
          </w:p>
        </w:tc>
        <w:tc>
          <w:tcPr>
            <w:tcW w:w="3600" w:type="dxa"/>
            <w:tcBorders>
              <w:top w:val="nil"/>
              <w:left w:val="nil"/>
              <w:bottom w:val="nil"/>
              <w:right w:val="nil"/>
            </w:tcBorders>
          </w:tcPr>
          <w:p w14:paraId="51095F32" w14:textId="2699E02A" w:rsidR="006B78C0" w:rsidRDefault="0CDBF178" w:rsidP="0CDBF178">
            <w:pPr>
              <w:pStyle w:val="TableBody"/>
              <w:rPr>
                <w:rFonts w:eastAsia="Arial"/>
              </w:rPr>
            </w:pPr>
            <w:r w:rsidRPr="0CDBF178">
              <w:rPr>
                <w:rFonts w:eastAsia="Arial"/>
              </w:rPr>
              <w:t xml:space="preserve">Capex, non-fuel </w:t>
            </w:r>
            <w:proofErr w:type="spellStart"/>
            <w:r w:rsidRPr="0CDBF178">
              <w:rPr>
                <w:rFonts w:eastAsia="Arial"/>
              </w:rPr>
              <w:t>opex</w:t>
            </w:r>
            <w:proofErr w:type="spellEnd"/>
            <w:r w:rsidRPr="0CDBF178">
              <w:rPr>
                <w:rFonts w:eastAsia="Arial"/>
              </w:rPr>
              <w:t xml:space="preserve">, and fuels are calculated </w:t>
            </w:r>
            <w:proofErr w:type="gramStart"/>
            <w:r w:rsidRPr="0CDBF178">
              <w:rPr>
                <w:rFonts w:eastAsia="Arial"/>
              </w:rPr>
              <w:t>endogenously</w:t>
            </w:r>
            <w:proofErr w:type="gramEnd"/>
          </w:p>
          <w:p w14:paraId="3EFEA4E2" w14:textId="77777777" w:rsidR="00B528C1" w:rsidRDefault="00B528C1" w:rsidP="006B78C0">
            <w:pPr>
              <w:pStyle w:val="TableBody"/>
              <w:rPr>
                <w:rFonts w:eastAsia="Arial"/>
              </w:rPr>
            </w:pPr>
          </w:p>
          <w:p w14:paraId="3CC8FD8A" w14:textId="46ED1C99" w:rsidR="00B528C1" w:rsidRDefault="0CDBF178" w:rsidP="006B78C0">
            <w:pPr>
              <w:pStyle w:val="TableBody"/>
              <w:rPr>
                <w:rFonts w:eastAsia="Arial"/>
              </w:rPr>
            </w:pPr>
            <w:r w:rsidRPr="0CDBF178">
              <w:rPr>
                <w:rFonts w:eastAsia="Arial"/>
              </w:rPr>
              <w:t>$2.70/MWh of new transmission</w:t>
            </w:r>
          </w:p>
          <w:p w14:paraId="6F95F1DB" w14:textId="77777777" w:rsidR="006B78C0" w:rsidRDefault="006B78C0" w:rsidP="006B78C0">
            <w:pPr>
              <w:pStyle w:val="TableBody"/>
            </w:pPr>
          </w:p>
        </w:tc>
        <w:tc>
          <w:tcPr>
            <w:tcW w:w="3510" w:type="dxa"/>
            <w:tcBorders>
              <w:top w:val="nil"/>
              <w:left w:val="nil"/>
              <w:bottom w:val="nil"/>
              <w:right w:val="nil"/>
            </w:tcBorders>
          </w:tcPr>
          <w:p w14:paraId="46F04207" w14:textId="77777777" w:rsidR="006B78C0" w:rsidRDefault="006B78C0" w:rsidP="006B78C0">
            <w:pPr>
              <w:pStyle w:val="TableBody"/>
              <w:rPr>
                <w:rFonts w:eastAsia="Arial" w:cs="Arial"/>
              </w:rPr>
            </w:pPr>
            <w:proofErr w:type="spellStart"/>
            <w:r>
              <w:rPr>
                <w:rFonts w:eastAsia="Arial" w:cs="Arial"/>
              </w:rPr>
              <w:t>NemoMod</w:t>
            </w:r>
            <w:proofErr w:type="spellEnd"/>
            <w:r>
              <w:rPr>
                <w:rFonts w:eastAsia="Arial" w:cs="Arial"/>
              </w:rPr>
              <w:t xml:space="preserve"> calculates the least-cost </w:t>
            </w:r>
            <w:r w:rsidR="00CC4BD9">
              <w:rPr>
                <w:rFonts w:eastAsia="Arial" w:cs="Arial"/>
              </w:rPr>
              <w:t>pathway to a renewable grid, including capital, operations and maintenance, and fuel costs.</w:t>
            </w:r>
          </w:p>
          <w:p w14:paraId="5192B6CC" w14:textId="77777777" w:rsidR="00B528C1" w:rsidRDefault="00B528C1" w:rsidP="006B78C0">
            <w:pPr>
              <w:pStyle w:val="TableBody"/>
              <w:rPr>
                <w:rFonts w:eastAsia="Arial" w:cs="Arial"/>
              </w:rPr>
            </w:pPr>
          </w:p>
          <w:p w14:paraId="666C3F97" w14:textId="177C7F77" w:rsidR="00B528C1" w:rsidRDefault="48B0C125" w:rsidP="006B78C0">
            <w:pPr>
              <w:pStyle w:val="TableBody"/>
            </w:pPr>
            <w:r w:rsidRPr="48B0C125">
              <w:rPr>
                <w:rFonts w:eastAsia="Arial" w:cs="Arial"/>
              </w:rPr>
              <w:t>According to the National Renewable Energy Laboratory (Gorman et al., 2019), the levelized cost of new transmission in the US ranges from $1/MWh to $10/MWh. We use an average of $5/MWh and convert to LAC.</w:t>
            </w:r>
          </w:p>
        </w:tc>
      </w:tr>
      <w:tr w:rsidR="00F51956" w14:paraId="6E989917" w14:textId="77777777" w:rsidTr="48B0C125">
        <w:tc>
          <w:tcPr>
            <w:tcW w:w="2250" w:type="dxa"/>
            <w:tcBorders>
              <w:top w:val="nil"/>
              <w:left w:val="nil"/>
              <w:bottom w:val="nil"/>
              <w:right w:val="nil"/>
            </w:tcBorders>
          </w:tcPr>
          <w:p w14:paraId="0989F40B" w14:textId="77777777" w:rsidR="00F51956" w:rsidRDefault="00F51956" w:rsidP="006B78C0">
            <w:pPr>
              <w:pStyle w:val="TableBody"/>
              <w:rPr>
                <w:rFonts w:eastAsia="Arial"/>
              </w:rPr>
            </w:pPr>
          </w:p>
        </w:tc>
        <w:tc>
          <w:tcPr>
            <w:tcW w:w="3600" w:type="dxa"/>
            <w:tcBorders>
              <w:top w:val="nil"/>
              <w:left w:val="nil"/>
              <w:bottom w:val="nil"/>
              <w:right w:val="nil"/>
            </w:tcBorders>
          </w:tcPr>
          <w:p w14:paraId="0C63F888" w14:textId="77777777" w:rsidR="00F51956" w:rsidRDefault="00F51956" w:rsidP="006B78C0">
            <w:pPr>
              <w:pStyle w:val="TableBody"/>
              <w:rPr>
                <w:rFonts w:eastAsia="Arial"/>
              </w:rPr>
            </w:pPr>
          </w:p>
        </w:tc>
        <w:tc>
          <w:tcPr>
            <w:tcW w:w="3510" w:type="dxa"/>
            <w:tcBorders>
              <w:top w:val="nil"/>
              <w:left w:val="nil"/>
              <w:bottom w:val="nil"/>
              <w:right w:val="nil"/>
            </w:tcBorders>
          </w:tcPr>
          <w:p w14:paraId="72422529" w14:textId="77777777" w:rsidR="00F51956" w:rsidRDefault="00F51956" w:rsidP="006B78C0">
            <w:pPr>
              <w:pStyle w:val="TableBody"/>
              <w:rPr>
                <w:rFonts w:eastAsia="Arial" w:cs="Arial"/>
              </w:rPr>
            </w:pPr>
          </w:p>
        </w:tc>
      </w:tr>
      <w:tr w:rsidR="00EA1366" w14:paraId="4D2B95C9" w14:textId="77777777" w:rsidTr="48B0C125">
        <w:tc>
          <w:tcPr>
            <w:tcW w:w="2250" w:type="dxa"/>
            <w:tcBorders>
              <w:top w:val="nil"/>
              <w:left w:val="nil"/>
              <w:bottom w:val="nil"/>
              <w:right w:val="nil"/>
            </w:tcBorders>
          </w:tcPr>
          <w:p w14:paraId="6E6B01BA" w14:textId="34667DA4" w:rsidR="00EA1366" w:rsidRDefault="00EA1366" w:rsidP="009F4B45">
            <w:pPr>
              <w:pStyle w:val="TableBody"/>
              <w:rPr>
                <w:rFonts w:eastAsia="Arial"/>
              </w:rPr>
            </w:pPr>
            <w:r>
              <w:rPr>
                <w:rFonts w:eastAsia="Arial"/>
              </w:rPr>
              <w:t>Produce green hydrogen</w:t>
            </w:r>
          </w:p>
        </w:tc>
        <w:tc>
          <w:tcPr>
            <w:tcW w:w="7110" w:type="dxa"/>
            <w:gridSpan w:val="2"/>
            <w:tcBorders>
              <w:top w:val="nil"/>
              <w:left w:val="nil"/>
              <w:bottom w:val="nil"/>
              <w:right w:val="nil"/>
            </w:tcBorders>
          </w:tcPr>
          <w:p w14:paraId="76CDB87D" w14:textId="33072064" w:rsidR="00EA1366" w:rsidRDefault="0CDBF178">
            <w:pPr>
              <w:pStyle w:val="TableBody"/>
              <w:rPr>
                <w:rFonts w:eastAsia="Arial"/>
              </w:rPr>
            </w:pPr>
            <w:r w:rsidRPr="0CDBF178">
              <w:rPr>
                <w:rFonts w:eastAsia="Arial"/>
              </w:rPr>
              <w:t xml:space="preserve">Endogenously calculated in </w:t>
            </w:r>
            <w:proofErr w:type="spellStart"/>
            <w:r w:rsidRPr="0CDBF178">
              <w:rPr>
                <w:rFonts w:eastAsia="Arial"/>
              </w:rPr>
              <w:t>NemoMod</w:t>
            </w:r>
            <w:proofErr w:type="spellEnd"/>
            <w:r w:rsidRPr="0CDBF178">
              <w:rPr>
                <w:rFonts w:eastAsia="Arial"/>
              </w:rPr>
              <w:t xml:space="preserve"> based on increased demand for renewable electricity to produce hydrogen.</w:t>
            </w:r>
          </w:p>
        </w:tc>
      </w:tr>
      <w:tr w:rsidR="009F4B45" w14:paraId="114501D3" w14:textId="77777777" w:rsidTr="48B0C125">
        <w:tc>
          <w:tcPr>
            <w:tcW w:w="2250" w:type="dxa"/>
            <w:tcBorders>
              <w:top w:val="nil"/>
              <w:left w:val="nil"/>
              <w:bottom w:val="nil"/>
              <w:right w:val="nil"/>
            </w:tcBorders>
          </w:tcPr>
          <w:p w14:paraId="12F4B856" w14:textId="7C0BBFD7" w:rsidR="009F4B45" w:rsidRDefault="009F4B45" w:rsidP="009F4B45">
            <w:pPr>
              <w:pStyle w:val="TableBody"/>
              <w:rPr>
                <w:rFonts w:eastAsia="Arial"/>
              </w:rPr>
            </w:pPr>
            <w:r>
              <w:rPr>
                <w:rFonts w:eastAsia="Arial"/>
              </w:rPr>
              <w:t>Reduce transmission losses</w:t>
            </w:r>
          </w:p>
        </w:tc>
        <w:tc>
          <w:tcPr>
            <w:tcW w:w="3600" w:type="dxa"/>
            <w:tcBorders>
              <w:top w:val="nil"/>
              <w:left w:val="nil"/>
              <w:bottom w:val="nil"/>
              <w:right w:val="nil"/>
            </w:tcBorders>
          </w:tcPr>
          <w:p w14:paraId="515082F3" w14:textId="1496DFB0" w:rsidR="009F4B45" w:rsidRPr="7726BEE2" w:rsidRDefault="009F4B45" w:rsidP="009F4B45">
            <w:pPr>
              <w:pStyle w:val="TableBody"/>
              <w:rPr>
                <w:rFonts w:eastAsia="Arial"/>
              </w:rPr>
            </w:pPr>
            <w:r>
              <w:rPr>
                <w:rFonts w:eastAsia="Arial"/>
              </w:rPr>
              <w:t>Varies by country</w:t>
            </w:r>
          </w:p>
        </w:tc>
        <w:tc>
          <w:tcPr>
            <w:tcW w:w="3510" w:type="dxa"/>
            <w:tcBorders>
              <w:top w:val="nil"/>
              <w:left w:val="nil"/>
              <w:bottom w:val="nil"/>
              <w:right w:val="nil"/>
            </w:tcBorders>
          </w:tcPr>
          <w:p w14:paraId="18BC779A" w14:textId="76595210" w:rsidR="009F4B45" w:rsidRPr="3126604F" w:rsidRDefault="0CDBF178">
            <w:pPr>
              <w:pStyle w:val="TableBody"/>
              <w:rPr>
                <w:rFonts w:eastAsia="Arial"/>
              </w:rPr>
            </w:pPr>
            <w:r w:rsidRPr="0CDBF178">
              <w:rPr>
                <w:rFonts w:eastAsia="Arial"/>
              </w:rPr>
              <w:t xml:space="preserve">The Inter-American Development Bank (Brichettei et al., 2021) estimates the cost </w:t>
            </w:r>
            <w:r w:rsidRPr="0CDBF178">
              <w:rPr>
                <w:rFonts w:eastAsia="Arial"/>
              </w:rPr>
              <w:lastRenderedPageBreak/>
              <w:t xml:space="preserve">between 2020 and 2030 of upgrading each country’s grid to meet Sustainable Development Goals (SDGs) to 2030. We use a simple annual average as an approximation of the annual cost of upgrades in each country that would yield reductions in transmission losses.  </w:t>
            </w:r>
          </w:p>
        </w:tc>
      </w:tr>
      <w:tr w:rsidR="009F4B45" w14:paraId="128CC5B8" w14:textId="77777777" w:rsidTr="48B0C125">
        <w:tc>
          <w:tcPr>
            <w:tcW w:w="2250" w:type="dxa"/>
            <w:tcBorders>
              <w:top w:val="nil"/>
              <w:left w:val="nil"/>
              <w:bottom w:val="nil"/>
              <w:right w:val="nil"/>
            </w:tcBorders>
          </w:tcPr>
          <w:p w14:paraId="2FC94863" w14:textId="4844E01D" w:rsidR="009F4B45" w:rsidRDefault="009F4B45" w:rsidP="009F4B45">
            <w:pPr>
              <w:pStyle w:val="TableBody"/>
              <w:rPr>
                <w:rFonts w:eastAsia="Arial"/>
              </w:rPr>
            </w:pPr>
            <w:r>
              <w:rPr>
                <w:rFonts w:eastAsia="Arial"/>
              </w:rPr>
              <w:lastRenderedPageBreak/>
              <w:t>Minimize fugitive emissions leaks</w:t>
            </w:r>
          </w:p>
        </w:tc>
        <w:tc>
          <w:tcPr>
            <w:tcW w:w="3600" w:type="dxa"/>
            <w:tcBorders>
              <w:top w:val="nil"/>
              <w:left w:val="nil"/>
              <w:bottom w:val="nil"/>
              <w:right w:val="nil"/>
            </w:tcBorders>
          </w:tcPr>
          <w:p w14:paraId="57EAC48C" w14:textId="4F50E5D9" w:rsidR="009F4B45" w:rsidRDefault="009F4B45" w:rsidP="009F4B45">
            <w:pPr>
              <w:pStyle w:val="TableBody"/>
              <w:rPr>
                <w:rFonts w:eastAsia="Arial"/>
              </w:rPr>
            </w:pPr>
            <w:r>
              <w:rPr>
                <w:rFonts w:eastAsia="Arial"/>
              </w:rPr>
              <w:t>$20/tCO2e</w:t>
            </w:r>
          </w:p>
        </w:tc>
        <w:tc>
          <w:tcPr>
            <w:tcW w:w="3510" w:type="dxa"/>
            <w:tcBorders>
              <w:top w:val="nil"/>
              <w:left w:val="nil"/>
              <w:bottom w:val="nil"/>
              <w:right w:val="nil"/>
            </w:tcBorders>
          </w:tcPr>
          <w:p w14:paraId="64830CBE" w14:textId="2700D7B1" w:rsidR="009F4B45" w:rsidRDefault="0CDBF178" w:rsidP="0CDBF178">
            <w:pPr>
              <w:pStyle w:val="TableBody"/>
              <w:rPr>
                <w:rFonts w:eastAsia="Arial"/>
              </w:rPr>
            </w:pPr>
            <w:r w:rsidRPr="0CDBF178">
              <w:rPr>
                <w:rFonts w:eastAsia="Arial"/>
              </w:rPr>
              <w:t>Studies suggest that fugitive emissions could be abated for less than $14/tCO2e in the US oil and gas industry through various technologies (ICF International, 2014, Figures A-4 and A-5). We use a conservative estimate, given variations in discount rates, assumptions about methane prices, and so on.</w:t>
            </w:r>
          </w:p>
        </w:tc>
      </w:tr>
      <w:tr w:rsidR="009F4B45" w14:paraId="54769B0C" w14:textId="77777777" w:rsidTr="48B0C125">
        <w:tc>
          <w:tcPr>
            <w:tcW w:w="2250" w:type="dxa"/>
            <w:tcBorders>
              <w:top w:val="nil"/>
              <w:left w:val="nil"/>
              <w:bottom w:val="nil"/>
              <w:right w:val="nil"/>
            </w:tcBorders>
          </w:tcPr>
          <w:p w14:paraId="6AAE16D8" w14:textId="103B8DD3" w:rsidR="009F4B45" w:rsidRDefault="0CDBF178" w:rsidP="0CDBF178">
            <w:pPr>
              <w:pStyle w:val="TableBody"/>
              <w:rPr>
                <w:rFonts w:eastAsia="Arial"/>
              </w:rPr>
            </w:pPr>
            <w:r w:rsidRPr="0CDBF178">
              <w:rPr>
                <w:rFonts w:eastAsia="Arial"/>
              </w:rPr>
              <w:t>Flare fugitive emissions</w:t>
            </w:r>
          </w:p>
        </w:tc>
        <w:tc>
          <w:tcPr>
            <w:tcW w:w="3600" w:type="dxa"/>
            <w:tcBorders>
              <w:top w:val="nil"/>
              <w:left w:val="nil"/>
              <w:bottom w:val="nil"/>
              <w:right w:val="nil"/>
            </w:tcBorders>
          </w:tcPr>
          <w:p w14:paraId="33AF5D46" w14:textId="77777777" w:rsidR="009F4B45" w:rsidRDefault="009F4B45" w:rsidP="009F4B45">
            <w:pPr>
              <w:pStyle w:val="TableBody"/>
              <w:rPr>
                <w:rFonts w:eastAsia="Arial"/>
              </w:rPr>
            </w:pPr>
            <w:r>
              <w:rPr>
                <w:rFonts w:eastAsia="Arial"/>
              </w:rPr>
              <w:t>$2/tCO2e</w:t>
            </w:r>
          </w:p>
        </w:tc>
        <w:tc>
          <w:tcPr>
            <w:tcW w:w="3510" w:type="dxa"/>
            <w:tcBorders>
              <w:top w:val="nil"/>
              <w:left w:val="nil"/>
              <w:bottom w:val="nil"/>
              <w:right w:val="nil"/>
            </w:tcBorders>
          </w:tcPr>
          <w:p w14:paraId="699A031F" w14:textId="59588D3F" w:rsidR="009F4B45" w:rsidRDefault="0CDBF178" w:rsidP="009F4B45">
            <w:pPr>
              <w:pStyle w:val="TableBody"/>
              <w:rPr>
                <w:rFonts w:eastAsia="Arial"/>
              </w:rPr>
            </w:pPr>
            <w:r w:rsidRPr="0CDBF178">
              <w:rPr>
                <w:rFonts w:eastAsia="Arial"/>
              </w:rPr>
              <w:t>We assume flaring will be one-tenth the cost of fixing leaks.</w:t>
            </w:r>
          </w:p>
        </w:tc>
      </w:tr>
      <w:tr w:rsidR="009F4B45" w14:paraId="107F9774" w14:textId="77777777" w:rsidTr="48B0C125">
        <w:tc>
          <w:tcPr>
            <w:tcW w:w="2250" w:type="dxa"/>
            <w:tcBorders>
              <w:top w:val="single" w:sz="4" w:space="0" w:color="auto"/>
              <w:left w:val="nil"/>
              <w:bottom w:val="nil"/>
              <w:right w:val="nil"/>
            </w:tcBorders>
          </w:tcPr>
          <w:p w14:paraId="08D8EEC0" w14:textId="77777777" w:rsidR="009F4B45" w:rsidRDefault="009F4B45" w:rsidP="009F4B45">
            <w:pPr>
              <w:pStyle w:val="TableBody"/>
              <w:rPr>
                <w:rFonts w:eastAsia="Arial"/>
              </w:rPr>
            </w:pPr>
          </w:p>
        </w:tc>
        <w:tc>
          <w:tcPr>
            <w:tcW w:w="3600" w:type="dxa"/>
            <w:tcBorders>
              <w:top w:val="single" w:sz="4" w:space="0" w:color="auto"/>
              <w:left w:val="nil"/>
              <w:bottom w:val="nil"/>
              <w:right w:val="nil"/>
            </w:tcBorders>
          </w:tcPr>
          <w:p w14:paraId="054BFA2B" w14:textId="77777777" w:rsidR="009F4B45" w:rsidRDefault="009F4B45" w:rsidP="009F4B45">
            <w:pPr>
              <w:pStyle w:val="TableBody"/>
              <w:rPr>
                <w:rFonts w:eastAsia="Arial"/>
              </w:rPr>
            </w:pPr>
          </w:p>
        </w:tc>
        <w:tc>
          <w:tcPr>
            <w:tcW w:w="3510" w:type="dxa"/>
            <w:tcBorders>
              <w:top w:val="single" w:sz="4" w:space="0" w:color="auto"/>
              <w:left w:val="nil"/>
              <w:bottom w:val="nil"/>
              <w:right w:val="nil"/>
            </w:tcBorders>
          </w:tcPr>
          <w:p w14:paraId="4EC902DC" w14:textId="77777777" w:rsidR="009F4B45" w:rsidRPr="003526C0" w:rsidRDefault="009F4B45" w:rsidP="009F4B45">
            <w:pPr>
              <w:rPr>
                <w:rFonts w:eastAsia="Arial"/>
                <w:sz w:val="18"/>
                <w:szCs w:val="18"/>
              </w:rPr>
            </w:pPr>
          </w:p>
        </w:tc>
      </w:tr>
    </w:tbl>
    <w:p w14:paraId="38CEB461" w14:textId="77777777" w:rsidR="006B78C0" w:rsidRDefault="006B78C0">
      <w:pPr>
        <w:rPr>
          <w:rFonts w:ascii="Arial" w:hAnsi="Arial"/>
          <w:sz w:val="32"/>
          <w:szCs w:val="20"/>
        </w:rPr>
      </w:pPr>
    </w:p>
    <w:p w14:paraId="4E5D711B" w14:textId="21C4742F" w:rsidR="005D7B19" w:rsidRPr="005D7B19" w:rsidRDefault="0CDBF178" w:rsidP="0CDBF178">
      <w:pPr>
        <w:pStyle w:val="Heading9"/>
        <w:rPr>
          <w:rFonts w:ascii="Times New Roman" w:hAnsi="Times New Roman"/>
          <w:sz w:val="24"/>
          <w:szCs w:val="24"/>
        </w:rPr>
      </w:pPr>
      <w:bookmarkStart w:id="71" w:name="_Toc152088329"/>
      <w:r w:rsidRPr="0CDBF178">
        <w:rPr>
          <w:rFonts w:eastAsia="Arial"/>
        </w:rPr>
        <w:t xml:space="preserve">Table D.4 </w:t>
      </w:r>
      <w:proofErr w:type="gramStart"/>
      <w:r w:rsidRPr="0CDBF178">
        <w:rPr>
          <w:rFonts w:eastAsia="Arial"/>
        </w:rPr>
        <w:t>Non-technical</w:t>
      </w:r>
      <w:proofErr w:type="gramEnd"/>
      <w:r w:rsidRPr="0CDBF178">
        <w:rPr>
          <w:rFonts w:eastAsia="Arial"/>
        </w:rPr>
        <w:t xml:space="preserve"> benefits and costs of transforming energy</w:t>
      </w:r>
      <w:bookmarkEnd w:id="71"/>
    </w:p>
    <w:tbl>
      <w:tblPr>
        <w:tblStyle w:val="TableGrid"/>
        <w:tblW w:w="0" w:type="auto"/>
        <w:tblLayout w:type="fixed"/>
        <w:tblLook w:val="0620" w:firstRow="1" w:lastRow="0" w:firstColumn="0" w:lastColumn="0" w:noHBand="1" w:noVBand="1"/>
      </w:tblPr>
      <w:tblGrid>
        <w:gridCol w:w="2610"/>
        <w:gridCol w:w="2610"/>
        <w:gridCol w:w="4140"/>
      </w:tblGrid>
      <w:tr w:rsidR="005D7B19" w14:paraId="19D85420" w14:textId="77777777" w:rsidTr="0CDBF178">
        <w:trPr>
          <w:cnfStyle w:val="100000000000" w:firstRow="1" w:lastRow="0" w:firstColumn="0" w:lastColumn="0" w:oddVBand="0" w:evenVBand="0" w:oddHBand="0" w:evenHBand="0" w:firstRowFirstColumn="0" w:firstRowLastColumn="0" w:lastRowFirstColumn="0" w:lastRowLastColumn="0"/>
          <w:trHeight w:val="15"/>
        </w:trPr>
        <w:tc>
          <w:tcPr>
            <w:tcW w:w="2610" w:type="dxa"/>
            <w:tcBorders>
              <w:left w:val="nil"/>
              <w:right w:val="nil"/>
            </w:tcBorders>
            <w:vAlign w:val="bottom"/>
          </w:tcPr>
          <w:p w14:paraId="71C90899" w14:textId="0856D62A" w:rsidR="005D7B19" w:rsidRDefault="0CDBF178">
            <w:r w:rsidRPr="0CDBF178">
              <w:rPr>
                <w:rFonts w:eastAsia="Arial" w:cs="Arial"/>
                <w:b/>
                <w:bCs/>
                <w:sz w:val="18"/>
                <w:szCs w:val="18"/>
              </w:rPr>
              <w:t>Benefit or cost</w:t>
            </w:r>
          </w:p>
        </w:tc>
        <w:tc>
          <w:tcPr>
            <w:tcW w:w="2610" w:type="dxa"/>
            <w:tcBorders>
              <w:left w:val="nil"/>
              <w:right w:val="nil"/>
            </w:tcBorders>
          </w:tcPr>
          <w:p w14:paraId="78EC5846" w14:textId="77777777" w:rsidR="005D7B19" w:rsidRDefault="005D7B19" w:rsidP="002B02E7">
            <w:pPr>
              <w:jc w:val="center"/>
              <w:rPr>
                <w:rFonts w:eastAsia="Arial" w:cs="Arial"/>
                <w:b/>
                <w:bCs/>
                <w:sz w:val="18"/>
                <w:szCs w:val="18"/>
              </w:rPr>
            </w:pPr>
            <w:r>
              <w:rPr>
                <w:rFonts w:eastAsia="Arial" w:cs="Arial"/>
                <w:b/>
                <w:bCs/>
                <w:sz w:val="18"/>
                <w:szCs w:val="18"/>
              </w:rPr>
              <w:t>Value</w:t>
            </w:r>
          </w:p>
          <w:p w14:paraId="1E0373C3" w14:textId="77777777" w:rsidR="0016421D" w:rsidRDefault="0CDBF178" w:rsidP="0016421D">
            <w:pPr>
              <w:jc w:val="center"/>
              <w:rPr>
                <w:rFonts w:eastAsia="Arial" w:cs="Arial"/>
                <w:b/>
                <w:bCs/>
                <w:sz w:val="18"/>
                <w:szCs w:val="18"/>
              </w:rPr>
            </w:pPr>
            <w:r w:rsidRPr="00A46C79">
              <w:rPr>
                <w:rFonts w:eastAsia="Arial" w:cs="Arial"/>
                <w:b/>
                <w:bCs/>
                <w:sz w:val="18"/>
                <w:szCs w:val="18"/>
              </w:rPr>
              <w:t>(LAC average in 2019 USD)</w:t>
            </w:r>
          </w:p>
          <w:p w14:paraId="485BD615" w14:textId="595FA020" w:rsidR="0016421D" w:rsidRDefault="0016421D" w:rsidP="0016421D">
            <w:pPr>
              <w:jc w:val="center"/>
            </w:pPr>
            <w:r w:rsidRPr="00855CAA">
              <w:rPr>
                <w:rFonts w:eastAsia="Arial" w:cs="Arial"/>
                <w:sz w:val="18"/>
                <w:szCs w:val="18"/>
              </w:rPr>
              <w:t>(</w:t>
            </w:r>
            <w:r w:rsidR="00AC4626">
              <w:rPr>
                <w:rFonts w:eastAsia="Arial" w:cs="Arial"/>
                <w:sz w:val="18"/>
                <w:szCs w:val="18"/>
              </w:rPr>
              <w:t>Positive</w:t>
            </w:r>
            <w:r w:rsidRPr="00855CAA">
              <w:rPr>
                <w:rFonts w:eastAsia="Arial" w:cs="Arial"/>
                <w:sz w:val="18"/>
                <w:szCs w:val="18"/>
              </w:rPr>
              <w:t xml:space="preserve"> indicate </w:t>
            </w:r>
            <w:r w:rsidR="00AC4626">
              <w:rPr>
                <w:rFonts w:eastAsia="Arial" w:cs="Arial"/>
                <w:sz w:val="18"/>
                <w:szCs w:val="18"/>
              </w:rPr>
              <w:t>benefits</w:t>
            </w:r>
            <w:r w:rsidRPr="00855CAA">
              <w:rPr>
                <w:rFonts w:eastAsia="Arial" w:cs="Arial"/>
                <w:sz w:val="18"/>
                <w:szCs w:val="18"/>
              </w:rPr>
              <w:t>)</w:t>
            </w:r>
          </w:p>
        </w:tc>
        <w:tc>
          <w:tcPr>
            <w:tcW w:w="4140" w:type="dxa"/>
            <w:tcBorders>
              <w:left w:val="nil"/>
              <w:right w:val="nil"/>
            </w:tcBorders>
          </w:tcPr>
          <w:p w14:paraId="0630D141" w14:textId="40F21BD4" w:rsidR="005D7B19" w:rsidRDefault="0CDBF178" w:rsidP="0CDBF178">
            <w:pPr>
              <w:jc w:val="center"/>
            </w:pPr>
            <w:r w:rsidRPr="0CDBF178">
              <w:rPr>
                <w:rFonts w:eastAsia="Arial" w:cs="Arial"/>
                <w:b/>
                <w:bCs/>
                <w:sz w:val="18"/>
                <w:szCs w:val="18"/>
              </w:rPr>
              <w:t>Notes and data sources</w:t>
            </w:r>
          </w:p>
        </w:tc>
      </w:tr>
      <w:tr w:rsidR="005D7B19" w14:paraId="5D4531BD" w14:textId="77777777" w:rsidTr="0CDBF178">
        <w:tc>
          <w:tcPr>
            <w:tcW w:w="2610" w:type="dxa"/>
            <w:tcBorders>
              <w:top w:val="nil"/>
              <w:left w:val="nil"/>
              <w:bottom w:val="nil"/>
              <w:right w:val="nil"/>
            </w:tcBorders>
          </w:tcPr>
          <w:p w14:paraId="1B201B3B" w14:textId="62BE5F34" w:rsidR="005D7B19" w:rsidRDefault="00145F07" w:rsidP="002B02E7">
            <w:pPr>
              <w:pStyle w:val="TableBody"/>
            </w:pPr>
            <w:r>
              <w:rPr>
                <w:rFonts w:eastAsia="Arial"/>
              </w:rPr>
              <w:t>Health b</w:t>
            </w:r>
            <w:r w:rsidR="00390E3A">
              <w:rPr>
                <w:rFonts w:eastAsia="Arial"/>
              </w:rPr>
              <w:t>enefit of avoided a</w:t>
            </w:r>
            <w:r w:rsidR="005D7B19">
              <w:rPr>
                <w:rFonts w:eastAsia="Arial"/>
              </w:rPr>
              <w:t xml:space="preserve">ir </w:t>
            </w:r>
            <w:r w:rsidR="00390E3A">
              <w:rPr>
                <w:rFonts w:eastAsia="Arial"/>
              </w:rPr>
              <w:t>pollution</w:t>
            </w:r>
          </w:p>
        </w:tc>
        <w:tc>
          <w:tcPr>
            <w:tcW w:w="2610" w:type="dxa"/>
            <w:tcBorders>
              <w:top w:val="nil"/>
              <w:left w:val="nil"/>
              <w:bottom w:val="nil"/>
              <w:right w:val="nil"/>
            </w:tcBorders>
          </w:tcPr>
          <w:p w14:paraId="39C1647A" w14:textId="7AB30396" w:rsidR="005D7B19" w:rsidRDefault="00E1580F" w:rsidP="002B02E7">
            <w:pPr>
              <w:pStyle w:val="TableBody"/>
              <w:rPr>
                <w:rFonts w:eastAsia="Arial"/>
              </w:rPr>
            </w:pPr>
            <w:r>
              <w:rPr>
                <w:rFonts w:eastAsia="Arial"/>
              </w:rPr>
              <w:t>$</w:t>
            </w:r>
            <w:r w:rsidR="003D2B80">
              <w:rPr>
                <w:rFonts w:eastAsia="Arial"/>
              </w:rPr>
              <w:t>2.77/GJ coal</w:t>
            </w:r>
          </w:p>
          <w:p w14:paraId="76E8770C" w14:textId="6E50677A" w:rsidR="003D2B80" w:rsidRDefault="003D2B80" w:rsidP="002B02E7">
            <w:pPr>
              <w:pStyle w:val="TableBody"/>
              <w:rPr>
                <w:rFonts w:eastAsia="Arial"/>
              </w:rPr>
            </w:pPr>
            <w:r>
              <w:rPr>
                <w:rFonts w:eastAsia="Arial"/>
              </w:rPr>
              <w:t>$0.99/GJ natural gas</w:t>
            </w:r>
          </w:p>
          <w:p w14:paraId="4B385F15" w14:textId="6405CA92" w:rsidR="005D7B19" w:rsidRPr="003D2B80" w:rsidRDefault="003D2B80" w:rsidP="002B02E7">
            <w:pPr>
              <w:pStyle w:val="TableBody"/>
              <w:rPr>
                <w:rFonts w:eastAsia="Arial"/>
              </w:rPr>
            </w:pPr>
            <w:r>
              <w:rPr>
                <w:rFonts w:eastAsia="Arial"/>
              </w:rPr>
              <w:t>$1.43/GJ oil</w:t>
            </w:r>
          </w:p>
        </w:tc>
        <w:tc>
          <w:tcPr>
            <w:tcW w:w="4140" w:type="dxa"/>
            <w:tcBorders>
              <w:top w:val="nil"/>
              <w:left w:val="nil"/>
              <w:bottom w:val="nil"/>
              <w:right w:val="nil"/>
            </w:tcBorders>
          </w:tcPr>
          <w:p w14:paraId="4CA47C66" w14:textId="2C41012C" w:rsidR="005D7B19" w:rsidRDefault="0CDBF178">
            <w:pPr>
              <w:pStyle w:val="TableBody"/>
            </w:pPr>
            <w:r w:rsidRPr="0CDBF178">
              <w:rPr>
                <w:rFonts w:eastAsia="Arial" w:cs="Arial"/>
              </w:rPr>
              <w:t xml:space="preserve">We use IMF’s fossil-fuel subsidies database (2021) to calculate the avoided air pollution costs of electricity generated by renewables versus coal, natural gas, and oil. (Costs are averaged across LAC, and the average cost of coal and natural gas is used for oil). </w:t>
            </w:r>
          </w:p>
        </w:tc>
      </w:tr>
      <w:tr w:rsidR="005D7B19" w14:paraId="29C74580" w14:textId="77777777" w:rsidTr="0CDBF178">
        <w:tc>
          <w:tcPr>
            <w:tcW w:w="2610" w:type="dxa"/>
            <w:tcBorders>
              <w:top w:val="single" w:sz="4" w:space="0" w:color="auto"/>
              <w:left w:val="nil"/>
              <w:bottom w:val="nil"/>
              <w:right w:val="nil"/>
            </w:tcBorders>
          </w:tcPr>
          <w:p w14:paraId="48B23932" w14:textId="77777777" w:rsidR="005D7B19" w:rsidRDefault="005D7B19" w:rsidP="002B02E7">
            <w:pPr>
              <w:pStyle w:val="TableBody"/>
              <w:rPr>
                <w:rFonts w:eastAsia="Arial"/>
              </w:rPr>
            </w:pPr>
          </w:p>
        </w:tc>
        <w:tc>
          <w:tcPr>
            <w:tcW w:w="2610" w:type="dxa"/>
            <w:tcBorders>
              <w:top w:val="single" w:sz="4" w:space="0" w:color="auto"/>
              <w:left w:val="nil"/>
              <w:bottom w:val="nil"/>
              <w:right w:val="nil"/>
            </w:tcBorders>
          </w:tcPr>
          <w:p w14:paraId="78490642" w14:textId="77777777" w:rsidR="005D7B19" w:rsidRDefault="005D7B19" w:rsidP="002B02E7">
            <w:pPr>
              <w:pStyle w:val="TableBody"/>
              <w:rPr>
                <w:rFonts w:eastAsia="Arial"/>
              </w:rPr>
            </w:pPr>
          </w:p>
        </w:tc>
        <w:tc>
          <w:tcPr>
            <w:tcW w:w="4140" w:type="dxa"/>
            <w:tcBorders>
              <w:top w:val="single" w:sz="4" w:space="0" w:color="auto"/>
              <w:left w:val="nil"/>
              <w:bottom w:val="nil"/>
              <w:right w:val="nil"/>
            </w:tcBorders>
          </w:tcPr>
          <w:p w14:paraId="2481FCAD" w14:textId="77777777" w:rsidR="005D7B19" w:rsidRPr="003526C0" w:rsidRDefault="005D7B19" w:rsidP="002B02E7">
            <w:pPr>
              <w:rPr>
                <w:rFonts w:eastAsia="Arial"/>
                <w:sz w:val="18"/>
                <w:szCs w:val="18"/>
              </w:rPr>
            </w:pPr>
          </w:p>
        </w:tc>
      </w:tr>
    </w:tbl>
    <w:p w14:paraId="6902B559" w14:textId="77777777" w:rsidR="00F64C68" w:rsidRDefault="00F64C68">
      <w:pPr>
        <w:rPr>
          <w:rFonts w:ascii="Arial" w:hAnsi="Arial"/>
          <w:sz w:val="32"/>
          <w:szCs w:val="20"/>
        </w:rPr>
      </w:pPr>
      <w:r>
        <w:br w:type="page"/>
      </w:r>
    </w:p>
    <w:p w14:paraId="1EF0A369" w14:textId="0251D7C5" w:rsidR="008862C6" w:rsidRDefault="008862C6" w:rsidP="008862C6">
      <w:pPr>
        <w:pStyle w:val="Heading1"/>
      </w:pPr>
      <w:bookmarkStart w:id="72" w:name="_Toc152088254"/>
      <w:r>
        <w:lastRenderedPageBreak/>
        <w:t>Appendix E. Buildings</w:t>
      </w:r>
      <w:bookmarkEnd w:id="72"/>
    </w:p>
    <w:p w14:paraId="493D8EA2" w14:textId="633B1D8D" w:rsidR="00897717" w:rsidRDefault="00897717" w:rsidP="00423A0E">
      <w:r>
        <w:t xml:space="preserve">This sector includes energy consumed </w:t>
      </w:r>
      <w:r w:rsidR="00347D3B">
        <w:t>by residential</w:t>
      </w:r>
      <w:r w:rsidR="0080753C">
        <w:t xml:space="preserve">, </w:t>
      </w:r>
      <w:r w:rsidR="00347D3B">
        <w:t>commercial</w:t>
      </w:r>
      <w:r w:rsidR="0080753C">
        <w:t xml:space="preserve">, and municipal </w:t>
      </w:r>
      <w:r w:rsidR="00347D3B">
        <w:t xml:space="preserve">buildings, and other stationery combustion not captured elsewhere. </w:t>
      </w:r>
      <w:r>
        <w:t>The emissions from this sector depend upon the</w:t>
      </w:r>
      <w:r w:rsidR="00423A0E">
        <w:t xml:space="preserve"> building stock and population, and the demands for heating, cooling</w:t>
      </w:r>
      <w:r w:rsidR="006C13FD">
        <w:t>,</w:t>
      </w:r>
      <w:r w:rsidR="00423A0E">
        <w:t xml:space="preserve"> and </w:t>
      </w:r>
      <w:r w:rsidR="006C13FD">
        <w:t xml:space="preserve">other </w:t>
      </w:r>
      <w:r w:rsidR="00423A0E">
        <w:t xml:space="preserve">appliances in the building, and the source of energy used. </w:t>
      </w:r>
      <w:r w:rsidR="03757DE5">
        <w:t xml:space="preserve">Residential building stock is estimated as a function of population and occupancy rate, which is elastic to GDP per capita. </w:t>
      </w:r>
      <w:r w:rsidR="00423A0E">
        <w:t xml:space="preserve">Emissions reductions can be achieved by reducing the amount of energy required in buildings, increasing their energy efficiency, </w:t>
      </w:r>
      <w:r>
        <w:t xml:space="preserve">and using cleaner energy sources. </w:t>
      </w:r>
    </w:p>
    <w:p w14:paraId="5995B424" w14:textId="77777777" w:rsidR="00897717" w:rsidRDefault="00897717" w:rsidP="00897717"/>
    <w:p w14:paraId="5F2CBA5E" w14:textId="2D47F12A" w:rsidR="00897717" w:rsidRDefault="0CDBF178" w:rsidP="00A46C79">
      <w:pPr>
        <w:pStyle w:val="Heading2"/>
      </w:pPr>
      <w:bookmarkStart w:id="73" w:name="_Toc152088255"/>
      <w:r>
        <w:t>Buildings Baseline Data and Projections</w:t>
      </w:r>
      <w:bookmarkEnd w:id="73"/>
    </w:p>
    <w:p w14:paraId="51F69A90" w14:textId="7198F601" w:rsidR="00897717" w:rsidRDefault="0CDBF178">
      <w:r>
        <w:t xml:space="preserve">Building emissions are a product of the data in Table E.1. </w:t>
      </w:r>
      <w:r w:rsidRPr="0CDBF178">
        <w:rPr>
          <w:rFonts w:eastAsia="Arial"/>
        </w:rPr>
        <w:t xml:space="preserve">Model parameters are calibrated to match model’s emissions estimates in the </w:t>
      </w:r>
      <w:proofErr w:type="gramStart"/>
      <w:r w:rsidRPr="0CDBF178">
        <w:rPr>
          <w:rFonts w:eastAsia="Arial"/>
        </w:rPr>
        <w:t>Buildings</w:t>
      </w:r>
      <w:proofErr w:type="gramEnd"/>
      <w:r w:rsidRPr="0CDBF178">
        <w:rPr>
          <w:rFonts w:eastAsia="Arial"/>
        </w:rPr>
        <w:t xml:space="preserve"> sector available at Climate Watch (2022). The set of calibrated parameters comprise</w:t>
      </w:r>
      <w:r>
        <w:t>s</w:t>
      </w:r>
      <w:r w:rsidRPr="0CDBF178">
        <w:rPr>
          <w:rFonts w:eastAsia="Arial"/>
        </w:rPr>
        <w:t xml:space="preserve"> efficiency factors of different fuels. Estimated baseline values are modulated to reflect specific national contexts.</w:t>
      </w:r>
    </w:p>
    <w:p w14:paraId="7C946E29" w14:textId="7E52B7A0" w:rsidR="00897717" w:rsidRDefault="0CDBF178" w:rsidP="0CDBF178">
      <w:pPr>
        <w:pStyle w:val="Heading9"/>
      </w:pPr>
      <w:bookmarkStart w:id="74" w:name="_Toc152088330"/>
      <w:r w:rsidRPr="0CDBF178">
        <w:rPr>
          <w:rFonts w:eastAsia="Arial"/>
        </w:rPr>
        <w:t>Table E.1 Data and methods for historical and baseline projection results</w:t>
      </w:r>
      <w:bookmarkEnd w:id="74"/>
    </w:p>
    <w:tbl>
      <w:tblPr>
        <w:tblStyle w:val="TableGrid"/>
        <w:tblW w:w="0" w:type="auto"/>
        <w:tblLayout w:type="fixed"/>
        <w:tblLook w:val="0620" w:firstRow="1" w:lastRow="0" w:firstColumn="0" w:lastColumn="0" w:noHBand="1" w:noVBand="1"/>
      </w:tblPr>
      <w:tblGrid>
        <w:gridCol w:w="2250"/>
        <w:gridCol w:w="3510"/>
        <w:gridCol w:w="3600"/>
      </w:tblGrid>
      <w:tr w:rsidR="00897717" w14:paraId="0E4A3B6F"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655311A7" w14:textId="77777777" w:rsidR="00897717" w:rsidRDefault="00897717" w:rsidP="002B02E7">
            <w:r>
              <w:rPr>
                <w:rFonts w:eastAsia="Arial" w:cs="Arial"/>
                <w:b/>
                <w:bCs/>
                <w:sz w:val="18"/>
                <w:szCs w:val="18"/>
              </w:rPr>
              <w:t>Data</w:t>
            </w:r>
          </w:p>
        </w:tc>
        <w:tc>
          <w:tcPr>
            <w:tcW w:w="3510" w:type="dxa"/>
            <w:tcBorders>
              <w:left w:val="nil"/>
              <w:right w:val="nil"/>
            </w:tcBorders>
          </w:tcPr>
          <w:p w14:paraId="3ED93020" w14:textId="7C4048CE" w:rsidR="00897717"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2D180A27" w14:textId="0E6E85F7" w:rsidR="00897717" w:rsidRDefault="0CDBF178" w:rsidP="0CDBF178">
            <w:pPr>
              <w:jc w:val="center"/>
            </w:pPr>
            <w:r w:rsidRPr="0CDBF178">
              <w:rPr>
                <w:rFonts w:eastAsia="Arial" w:cs="Arial"/>
                <w:b/>
                <w:bCs/>
                <w:sz w:val="18"/>
                <w:szCs w:val="18"/>
              </w:rPr>
              <w:t>Method for baseline projection</w:t>
            </w:r>
          </w:p>
        </w:tc>
      </w:tr>
      <w:tr w:rsidR="00897717" w14:paraId="65FBC14C" w14:textId="77777777" w:rsidTr="7654BBD9">
        <w:tc>
          <w:tcPr>
            <w:tcW w:w="2250" w:type="dxa"/>
            <w:tcBorders>
              <w:top w:val="nil"/>
              <w:left w:val="nil"/>
              <w:bottom w:val="nil"/>
              <w:right w:val="nil"/>
            </w:tcBorders>
          </w:tcPr>
          <w:p w14:paraId="50D6CCD1" w14:textId="6DAEAC27" w:rsidR="00897717" w:rsidRDefault="00B34E89" w:rsidP="002B02E7">
            <w:pPr>
              <w:pStyle w:val="TableBody"/>
            </w:pPr>
            <w:r>
              <w:rPr>
                <w:rFonts w:eastAsia="Arial"/>
              </w:rPr>
              <w:t>Demand for heat</w:t>
            </w:r>
            <w:r w:rsidR="00DA6950">
              <w:rPr>
                <w:rFonts w:eastAsia="Arial"/>
              </w:rPr>
              <w:t xml:space="preserve"> energy</w:t>
            </w:r>
          </w:p>
        </w:tc>
        <w:tc>
          <w:tcPr>
            <w:tcW w:w="3510" w:type="dxa"/>
            <w:tcBorders>
              <w:top w:val="nil"/>
              <w:left w:val="nil"/>
              <w:bottom w:val="nil"/>
              <w:right w:val="nil"/>
            </w:tcBorders>
          </w:tcPr>
          <w:p w14:paraId="5B7C504E" w14:textId="6863F503" w:rsidR="00897717" w:rsidRPr="00397039" w:rsidRDefault="7654BBD9" w:rsidP="002B02E7">
            <w:pPr>
              <w:pStyle w:val="TableBody"/>
            </w:pPr>
            <w:r w:rsidRPr="00397039">
              <w:rPr>
                <w:rFonts w:eastAsia="Arial"/>
              </w:rPr>
              <w:t xml:space="preserve">Heat demand is estimated using IEA’s World Energy Balance Highlights (2021). </w:t>
            </w:r>
          </w:p>
        </w:tc>
        <w:tc>
          <w:tcPr>
            <w:tcW w:w="3600" w:type="dxa"/>
            <w:tcBorders>
              <w:top w:val="nil"/>
              <w:left w:val="nil"/>
              <w:bottom w:val="nil"/>
              <w:right w:val="nil"/>
            </w:tcBorders>
          </w:tcPr>
          <w:p w14:paraId="75EFCE4E" w14:textId="59152943" w:rsidR="00897717" w:rsidRDefault="00897717" w:rsidP="002B02E7">
            <w:pPr>
              <w:pStyle w:val="TableBody"/>
              <w:rPr>
                <w:rFonts w:eastAsia="Arial"/>
              </w:rPr>
            </w:pPr>
            <w:r>
              <w:rPr>
                <w:rFonts w:eastAsia="Arial"/>
              </w:rPr>
              <w:t xml:space="preserve">Using historical data, we </w:t>
            </w:r>
            <w:r w:rsidR="005B3904">
              <w:rPr>
                <w:rFonts w:eastAsia="Arial"/>
              </w:rPr>
              <w:t xml:space="preserve">currently </w:t>
            </w:r>
            <w:r>
              <w:rPr>
                <w:rFonts w:eastAsia="Arial"/>
              </w:rPr>
              <w:t xml:space="preserve">calculate an elasticity of </w:t>
            </w:r>
            <w:r w:rsidR="00B34E89">
              <w:rPr>
                <w:rFonts w:eastAsia="Arial"/>
              </w:rPr>
              <w:t xml:space="preserve">heat demand </w:t>
            </w:r>
            <w:r>
              <w:rPr>
                <w:rFonts w:eastAsia="Arial"/>
              </w:rPr>
              <w:t xml:space="preserve">per GDP per capita and apply that to a baseline projection of GDP and population. </w:t>
            </w:r>
          </w:p>
          <w:p w14:paraId="4B21AD22" w14:textId="3617D781" w:rsidR="00B34E89" w:rsidRDefault="00B34E89" w:rsidP="001E33DD">
            <w:pPr>
              <w:pStyle w:val="TableBody"/>
              <w:spacing w:line="264" w:lineRule="auto"/>
            </w:pPr>
          </w:p>
        </w:tc>
      </w:tr>
      <w:tr w:rsidR="00DA6950" w14:paraId="11851443" w14:textId="77777777" w:rsidTr="7654BBD9">
        <w:tc>
          <w:tcPr>
            <w:tcW w:w="2250" w:type="dxa"/>
            <w:tcBorders>
              <w:top w:val="nil"/>
              <w:left w:val="nil"/>
              <w:bottom w:val="nil"/>
              <w:right w:val="nil"/>
            </w:tcBorders>
          </w:tcPr>
          <w:p w14:paraId="4DD2A9F0" w14:textId="1C411B0C" w:rsidR="00DA6950" w:rsidRDefault="00DA6950" w:rsidP="002B02E7">
            <w:pPr>
              <w:pStyle w:val="TableBody"/>
              <w:rPr>
                <w:rFonts w:eastAsia="Arial"/>
              </w:rPr>
            </w:pPr>
            <w:r>
              <w:rPr>
                <w:rFonts w:eastAsia="Arial"/>
              </w:rPr>
              <w:t>Demand for appliance energy</w:t>
            </w:r>
            <w:r w:rsidR="006C13FD">
              <w:rPr>
                <w:rFonts w:eastAsia="Arial"/>
              </w:rPr>
              <w:t>, including cooling</w:t>
            </w:r>
          </w:p>
        </w:tc>
        <w:tc>
          <w:tcPr>
            <w:tcW w:w="3510" w:type="dxa"/>
            <w:tcBorders>
              <w:top w:val="nil"/>
              <w:left w:val="nil"/>
              <w:bottom w:val="nil"/>
              <w:right w:val="nil"/>
            </w:tcBorders>
          </w:tcPr>
          <w:p w14:paraId="502E0AB6" w14:textId="77777777" w:rsidR="00DA6950" w:rsidRDefault="00C70AE7" w:rsidP="002B02E7">
            <w:pPr>
              <w:pStyle w:val="TableBody"/>
              <w:rPr>
                <w:rFonts w:eastAsia="Arial"/>
              </w:rPr>
            </w:pPr>
            <w:r>
              <w:rPr>
                <w:rFonts w:eastAsia="Arial"/>
              </w:rPr>
              <w:t xml:space="preserve">Energy demand is </w:t>
            </w:r>
            <w:r w:rsidR="003D4031">
              <w:rPr>
                <w:rFonts w:eastAsia="Arial"/>
              </w:rPr>
              <w:t xml:space="preserve">estimated using IEA’s </w:t>
            </w:r>
            <w:r w:rsidR="003D4031" w:rsidRPr="00523CDC">
              <w:rPr>
                <w:rFonts w:eastAsia="Arial"/>
              </w:rPr>
              <w:t>World Energy B</w:t>
            </w:r>
            <w:r w:rsidR="003D4031">
              <w:rPr>
                <w:rFonts w:eastAsia="Arial"/>
              </w:rPr>
              <w:t>a</w:t>
            </w:r>
            <w:r w:rsidR="003D4031" w:rsidRPr="00523CDC">
              <w:rPr>
                <w:rFonts w:eastAsia="Arial"/>
              </w:rPr>
              <w:t>lance Highlights</w:t>
            </w:r>
            <w:r w:rsidR="003D4031">
              <w:rPr>
                <w:rFonts w:eastAsia="Arial"/>
              </w:rPr>
              <w:t xml:space="preserve"> (</w:t>
            </w:r>
            <w:r w:rsidR="003D4031" w:rsidRPr="00523CDC">
              <w:rPr>
                <w:rFonts w:eastAsia="Arial"/>
              </w:rPr>
              <w:t>2021</w:t>
            </w:r>
            <w:r w:rsidR="003D4031">
              <w:rPr>
                <w:rFonts w:eastAsia="Arial"/>
              </w:rPr>
              <w:t>).</w:t>
            </w:r>
          </w:p>
          <w:p w14:paraId="51D62A99" w14:textId="77777777" w:rsidR="003D4031" w:rsidRDefault="003D4031" w:rsidP="002B02E7">
            <w:pPr>
              <w:pStyle w:val="TableBody"/>
              <w:rPr>
                <w:rFonts w:eastAsia="Arial"/>
              </w:rPr>
            </w:pPr>
          </w:p>
          <w:p w14:paraId="25CE314F" w14:textId="04E3852C" w:rsidR="00DA6950" w:rsidRPr="00680998" w:rsidRDefault="7654BBD9">
            <w:pPr>
              <w:pStyle w:val="TableBody"/>
              <w:rPr>
                <w:rFonts w:eastAsia="Arial"/>
                <w:vertAlign w:val="superscript"/>
              </w:rPr>
            </w:pPr>
            <w:r w:rsidRPr="7654BBD9">
              <w:rPr>
                <w:rFonts w:eastAsia="Arial"/>
              </w:rPr>
              <w:t xml:space="preserve">The number of households per country is estimated using World Bank’s population </w:t>
            </w:r>
            <w:r w:rsidRPr="00397039">
              <w:rPr>
                <w:rFonts w:eastAsia="Arial"/>
              </w:rPr>
              <w:t>time series and the Helgi Library Global Socioeconomic Indicators Database (2023)</w:t>
            </w:r>
          </w:p>
        </w:tc>
        <w:tc>
          <w:tcPr>
            <w:tcW w:w="3600" w:type="dxa"/>
            <w:tcBorders>
              <w:top w:val="nil"/>
              <w:left w:val="nil"/>
              <w:bottom w:val="nil"/>
              <w:right w:val="nil"/>
            </w:tcBorders>
          </w:tcPr>
          <w:p w14:paraId="1D783030" w14:textId="54168C95" w:rsidR="00DA6950" w:rsidRDefault="00DA6950" w:rsidP="00DA6950">
            <w:pPr>
              <w:pStyle w:val="TableBody"/>
              <w:rPr>
                <w:rFonts w:eastAsia="Arial"/>
              </w:rPr>
            </w:pPr>
            <w:r>
              <w:rPr>
                <w:rFonts w:eastAsia="Arial"/>
              </w:rPr>
              <w:t xml:space="preserve">Using historical data, we calculate an elasticity of </w:t>
            </w:r>
            <w:r w:rsidR="00BB6B1D">
              <w:rPr>
                <w:rFonts w:eastAsia="Arial"/>
              </w:rPr>
              <w:t>appliance energy</w:t>
            </w:r>
            <w:r>
              <w:rPr>
                <w:rFonts w:eastAsia="Arial"/>
              </w:rPr>
              <w:t xml:space="preserve"> demand per GDP per capita and apply that to a baseline projection of GDP and population. </w:t>
            </w:r>
          </w:p>
          <w:p w14:paraId="7246645C" w14:textId="77777777" w:rsidR="00DA6950" w:rsidRDefault="00DA6950" w:rsidP="002B02E7">
            <w:pPr>
              <w:pStyle w:val="TableBody"/>
              <w:rPr>
                <w:rFonts w:eastAsia="Arial"/>
              </w:rPr>
            </w:pPr>
          </w:p>
        </w:tc>
      </w:tr>
      <w:tr w:rsidR="00897717" w14:paraId="07F968EE" w14:textId="77777777" w:rsidTr="7654BBD9">
        <w:tc>
          <w:tcPr>
            <w:tcW w:w="2250" w:type="dxa"/>
            <w:tcBorders>
              <w:top w:val="nil"/>
              <w:left w:val="nil"/>
              <w:bottom w:val="nil"/>
              <w:right w:val="nil"/>
            </w:tcBorders>
          </w:tcPr>
          <w:p w14:paraId="68428DB7" w14:textId="77777777" w:rsidR="00897717" w:rsidRDefault="00897717" w:rsidP="002B02E7">
            <w:pPr>
              <w:pStyle w:val="TableBody"/>
              <w:rPr>
                <w:rFonts w:eastAsia="Arial"/>
              </w:rPr>
            </w:pPr>
            <w:r>
              <w:rPr>
                <w:rFonts w:eastAsia="Arial"/>
              </w:rPr>
              <w:t>Energy consumed by energy source</w:t>
            </w:r>
          </w:p>
        </w:tc>
        <w:tc>
          <w:tcPr>
            <w:tcW w:w="3510" w:type="dxa"/>
            <w:tcBorders>
              <w:top w:val="nil"/>
              <w:left w:val="nil"/>
              <w:bottom w:val="nil"/>
              <w:right w:val="nil"/>
            </w:tcBorders>
          </w:tcPr>
          <w:p w14:paraId="08DB224C" w14:textId="04F8FF14" w:rsidR="00897717" w:rsidRDefault="00897717" w:rsidP="002B02E7">
            <w:pPr>
              <w:pStyle w:val="TableBody"/>
              <w:rPr>
                <w:rFonts w:eastAsia="Arial"/>
              </w:rPr>
            </w:pPr>
            <w:r>
              <w:rPr>
                <w:rFonts w:eastAsia="Arial"/>
              </w:rPr>
              <w:t xml:space="preserve">Historical energy consumption data </w:t>
            </w:r>
            <w:r w:rsidR="00A165B4">
              <w:rPr>
                <w:rFonts w:eastAsia="Arial"/>
              </w:rPr>
              <w:t>for buildings</w:t>
            </w:r>
            <w:r>
              <w:rPr>
                <w:rFonts w:eastAsia="Arial"/>
              </w:rPr>
              <w:t xml:space="preserve"> is available from IEA (202</w:t>
            </w:r>
            <w:r w:rsidR="003B4CBB">
              <w:rPr>
                <w:rFonts w:eastAsia="Arial"/>
              </w:rPr>
              <w:t>1</w:t>
            </w:r>
            <w:r>
              <w:rPr>
                <w:rFonts w:eastAsia="Arial"/>
              </w:rPr>
              <w:t>).</w:t>
            </w:r>
          </w:p>
          <w:p w14:paraId="1E6E012B" w14:textId="77777777" w:rsidR="00D73A55" w:rsidRDefault="00D73A55" w:rsidP="002B02E7">
            <w:pPr>
              <w:pStyle w:val="TableBody"/>
              <w:rPr>
                <w:rFonts w:eastAsia="Arial"/>
              </w:rPr>
            </w:pPr>
          </w:p>
          <w:p w14:paraId="5C439BA4" w14:textId="697782FF" w:rsidR="00897717" w:rsidRDefault="7654BBD9">
            <w:pPr>
              <w:pStyle w:val="TableBody"/>
              <w:rPr>
                <w:rFonts w:eastAsia="Arial"/>
              </w:rPr>
            </w:pPr>
            <w:r w:rsidRPr="7654BBD9">
              <w:rPr>
                <w:rFonts w:eastAsia="Arial"/>
              </w:rPr>
              <w:t>Efficiency factors are estimated using IEA’s World Energy Balance (2018)</w:t>
            </w:r>
          </w:p>
        </w:tc>
        <w:tc>
          <w:tcPr>
            <w:tcW w:w="3600" w:type="dxa"/>
            <w:tcBorders>
              <w:top w:val="nil"/>
              <w:left w:val="nil"/>
              <w:bottom w:val="nil"/>
              <w:right w:val="nil"/>
            </w:tcBorders>
          </w:tcPr>
          <w:p w14:paraId="28B6CD94" w14:textId="30F7218E" w:rsidR="00897717" w:rsidRPr="3126604F" w:rsidRDefault="00897717" w:rsidP="002B02E7">
            <w:pPr>
              <w:pStyle w:val="TableBody"/>
              <w:rPr>
                <w:rFonts w:eastAsia="Arial"/>
              </w:rPr>
            </w:pPr>
            <w:r>
              <w:rPr>
                <w:rFonts w:eastAsia="Arial"/>
              </w:rPr>
              <w:t>Fractions of energy by source are assumed to remain fixed over time</w:t>
            </w:r>
            <w:r w:rsidR="00A165B4">
              <w:rPr>
                <w:rFonts w:eastAsia="Arial"/>
              </w:rPr>
              <w:t>.</w:t>
            </w:r>
          </w:p>
        </w:tc>
      </w:tr>
      <w:tr w:rsidR="00897717" w14:paraId="12985694" w14:textId="77777777" w:rsidTr="7654BBD9">
        <w:tc>
          <w:tcPr>
            <w:tcW w:w="2250" w:type="dxa"/>
            <w:tcBorders>
              <w:top w:val="nil"/>
              <w:left w:val="nil"/>
              <w:bottom w:val="nil"/>
              <w:right w:val="nil"/>
            </w:tcBorders>
          </w:tcPr>
          <w:p w14:paraId="063B34DA" w14:textId="77777777" w:rsidR="00897717" w:rsidRDefault="00897717" w:rsidP="002B02E7">
            <w:pPr>
              <w:pStyle w:val="TableBody"/>
            </w:pPr>
            <w:r>
              <w:rPr>
                <w:rFonts w:eastAsia="Arial"/>
              </w:rPr>
              <w:t>Emissions intensity (emissions per unit of energy, by fuel)</w:t>
            </w:r>
          </w:p>
        </w:tc>
        <w:tc>
          <w:tcPr>
            <w:tcW w:w="3510" w:type="dxa"/>
            <w:tcBorders>
              <w:top w:val="nil"/>
              <w:left w:val="nil"/>
              <w:bottom w:val="nil"/>
              <w:right w:val="nil"/>
            </w:tcBorders>
          </w:tcPr>
          <w:p w14:paraId="28674020" w14:textId="3E8ACB08" w:rsidR="00897717" w:rsidRDefault="00897717" w:rsidP="002B02E7">
            <w:pPr>
              <w:pStyle w:val="TableBody"/>
              <w:rPr>
                <w:rFonts w:eastAsia="Arial"/>
              </w:rPr>
            </w:pPr>
            <w:r>
              <w:rPr>
                <w:rFonts w:eastAsia="Arial"/>
              </w:rPr>
              <w:t>Historical emissions intensity is calibrated between energy consumption data (previous line) and the emissions per fuel type (last line)</w:t>
            </w:r>
            <w:r w:rsidR="004F3011">
              <w:rPr>
                <w:rFonts w:eastAsia="Arial"/>
              </w:rPr>
              <w:t xml:space="preserve">. </w:t>
            </w:r>
          </w:p>
          <w:p w14:paraId="1C13D68E" w14:textId="77777777" w:rsidR="00897717" w:rsidRDefault="00897717" w:rsidP="002B02E7">
            <w:pPr>
              <w:pStyle w:val="TableBody"/>
              <w:rPr>
                <w:szCs w:val="18"/>
              </w:rPr>
            </w:pPr>
          </w:p>
        </w:tc>
        <w:tc>
          <w:tcPr>
            <w:tcW w:w="3600" w:type="dxa"/>
            <w:tcBorders>
              <w:top w:val="nil"/>
              <w:left w:val="nil"/>
              <w:bottom w:val="nil"/>
              <w:right w:val="nil"/>
            </w:tcBorders>
          </w:tcPr>
          <w:p w14:paraId="401AD1A3" w14:textId="77777777" w:rsidR="00897717" w:rsidRDefault="00897717" w:rsidP="002B02E7">
            <w:pPr>
              <w:pStyle w:val="TableBody"/>
              <w:rPr>
                <w:rFonts w:eastAsia="Arial"/>
              </w:rPr>
            </w:pPr>
            <w:r>
              <w:rPr>
                <w:rFonts w:eastAsia="Arial"/>
              </w:rPr>
              <w:t>Energy emissions intensities are assumed to remain unchanged in a baseline future.</w:t>
            </w:r>
          </w:p>
          <w:p w14:paraId="5FE94210" w14:textId="77777777" w:rsidR="00897717" w:rsidRDefault="00897717" w:rsidP="002B02E7">
            <w:pPr>
              <w:pStyle w:val="TableBody"/>
              <w:rPr>
                <w:rFonts w:eastAsia="Arial"/>
              </w:rPr>
            </w:pPr>
          </w:p>
        </w:tc>
      </w:tr>
      <w:tr w:rsidR="00897717" w14:paraId="24DB619F" w14:textId="77777777" w:rsidTr="7654BBD9">
        <w:tc>
          <w:tcPr>
            <w:tcW w:w="2250" w:type="dxa"/>
            <w:tcBorders>
              <w:top w:val="nil"/>
              <w:left w:val="nil"/>
              <w:bottom w:val="nil"/>
              <w:right w:val="nil"/>
            </w:tcBorders>
          </w:tcPr>
          <w:p w14:paraId="4BE7251E" w14:textId="77777777" w:rsidR="00897717" w:rsidRDefault="00897717" w:rsidP="002B02E7">
            <w:pPr>
              <w:pStyle w:val="TableBody"/>
              <w:rPr>
                <w:rFonts w:eastAsia="Arial"/>
              </w:rPr>
            </w:pPr>
            <w:r>
              <w:rPr>
                <w:rFonts w:eastAsia="Arial"/>
              </w:rPr>
              <w:lastRenderedPageBreak/>
              <w:t>Total emissions</w:t>
            </w:r>
          </w:p>
        </w:tc>
        <w:tc>
          <w:tcPr>
            <w:tcW w:w="3510" w:type="dxa"/>
            <w:tcBorders>
              <w:top w:val="nil"/>
              <w:left w:val="nil"/>
              <w:bottom w:val="nil"/>
              <w:right w:val="nil"/>
            </w:tcBorders>
          </w:tcPr>
          <w:p w14:paraId="7D87D892" w14:textId="45B29723" w:rsidR="00897717" w:rsidRDefault="0CDBF178">
            <w:pPr>
              <w:pStyle w:val="TableBody"/>
              <w:rPr>
                <w:rFonts w:eastAsia="Arial"/>
              </w:rPr>
            </w:pPr>
            <w:r w:rsidRPr="0CDBF178">
              <w:rPr>
                <w:rFonts w:eastAsia="Arial"/>
              </w:rPr>
              <w:t>Historical sector emissions are used in the calibration process. Emissions data for calibration are obtained from Climate Watch (2022)</w:t>
            </w:r>
          </w:p>
        </w:tc>
        <w:tc>
          <w:tcPr>
            <w:tcW w:w="3600" w:type="dxa"/>
            <w:tcBorders>
              <w:top w:val="nil"/>
              <w:left w:val="nil"/>
              <w:bottom w:val="nil"/>
              <w:right w:val="nil"/>
            </w:tcBorders>
          </w:tcPr>
          <w:p w14:paraId="5F8C4FB9" w14:textId="716AAF16" w:rsidR="00897717" w:rsidRDefault="0CDBF178" w:rsidP="002B02E7">
            <w:pPr>
              <w:pStyle w:val="TableBody"/>
              <w:rPr>
                <w:rFonts w:eastAsia="Arial"/>
              </w:rPr>
            </w:pPr>
            <w:r w:rsidRPr="0CDBF178">
              <w:rPr>
                <w:rFonts w:eastAsia="Arial"/>
              </w:rPr>
              <w:t xml:space="preserve">Total emissions are calculated based on the quantities of energy consumed and each source’s emissions intensities. </w:t>
            </w:r>
          </w:p>
        </w:tc>
      </w:tr>
      <w:tr w:rsidR="00897717" w:rsidRPr="00126325" w14:paraId="3EF4CBAF" w14:textId="77777777" w:rsidTr="7654BBD9">
        <w:tc>
          <w:tcPr>
            <w:tcW w:w="9360" w:type="dxa"/>
            <w:gridSpan w:val="3"/>
            <w:tcBorders>
              <w:top w:val="single" w:sz="4" w:space="0" w:color="auto"/>
              <w:left w:val="nil"/>
              <w:bottom w:val="nil"/>
              <w:right w:val="nil"/>
            </w:tcBorders>
          </w:tcPr>
          <w:p w14:paraId="5F3CEA49" w14:textId="76AFCFB3" w:rsidR="00C264BE" w:rsidRPr="00C264BE" w:rsidRDefault="00C264BE" w:rsidP="00C264BE">
            <w:pPr>
              <w:pStyle w:val="TableNote"/>
              <w:rPr>
                <w:rFonts w:eastAsia="Arial"/>
              </w:rPr>
            </w:pPr>
          </w:p>
        </w:tc>
      </w:tr>
    </w:tbl>
    <w:p w14:paraId="7995C161" w14:textId="471CFFE8" w:rsidR="00C264BE" w:rsidRDefault="0CDBF178" w:rsidP="00A46C79">
      <w:pPr>
        <w:pStyle w:val="Heading2"/>
      </w:pPr>
      <w:bookmarkStart w:id="75" w:name="_Toc152088256"/>
      <w:r>
        <w:t>Transforming Buildings</w:t>
      </w:r>
      <w:bookmarkEnd w:id="75"/>
    </w:p>
    <w:p w14:paraId="498C4F07" w14:textId="09ECD5C7" w:rsidR="00EF7520" w:rsidRPr="00DF07E5" w:rsidRDefault="0CDBF178" w:rsidP="0CDBF178">
      <w:r>
        <w:t xml:space="preserve"> Table E.2 shows transformations to reduce emissions from buildings and includes changes to energy efficiency and fuel shifting to heat pumps for heat.   Table E.3 shows these transformations’ technical costs and benefits. We do not assess non-technical costs or benefits associated with buildings. </w:t>
      </w:r>
    </w:p>
    <w:p w14:paraId="00EAC4CB" w14:textId="77777777" w:rsidR="00EF7520" w:rsidRPr="00EF7520" w:rsidRDefault="00EF7520" w:rsidP="00EF7520">
      <w:pPr>
        <w:rPr>
          <w:rFonts w:eastAsia="Arial"/>
        </w:rPr>
      </w:pPr>
    </w:p>
    <w:p w14:paraId="26C160D5" w14:textId="648E1B5B" w:rsidR="006F3EBC" w:rsidRDefault="0CDBF178">
      <w:pPr>
        <w:pStyle w:val="Heading9"/>
      </w:pPr>
      <w:bookmarkStart w:id="76" w:name="_Toc152088331"/>
      <w:r w:rsidRPr="0CDBF178">
        <w:rPr>
          <w:rFonts w:eastAsia="Arial"/>
        </w:rPr>
        <w:t>Table E.2 Transformations to buildings</w:t>
      </w:r>
      <w:bookmarkEnd w:id="76"/>
    </w:p>
    <w:tbl>
      <w:tblPr>
        <w:tblStyle w:val="TableGrid"/>
        <w:tblW w:w="0" w:type="auto"/>
        <w:tblLayout w:type="fixed"/>
        <w:tblLook w:val="0620" w:firstRow="1" w:lastRow="0" w:firstColumn="0" w:lastColumn="0" w:noHBand="1" w:noVBand="1"/>
      </w:tblPr>
      <w:tblGrid>
        <w:gridCol w:w="2250"/>
        <w:gridCol w:w="3510"/>
        <w:gridCol w:w="3600"/>
      </w:tblGrid>
      <w:tr w:rsidR="006F3EBC" w14:paraId="313BDAEE" w14:textId="77777777" w:rsidTr="0CDBF178">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63AC83A6" w14:textId="77777777" w:rsidR="006F3EBC" w:rsidRDefault="006F3EBC" w:rsidP="002B02E7">
            <w:r w:rsidRPr="37345C14">
              <w:rPr>
                <w:rFonts w:eastAsia="Arial" w:cs="Arial"/>
                <w:b/>
                <w:bCs/>
                <w:sz w:val="18"/>
                <w:szCs w:val="18"/>
              </w:rPr>
              <w:t>Transformation</w:t>
            </w:r>
          </w:p>
        </w:tc>
        <w:tc>
          <w:tcPr>
            <w:tcW w:w="3510" w:type="dxa"/>
            <w:tcBorders>
              <w:left w:val="nil"/>
              <w:right w:val="nil"/>
            </w:tcBorders>
          </w:tcPr>
          <w:p w14:paraId="6C4360F4" w14:textId="77777777" w:rsidR="006F3EBC" w:rsidRDefault="006F3EBC" w:rsidP="002B02E7">
            <w:pPr>
              <w:jc w:val="center"/>
            </w:pPr>
            <w:r w:rsidRPr="37345C14">
              <w:rPr>
                <w:rFonts w:eastAsia="Arial" w:cs="Arial"/>
                <w:b/>
                <w:bCs/>
                <w:sz w:val="18"/>
                <w:szCs w:val="18"/>
              </w:rPr>
              <w:t>Description</w:t>
            </w:r>
          </w:p>
        </w:tc>
        <w:tc>
          <w:tcPr>
            <w:tcW w:w="3600" w:type="dxa"/>
            <w:tcBorders>
              <w:left w:val="nil"/>
              <w:right w:val="nil"/>
            </w:tcBorders>
          </w:tcPr>
          <w:p w14:paraId="6FEB4ED3" w14:textId="77777777" w:rsidR="006F3EBC" w:rsidRDefault="006F3EBC" w:rsidP="002B02E7">
            <w:pPr>
              <w:jc w:val="center"/>
            </w:pPr>
            <w:r w:rsidRPr="37345C14">
              <w:rPr>
                <w:rFonts w:eastAsia="Arial" w:cs="Arial"/>
                <w:b/>
                <w:bCs/>
                <w:sz w:val="18"/>
                <w:szCs w:val="18"/>
              </w:rPr>
              <w:t>Implementation</w:t>
            </w:r>
          </w:p>
        </w:tc>
      </w:tr>
      <w:tr w:rsidR="009C7475" w14:paraId="10948D06" w14:textId="77777777" w:rsidTr="0CDBF178">
        <w:tc>
          <w:tcPr>
            <w:tcW w:w="2250" w:type="dxa"/>
            <w:tcBorders>
              <w:top w:val="nil"/>
              <w:left w:val="nil"/>
              <w:bottom w:val="nil"/>
              <w:right w:val="nil"/>
            </w:tcBorders>
          </w:tcPr>
          <w:p w14:paraId="604AB40D" w14:textId="5153CB75" w:rsidR="009C7475" w:rsidRDefault="009C7475" w:rsidP="009C7475">
            <w:pPr>
              <w:pStyle w:val="TableBody"/>
            </w:pPr>
            <w:r>
              <w:rPr>
                <w:rFonts w:eastAsia="Arial"/>
              </w:rPr>
              <w:t>Improve building</w:t>
            </w:r>
            <w:r w:rsidR="001E1906">
              <w:rPr>
                <w:rFonts w:eastAsia="Arial"/>
              </w:rPr>
              <w:t xml:space="preserve"> and appliance</w:t>
            </w:r>
            <w:r>
              <w:rPr>
                <w:rFonts w:eastAsia="Arial"/>
              </w:rPr>
              <w:t xml:space="preserve"> efficiency</w:t>
            </w:r>
          </w:p>
        </w:tc>
        <w:tc>
          <w:tcPr>
            <w:tcW w:w="3510" w:type="dxa"/>
            <w:tcBorders>
              <w:top w:val="nil"/>
              <w:left w:val="nil"/>
              <w:bottom w:val="nil"/>
              <w:right w:val="nil"/>
            </w:tcBorders>
          </w:tcPr>
          <w:p w14:paraId="2CEA3D87" w14:textId="54A4CF24" w:rsidR="009C7475" w:rsidRDefault="0CDBF178">
            <w:pPr>
              <w:pStyle w:val="TableBody"/>
            </w:pPr>
            <w:r>
              <w:t xml:space="preserve">Significant improvements are possible in the building shells and appliances, e.g., through better </w:t>
            </w:r>
            <w:proofErr w:type="spellStart"/>
            <w:proofErr w:type="gramStart"/>
            <w:r>
              <w:t>insulationand</w:t>
            </w:r>
            <w:proofErr w:type="spellEnd"/>
            <w:proofErr w:type="gramEnd"/>
            <w:r>
              <w:t xml:space="preserve"> energy management. This is applicable both to new buildings and retrofits to existing buildings.</w:t>
            </w:r>
          </w:p>
        </w:tc>
        <w:tc>
          <w:tcPr>
            <w:tcW w:w="3600" w:type="dxa"/>
            <w:tcBorders>
              <w:top w:val="nil"/>
              <w:left w:val="nil"/>
              <w:bottom w:val="nil"/>
              <w:right w:val="nil"/>
            </w:tcBorders>
          </w:tcPr>
          <w:p w14:paraId="31471F9D" w14:textId="008DF908" w:rsidR="009C7475" w:rsidRPr="009C7475" w:rsidRDefault="001655BA" w:rsidP="009C7475">
            <w:pPr>
              <w:pStyle w:val="TableBody"/>
            </w:pPr>
            <w:r>
              <w:t>In this transformation,</w:t>
            </w:r>
            <w:r w:rsidRPr="001655BA">
              <w:t xml:space="preserve"> energy </w:t>
            </w:r>
            <w:r>
              <w:t>demands</w:t>
            </w:r>
            <w:r w:rsidRPr="001655BA">
              <w:t xml:space="preserve"> decline by 50% per capita relative to today</w:t>
            </w:r>
            <w:r>
              <w:t>.</w:t>
            </w:r>
          </w:p>
        </w:tc>
      </w:tr>
      <w:tr w:rsidR="009C7475" w14:paraId="7DFCA107" w14:textId="77777777" w:rsidTr="0CDBF178">
        <w:tc>
          <w:tcPr>
            <w:tcW w:w="2250" w:type="dxa"/>
            <w:tcBorders>
              <w:top w:val="nil"/>
              <w:left w:val="nil"/>
              <w:bottom w:val="nil"/>
              <w:right w:val="nil"/>
            </w:tcBorders>
          </w:tcPr>
          <w:p w14:paraId="2DF2E17E" w14:textId="12CFC2D1" w:rsidR="009C7475" w:rsidRDefault="0CDBF178" w:rsidP="0CDBF178">
            <w:pPr>
              <w:pStyle w:val="TableBody"/>
              <w:rPr>
                <w:rFonts w:eastAsia="Arial"/>
              </w:rPr>
            </w:pPr>
            <w:r w:rsidRPr="0CDBF178">
              <w:rPr>
                <w:rFonts w:eastAsia="Arial"/>
              </w:rPr>
              <w:t>Transition heating to heat pumps</w:t>
            </w:r>
          </w:p>
        </w:tc>
        <w:tc>
          <w:tcPr>
            <w:tcW w:w="3510" w:type="dxa"/>
            <w:tcBorders>
              <w:top w:val="nil"/>
              <w:left w:val="nil"/>
              <w:bottom w:val="nil"/>
              <w:right w:val="nil"/>
            </w:tcBorders>
          </w:tcPr>
          <w:p w14:paraId="59C16F18" w14:textId="142BBCA9" w:rsidR="009C7475" w:rsidRPr="7726BEE2" w:rsidRDefault="0CDBF178" w:rsidP="0CDBF178">
            <w:pPr>
              <w:pStyle w:val="TableBody"/>
              <w:rPr>
                <w:rFonts w:eastAsia="Arial"/>
              </w:rPr>
            </w:pPr>
            <w:r w:rsidRPr="0CDBF178">
              <w:rPr>
                <w:rFonts w:eastAsia="Arial"/>
              </w:rPr>
              <w:t>This transformation switches heating to heat pumps, which run on electricity and are several times more efficient at providing heat than fossil fuels (Rissman, 2022).</w:t>
            </w:r>
          </w:p>
        </w:tc>
        <w:tc>
          <w:tcPr>
            <w:tcW w:w="3600" w:type="dxa"/>
            <w:tcBorders>
              <w:top w:val="nil"/>
              <w:left w:val="nil"/>
              <w:bottom w:val="nil"/>
              <w:right w:val="nil"/>
            </w:tcBorders>
          </w:tcPr>
          <w:p w14:paraId="6CCFE121" w14:textId="405ADCE1" w:rsidR="009C7475" w:rsidRPr="009C7475" w:rsidRDefault="00E64AF3" w:rsidP="00E64AF3">
            <w:pPr>
              <w:pStyle w:val="TableBody"/>
              <w:rPr>
                <w:rFonts w:eastAsia="Arial"/>
              </w:rPr>
            </w:pPr>
            <w:r>
              <w:t>By 2050, 95% of heat demand is met by heat pumps.</w:t>
            </w:r>
          </w:p>
        </w:tc>
      </w:tr>
      <w:tr w:rsidR="006F3EBC" w14:paraId="11687406" w14:textId="77777777" w:rsidTr="0CDBF178">
        <w:tc>
          <w:tcPr>
            <w:tcW w:w="9360" w:type="dxa"/>
            <w:gridSpan w:val="3"/>
            <w:tcBorders>
              <w:top w:val="single" w:sz="4" w:space="0" w:color="auto"/>
              <w:left w:val="nil"/>
              <w:bottom w:val="nil"/>
              <w:right w:val="nil"/>
            </w:tcBorders>
          </w:tcPr>
          <w:p w14:paraId="324EBAFE" w14:textId="77777777" w:rsidR="006F3EBC" w:rsidRPr="30FF5F6D" w:rsidRDefault="006F3EBC" w:rsidP="002B02E7">
            <w:pPr>
              <w:pStyle w:val="TableNote"/>
              <w:rPr>
                <w:rFonts w:eastAsia="Arial"/>
              </w:rPr>
            </w:pPr>
          </w:p>
        </w:tc>
      </w:tr>
    </w:tbl>
    <w:p w14:paraId="1CE1403E" w14:textId="6A69AB57" w:rsidR="007B5A39" w:rsidRPr="005D7B19" w:rsidRDefault="0CDBF178" w:rsidP="0CDBF178">
      <w:pPr>
        <w:pStyle w:val="Heading9"/>
        <w:rPr>
          <w:rFonts w:ascii="Times New Roman" w:hAnsi="Times New Roman"/>
          <w:sz w:val="24"/>
          <w:szCs w:val="24"/>
        </w:rPr>
      </w:pPr>
      <w:bookmarkStart w:id="77" w:name="_Toc152088332"/>
      <w:r w:rsidRPr="0CDBF178">
        <w:rPr>
          <w:rFonts w:eastAsia="Arial"/>
        </w:rPr>
        <w:t xml:space="preserve">Table E.3 Building transformations’ technical </w:t>
      </w:r>
      <w:proofErr w:type="gramStart"/>
      <w:r w:rsidRPr="0CDBF178">
        <w:rPr>
          <w:rFonts w:eastAsia="Arial"/>
        </w:rPr>
        <w:t>costs</w:t>
      </w:r>
      <w:bookmarkEnd w:id="77"/>
      <w:proofErr w:type="gramEnd"/>
    </w:p>
    <w:tbl>
      <w:tblPr>
        <w:tblStyle w:val="TableGrid"/>
        <w:tblW w:w="0" w:type="auto"/>
        <w:tblLayout w:type="fixed"/>
        <w:tblLook w:val="0620" w:firstRow="1" w:lastRow="0" w:firstColumn="0" w:lastColumn="0" w:noHBand="1" w:noVBand="1"/>
      </w:tblPr>
      <w:tblGrid>
        <w:gridCol w:w="2340"/>
        <w:gridCol w:w="2880"/>
        <w:gridCol w:w="4140"/>
      </w:tblGrid>
      <w:tr w:rsidR="007B5A39" w14:paraId="3587F29E" w14:textId="77777777" w:rsidTr="48B0C125">
        <w:trPr>
          <w:cnfStyle w:val="100000000000" w:firstRow="1" w:lastRow="0" w:firstColumn="0" w:lastColumn="0" w:oddVBand="0" w:evenVBand="0" w:oddHBand="0" w:evenHBand="0" w:firstRowFirstColumn="0" w:firstRowLastColumn="0" w:lastRowFirstColumn="0" w:lastRowLastColumn="0"/>
          <w:trHeight w:val="15"/>
        </w:trPr>
        <w:tc>
          <w:tcPr>
            <w:tcW w:w="2340" w:type="dxa"/>
            <w:tcBorders>
              <w:left w:val="nil"/>
              <w:right w:val="nil"/>
            </w:tcBorders>
            <w:vAlign w:val="bottom"/>
          </w:tcPr>
          <w:p w14:paraId="086A5010" w14:textId="77777777" w:rsidR="007B5A39" w:rsidRDefault="007B5A39" w:rsidP="002B02E7">
            <w:r w:rsidRPr="37345C14">
              <w:rPr>
                <w:rFonts w:eastAsia="Arial" w:cs="Arial"/>
                <w:b/>
                <w:bCs/>
                <w:sz w:val="18"/>
                <w:szCs w:val="18"/>
              </w:rPr>
              <w:t>Transformation</w:t>
            </w:r>
          </w:p>
        </w:tc>
        <w:tc>
          <w:tcPr>
            <w:tcW w:w="2880" w:type="dxa"/>
            <w:tcBorders>
              <w:left w:val="nil"/>
              <w:right w:val="nil"/>
            </w:tcBorders>
          </w:tcPr>
          <w:p w14:paraId="17E8D5A1" w14:textId="540DCDAE" w:rsidR="007B5A39" w:rsidRDefault="0CDBF178">
            <w:pPr>
              <w:jc w:val="center"/>
              <w:rPr>
                <w:rFonts w:eastAsia="Arial" w:cs="Arial"/>
                <w:b/>
                <w:bCs/>
                <w:sz w:val="18"/>
                <w:szCs w:val="18"/>
              </w:rPr>
            </w:pPr>
            <w:r w:rsidRPr="0CDBF178">
              <w:rPr>
                <w:rFonts w:eastAsia="Arial" w:cs="Arial"/>
                <w:b/>
                <w:bCs/>
                <w:sz w:val="18"/>
                <w:szCs w:val="18"/>
              </w:rPr>
              <w:t>Technical costs</w:t>
            </w:r>
          </w:p>
          <w:p w14:paraId="5A584526" w14:textId="77777777" w:rsidR="006B12A8" w:rsidRDefault="0CDBF178" w:rsidP="006B12A8">
            <w:pPr>
              <w:jc w:val="center"/>
              <w:rPr>
                <w:rFonts w:eastAsia="Arial" w:cs="Arial"/>
                <w:b/>
                <w:bCs/>
                <w:sz w:val="18"/>
                <w:szCs w:val="18"/>
              </w:rPr>
            </w:pPr>
            <w:r w:rsidRPr="00A46C79">
              <w:rPr>
                <w:rFonts w:eastAsia="Arial" w:cs="Arial"/>
                <w:b/>
                <w:bCs/>
                <w:sz w:val="18"/>
                <w:szCs w:val="18"/>
              </w:rPr>
              <w:t>(LAC average in 2019 USD)</w:t>
            </w:r>
          </w:p>
          <w:p w14:paraId="718E1880" w14:textId="0761B47A" w:rsidR="006B12A8" w:rsidRDefault="006B12A8" w:rsidP="006B12A8">
            <w:pPr>
              <w:jc w:val="center"/>
            </w:pPr>
            <w:r w:rsidRPr="00855CAA">
              <w:rPr>
                <w:rFonts w:eastAsia="Arial" w:cs="Arial"/>
                <w:sz w:val="18"/>
                <w:szCs w:val="18"/>
              </w:rPr>
              <w:t xml:space="preserve">(Negative values indicate </w:t>
            </w:r>
            <w:r>
              <w:rPr>
                <w:rFonts w:eastAsia="Arial" w:cs="Arial"/>
                <w:sz w:val="18"/>
                <w:szCs w:val="18"/>
              </w:rPr>
              <w:t>avoided costs, i.e., savings</w:t>
            </w:r>
            <w:r w:rsidRPr="00855CAA">
              <w:rPr>
                <w:rFonts w:eastAsia="Arial" w:cs="Arial"/>
                <w:sz w:val="18"/>
                <w:szCs w:val="18"/>
              </w:rPr>
              <w:t>)</w:t>
            </w:r>
          </w:p>
        </w:tc>
        <w:tc>
          <w:tcPr>
            <w:tcW w:w="4140" w:type="dxa"/>
            <w:tcBorders>
              <w:left w:val="nil"/>
              <w:right w:val="nil"/>
            </w:tcBorders>
          </w:tcPr>
          <w:p w14:paraId="734EEA85" w14:textId="49C85665" w:rsidR="007B5A39" w:rsidRDefault="0CDBF178" w:rsidP="0CDBF178">
            <w:pPr>
              <w:jc w:val="center"/>
            </w:pPr>
            <w:r w:rsidRPr="0CDBF178">
              <w:rPr>
                <w:rFonts w:eastAsia="Arial" w:cs="Arial"/>
                <w:b/>
                <w:bCs/>
                <w:sz w:val="18"/>
                <w:szCs w:val="18"/>
              </w:rPr>
              <w:t>Notes and data sources</w:t>
            </w:r>
          </w:p>
        </w:tc>
      </w:tr>
      <w:tr w:rsidR="0013767C" w14:paraId="720D74E1" w14:textId="77777777" w:rsidTr="48B0C125">
        <w:tc>
          <w:tcPr>
            <w:tcW w:w="2340" w:type="dxa"/>
            <w:tcBorders>
              <w:top w:val="nil"/>
              <w:left w:val="nil"/>
              <w:bottom w:val="nil"/>
              <w:right w:val="nil"/>
            </w:tcBorders>
          </w:tcPr>
          <w:p w14:paraId="3B736C71" w14:textId="23A0B975" w:rsidR="0013767C" w:rsidRDefault="0013767C" w:rsidP="0013767C">
            <w:pPr>
              <w:pStyle w:val="TableBody"/>
            </w:pPr>
            <w:r>
              <w:rPr>
                <w:rFonts w:eastAsia="Arial"/>
              </w:rPr>
              <w:t>Improve building and appliance efficiency</w:t>
            </w:r>
          </w:p>
        </w:tc>
        <w:tc>
          <w:tcPr>
            <w:tcW w:w="2880" w:type="dxa"/>
            <w:tcBorders>
              <w:top w:val="nil"/>
              <w:left w:val="nil"/>
              <w:bottom w:val="nil"/>
              <w:right w:val="nil"/>
            </w:tcBorders>
          </w:tcPr>
          <w:p w14:paraId="56140B1C" w14:textId="6C1D8167" w:rsidR="0013767C" w:rsidRDefault="00C96F96" w:rsidP="0013767C">
            <w:pPr>
              <w:pStyle w:val="TableBody"/>
              <w:rPr>
                <w:rFonts w:eastAsia="Arial"/>
              </w:rPr>
            </w:pPr>
            <w:r>
              <w:rPr>
                <w:rFonts w:eastAsia="Arial"/>
              </w:rPr>
              <w:t>$0.</w:t>
            </w:r>
            <w:r w:rsidR="000E1D70">
              <w:rPr>
                <w:rFonts w:eastAsia="Arial"/>
              </w:rPr>
              <w:t>02</w:t>
            </w:r>
            <w:r>
              <w:rPr>
                <w:rFonts w:eastAsia="Arial"/>
              </w:rPr>
              <w:t>/kWh</w:t>
            </w:r>
            <w:r w:rsidR="00CA64CC">
              <w:rPr>
                <w:rFonts w:eastAsia="Arial"/>
              </w:rPr>
              <w:t xml:space="preserve"> saved</w:t>
            </w:r>
          </w:p>
          <w:p w14:paraId="59FB05C4" w14:textId="77777777" w:rsidR="0013767C" w:rsidRDefault="0013767C" w:rsidP="0013767C">
            <w:pPr>
              <w:pStyle w:val="TableBody"/>
            </w:pPr>
          </w:p>
        </w:tc>
        <w:tc>
          <w:tcPr>
            <w:tcW w:w="4140" w:type="dxa"/>
            <w:tcBorders>
              <w:top w:val="nil"/>
              <w:left w:val="nil"/>
              <w:bottom w:val="nil"/>
              <w:right w:val="nil"/>
            </w:tcBorders>
          </w:tcPr>
          <w:p w14:paraId="1346F87D" w14:textId="4A821BA8" w:rsidR="004F21E6" w:rsidRDefault="0CDBF178">
            <w:pPr>
              <w:pStyle w:val="TableBody"/>
            </w:pPr>
            <w:r>
              <w:t>Perry et al. (2019, p. 17) estimate the costs in 2018 dollars of reducing building energy demands through a variety of energy-efficiency measures in the US (for purposes of comparing them to the costs of installing solar photovoltaic). We adjust the average cost effectiveness of $0.04/kWh saved for LAC.</w:t>
            </w:r>
          </w:p>
          <w:p w14:paraId="310ED502" w14:textId="77777777" w:rsidR="004F21E6" w:rsidRDefault="004F21E6" w:rsidP="0013767C">
            <w:pPr>
              <w:pStyle w:val="TableBody"/>
            </w:pPr>
          </w:p>
          <w:p w14:paraId="0E190CD1" w14:textId="5E79EB5D" w:rsidR="0013767C" w:rsidRDefault="0013767C" w:rsidP="0013767C">
            <w:pPr>
              <w:pStyle w:val="TableBody"/>
            </w:pPr>
          </w:p>
        </w:tc>
      </w:tr>
      <w:tr w:rsidR="00C620D8" w14:paraId="3FB8D4A8" w14:textId="77777777" w:rsidTr="48B0C125">
        <w:tc>
          <w:tcPr>
            <w:tcW w:w="2340" w:type="dxa"/>
            <w:tcBorders>
              <w:top w:val="nil"/>
              <w:left w:val="nil"/>
              <w:bottom w:val="nil"/>
              <w:right w:val="nil"/>
            </w:tcBorders>
          </w:tcPr>
          <w:p w14:paraId="0949DC78" w14:textId="30B4DE2D" w:rsidR="00C620D8" w:rsidRDefault="0CDBF178" w:rsidP="0CDBF178">
            <w:pPr>
              <w:pStyle w:val="TableBody"/>
              <w:rPr>
                <w:rFonts w:eastAsia="Arial"/>
              </w:rPr>
            </w:pPr>
            <w:r w:rsidRPr="0CDBF178">
              <w:rPr>
                <w:rFonts w:eastAsia="Arial"/>
              </w:rPr>
              <w:t>Transition heating to heat pumps</w:t>
            </w:r>
          </w:p>
        </w:tc>
        <w:tc>
          <w:tcPr>
            <w:tcW w:w="2880" w:type="dxa"/>
            <w:tcBorders>
              <w:top w:val="nil"/>
              <w:left w:val="nil"/>
              <w:bottom w:val="nil"/>
              <w:right w:val="nil"/>
            </w:tcBorders>
          </w:tcPr>
          <w:p w14:paraId="2E3C6A84" w14:textId="77777777" w:rsidR="00C620D8" w:rsidRDefault="00C620D8" w:rsidP="00C620D8">
            <w:pPr>
              <w:pStyle w:val="TableBody"/>
              <w:rPr>
                <w:rFonts w:eastAsia="Arial"/>
              </w:rPr>
            </w:pPr>
            <w:r>
              <w:rPr>
                <w:rFonts w:eastAsia="Arial"/>
              </w:rPr>
              <w:t>$5/</w:t>
            </w:r>
            <w:proofErr w:type="spellStart"/>
            <w:r>
              <w:rPr>
                <w:rFonts w:eastAsia="Arial"/>
              </w:rPr>
              <w:t>MWhth</w:t>
            </w:r>
            <w:proofErr w:type="spellEnd"/>
            <w:r>
              <w:rPr>
                <w:rFonts w:eastAsia="Arial"/>
              </w:rPr>
              <w:t xml:space="preserve"> capital cost, reaching cost parity in 10 years</w:t>
            </w:r>
          </w:p>
          <w:p w14:paraId="5ECF0A2A" w14:textId="77777777" w:rsidR="00C620D8" w:rsidRDefault="00C620D8" w:rsidP="00C620D8">
            <w:pPr>
              <w:pStyle w:val="TableBody"/>
              <w:rPr>
                <w:rFonts w:eastAsia="Arial"/>
              </w:rPr>
            </w:pPr>
          </w:p>
          <w:p w14:paraId="719B9D77" w14:textId="3AB7EAAA" w:rsidR="00C620D8" w:rsidRPr="7726BEE2" w:rsidRDefault="48B0C125" w:rsidP="00C620D8">
            <w:pPr>
              <w:pStyle w:val="TableBody"/>
              <w:rPr>
                <w:rFonts w:eastAsia="Arial"/>
              </w:rPr>
            </w:pPr>
            <w:r w:rsidRPr="48B0C125">
              <w:rPr>
                <w:rFonts w:eastAsia="Arial"/>
              </w:rPr>
              <w:t>$0.90/</w:t>
            </w:r>
            <w:proofErr w:type="spellStart"/>
            <w:r w:rsidRPr="48B0C125">
              <w:rPr>
                <w:rFonts w:eastAsia="Arial"/>
              </w:rPr>
              <w:t>MWhth</w:t>
            </w:r>
            <w:proofErr w:type="spellEnd"/>
            <w:r w:rsidRPr="48B0C125">
              <w:rPr>
                <w:rFonts w:eastAsia="Arial"/>
              </w:rPr>
              <w:t xml:space="preserve"> non-fuel operations and maintenance</w:t>
            </w:r>
          </w:p>
        </w:tc>
        <w:tc>
          <w:tcPr>
            <w:tcW w:w="4140" w:type="dxa"/>
            <w:tcBorders>
              <w:top w:val="nil"/>
              <w:left w:val="nil"/>
              <w:bottom w:val="nil"/>
              <w:right w:val="nil"/>
            </w:tcBorders>
          </w:tcPr>
          <w:p w14:paraId="79F4CF12" w14:textId="2920EF3F" w:rsidR="00C620D8" w:rsidRPr="3126604F" w:rsidRDefault="0CDBF178">
            <w:pPr>
              <w:pStyle w:val="TableBody"/>
              <w:rPr>
                <w:rFonts w:eastAsia="Arial"/>
              </w:rPr>
            </w:pPr>
            <w:r w:rsidRPr="0CDBF178">
              <w:rPr>
                <w:rFonts w:eastAsia="Arial"/>
              </w:rPr>
              <w:t xml:space="preserve">We use the same cost data as for low-temperature heat pumps used in industrial energy. Rissman (2022) estimates that heat pumps have a levelized capital cost of $8/MW of thermal heat demand compared to other technologies, but that </w:t>
            </w:r>
            <w:r w:rsidRPr="0CDBF178">
              <w:rPr>
                <w:rFonts w:eastAsia="Arial"/>
              </w:rPr>
              <w:lastRenderedPageBreak/>
              <w:t xml:space="preserve">this cost premium is shrinking rapidly, with a $1.50 savings in non-fuel </w:t>
            </w:r>
            <w:proofErr w:type="spellStart"/>
            <w:r w:rsidRPr="0CDBF178">
              <w:rPr>
                <w:rFonts w:eastAsia="Arial"/>
              </w:rPr>
              <w:t>opex</w:t>
            </w:r>
            <w:proofErr w:type="spellEnd"/>
            <w:r w:rsidRPr="0CDBF178">
              <w:rPr>
                <w:rFonts w:eastAsia="Arial"/>
              </w:rPr>
              <w:t xml:space="preserve"> in the US in 2022 dollars. (No discount rate is documented in this report, and we use levelized costs as presented).</w:t>
            </w:r>
          </w:p>
        </w:tc>
      </w:tr>
      <w:tr w:rsidR="007B5A39" w14:paraId="0D83D0E4" w14:textId="77777777" w:rsidTr="48B0C125">
        <w:tc>
          <w:tcPr>
            <w:tcW w:w="2340" w:type="dxa"/>
            <w:tcBorders>
              <w:top w:val="single" w:sz="4" w:space="0" w:color="auto"/>
              <w:left w:val="nil"/>
              <w:bottom w:val="nil"/>
              <w:right w:val="nil"/>
            </w:tcBorders>
          </w:tcPr>
          <w:p w14:paraId="30C31942" w14:textId="77777777" w:rsidR="007B5A39" w:rsidRDefault="007B5A39" w:rsidP="002B02E7">
            <w:pPr>
              <w:pStyle w:val="TableBody"/>
              <w:rPr>
                <w:rFonts w:eastAsia="Arial"/>
              </w:rPr>
            </w:pPr>
          </w:p>
        </w:tc>
        <w:tc>
          <w:tcPr>
            <w:tcW w:w="2880" w:type="dxa"/>
            <w:tcBorders>
              <w:top w:val="single" w:sz="4" w:space="0" w:color="auto"/>
              <w:left w:val="nil"/>
              <w:bottom w:val="nil"/>
              <w:right w:val="nil"/>
            </w:tcBorders>
          </w:tcPr>
          <w:p w14:paraId="47ACC5DA" w14:textId="77777777" w:rsidR="007B5A39" w:rsidRDefault="007B5A39" w:rsidP="002B02E7">
            <w:pPr>
              <w:pStyle w:val="TableBody"/>
              <w:rPr>
                <w:rFonts w:eastAsia="Arial"/>
              </w:rPr>
            </w:pPr>
          </w:p>
        </w:tc>
        <w:tc>
          <w:tcPr>
            <w:tcW w:w="4140" w:type="dxa"/>
            <w:tcBorders>
              <w:top w:val="single" w:sz="4" w:space="0" w:color="auto"/>
              <w:left w:val="nil"/>
              <w:bottom w:val="nil"/>
              <w:right w:val="nil"/>
            </w:tcBorders>
          </w:tcPr>
          <w:p w14:paraId="4A2F23F8" w14:textId="77777777" w:rsidR="007B5A39" w:rsidRPr="003526C0" w:rsidRDefault="007B5A39" w:rsidP="002B02E7">
            <w:pPr>
              <w:rPr>
                <w:rFonts w:eastAsia="Arial"/>
                <w:sz w:val="18"/>
                <w:szCs w:val="18"/>
              </w:rPr>
            </w:pPr>
          </w:p>
        </w:tc>
      </w:tr>
    </w:tbl>
    <w:p w14:paraId="658ECFFB" w14:textId="77777777" w:rsidR="00EA04AB" w:rsidRDefault="00EA04AB">
      <w:pPr>
        <w:rPr>
          <w:rFonts w:ascii="Arial" w:hAnsi="Arial"/>
          <w:sz w:val="32"/>
          <w:szCs w:val="20"/>
        </w:rPr>
      </w:pPr>
      <w:r>
        <w:br w:type="page"/>
      </w:r>
    </w:p>
    <w:p w14:paraId="09C75637" w14:textId="6D6329E1" w:rsidR="00471714" w:rsidRPr="00091100" w:rsidRDefault="008862C6" w:rsidP="00091100">
      <w:pPr>
        <w:pStyle w:val="Heading1"/>
      </w:pPr>
      <w:bookmarkStart w:id="78" w:name="_Toc152088257"/>
      <w:r>
        <w:lastRenderedPageBreak/>
        <w:t xml:space="preserve">Appendix F. </w:t>
      </w:r>
      <w:r w:rsidR="00F640BA">
        <w:t>Transpor</w:t>
      </w:r>
      <w:r w:rsidR="00EA04AB">
        <w:t>t</w:t>
      </w:r>
      <w:bookmarkEnd w:id="78"/>
    </w:p>
    <w:p w14:paraId="0AEF4AB0" w14:textId="7A44F27E" w:rsidR="00091100" w:rsidRDefault="0CDBF178">
      <w:r>
        <w:t>Transportation consists of different categories (or modes) of transportation used to satisfy various demands, and emissions from mobile combustion of fuels are highly dependent on the technologies (e.g., types of vehicles) that use the fuels. Therefore, emission factors for mobile combustion of fuels are contained in the Transportation rather than Energy Fuels subsector.</w:t>
      </w:r>
    </w:p>
    <w:p w14:paraId="243F9592" w14:textId="77777777" w:rsidR="00D30266" w:rsidRDefault="00D30266" w:rsidP="00AD210D">
      <w:pPr>
        <w:ind w:firstLine="0"/>
      </w:pPr>
    </w:p>
    <w:p w14:paraId="3CA35E29" w14:textId="2C31FEDB" w:rsidR="00091100" w:rsidRDefault="0CDBF178" w:rsidP="00A46C79">
      <w:pPr>
        <w:pStyle w:val="Heading2"/>
      </w:pPr>
      <w:bookmarkStart w:id="79" w:name="_Toc152088258"/>
      <w:r>
        <w:t>Modeling Transportation Emissions</w:t>
      </w:r>
      <w:bookmarkEnd w:id="79"/>
    </w:p>
    <w:p w14:paraId="22E9839B" w14:textId="6E485582" w:rsidR="00F179FC" w:rsidRDefault="00F179FC" w:rsidP="00F179FC">
      <w:pPr>
        <w:ind w:firstLine="0"/>
      </w:pPr>
      <w:r>
        <w:t>Transportation emissions are a produc</w:t>
      </w:r>
      <w:r w:rsidR="00A16DED">
        <w:t xml:space="preserve">t </w:t>
      </w:r>
      <w:r w:rsidRPr="00853613">
        <w:t xml:space="preserve">of the data in Table </w:t>
      </w:r>
      <w:r w:rsidR="00A16DED">
        <w:t>F</w:t>
      </w:r>
      <w:r w:rsidRPr="00853613">
        <w:t>.1. Model parameters are calibrated to match model’s emissions estimates in</w:t>
      </w:r>
      <w:r w:rsidR="00471714">
        <w:t xml:space="preserve"> transportation</w:t>
      </w:r>
      <w:r w:rsidRPr="00853613">
        <w:t xml:space="preserve"> available at Climate Watch (2022). </w:t>
      </w:r>
    </w:p>
    <w:p w14:paraId="736A9797" w14:textId="2E043EFD" w:rsidR="00F179FC" w:rsidRDefault="0CDBF178">
      <w:pPr>
        <w:pStyle w:val="Heading9"/>
      </w:pPr>
      <w:bookmarkStart w:id="80" w:name="_Toc152088333"/>
      <w:r w:rsidRPr="0CDBF178">
        <w:rPr>
          <w:rFonts w:eastAsia="Arial"/>
        </w:rPr>
        <w:t>Table F.1 Data and methods</w:t>
      </w:r>
      <w:bookmarkEnd w:id="80"/>
    </w:p>
    <w:tbl>
      <w:tblPr>
        <w:tblStyle w:val="TableGrid"/>
        <w:tblW w:w="0" w:type="auto"/>
        <w:tblLayout w:type="fixed"/>
        <w:tblLook w:val="0620" w:firstRow="1" w:lastRow="0" w:firstColumn="0" w:lastColumn="0" w:noHBand="1" w:noVBand="1"/>
      </w:tblPr>
      <w:tblGrid>
        <w:gridCol w:w="2250"/>
        <w:gridCol w:w="3510"/>
        <w:gridCol w:w="3600"/>
      </w:tblGrid>
      <w:tr w:rsidR="00F179FC" w14:paraId="7951294D"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5B46643B" w14:textId="77777777" w:rsidR="00F179FC" w:rsidRDefault="00F179FC">
            <w:r>
              <w:rPr>
                <w:rFonts w:eastAsia="Arial" w:cs="Arial"/>
                <w:b/>
                <w:bCs/>
                <w:sz w:val="18"/>
                <w:szCs w:val="18"/>
              </w:rPr>
              <w:t>Data</w:t>
            </w:r>
          </w:p>
        </w:tc>
        <w:tc>
          <w:tcPr>
            <w:tcW w:w="3510" w:type="dxa"/>
            <w:tcBorders>
              <w:left w:val="nil"/>
              <w:right w:val="nil"/>
            </w:tcBorders>
          </w:tcPr>
          <w:p w14:paraId="36800653" w14:textId="1DD411DD" w:rsidR="00F179FC"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687F5E4A" w14:textId="3F7D7A67" w:rsidR="00F179FC" w:rsidRDefault="0CDBF178">
            <w:pPr>
              <w:jc w:val="center"/>
            </w:pPr>
            <w:r w:rsidRPr="0CDBF178">
              <w:rPr>
                <w:rFonts w:eastAsia="Arial" w:cs="Arial"/>
                <w:b/>
                <w:bCs/>
                <w:sz w:val="18"/>
                <w:szCs w:val="18"/>
              </w:rPr>
              <w:t>Method for projections</w:t>
            </w:r>
          </w:p>
        </w:tc>
      </w:tr>
      <w:tr w:rsidR="00F179FC" w14:paraId="4E854B7A" w14:textId="77777777" w:rsidTr="7654BBD9">
        <w:tc>
          <w:tcPr>
            <w:tcW w:w="2250" w:type="dxa"/>
            <w:tcBorders>
              <w:top w:val="nil"/>
              <w:left w:val="nil"/>
              <w:bottom w:val="nil"/>
              <w:right w:val="nil"/>
            </w:tcBorders>
          </w:tcPr>
          <w:p w14:paraId="39AA68CF" w14:textId="497695F2" w:rsidR="00F179FC" w:rsidRDefault="00F543DB">
            <w:pPr>
              <w:pStyle w:val="TableBody"/>
            </w:pPr>
            <w:r>
              <w:rPr>
                <w:rFonts w:eastAsia="Arial"/>
              </w:rPr>
              <w:t xml:space="preserve">Demand for travel </w:t>
            </w:r>
          </w:p>
        </w:tc>
        <w:tc>
          <w:tcPr>
            <w:tcW w:w="3510" w:type="dxa"/>
            <w:tcBorders>
              <w:top w:val="nil"/>
              <w:left w:val="nil"/>
              <w:bottom w:val="nil"/>
              <w:right w:val="nil"/>
            </w:tcBorders>
          </w:tcPr>
          <w:p w14:paraId="4E2F7E09" w14:textId="7276E93D" w:rsidR="00477F15" w:rsidRDefault="0CDBF178">
            <w:pPr>
              <w:pStyle w:val="TableBody"/>
            </w:pPr>
            <w:r>
              <w:t xml:space="preserve">Demand for travel is specified by categories: aviation, heavy duty road, heavy freight rail, heavy passenger rail, human powered, light duty road, public heavy road, regional road, powered bikes, and water borne. </w:t>
            </w:r>
          </w:p>
          <w:p w14:paraId="5F14DCD2" w14:textId="5C0A7C25" w:rsidR="00C8718D" w:rsidRDefault="00C8718D">
            <w:pPr>
              <w:pStyle w:val="TableBody"/>
            </w:pPr>
            <w:r>
              <w:t xml:space="preserve"> </w:t>
            </w:r>
          </w:p>
          <w:p w14:paraId="324C402A" w14:textId="05B1F92D" w:rsidR="00C8718D" w:rsidRDefault="0CDBF178">
            <w:pPr>
              <w:pStyle w:val="TableBody"/>
            </w:pPr>
            <w:r>
              <w:t xml:space="preserve">Travel demand for public and private transportation is determined using the OECD (2023a) passenger transport database and Oak Ridge National Laboratory (2023). </w:t>
            </w:r>
          </w:p>
          <w:p w14:paraId="48138640" w14:textId="77777777" w:rsidR="00F04BBC" w:rsidRDefault="00F04BBC">
            <w:pPr>
              <w:pStyle w:val="TableBody"/>
            </w:pPr>
          </w:p>
          <w:p w14:paraId="29EF6B37" w14:textId="6044D094" w:rsidR="00ED018C" w:rsidRDefault="0CDBF178">
            <w:pPr>
              <w:pStyle w:val="TableBody"/>
            </w:pPr>
            <w:r>
              <w:t xml:space="preserve">Freight travel demand is determined using the OECD (2023b) Freight Transport database.  </w:t>
            </w:r>
          </w:p>
          <w:p w14:paraId="76AA7F04" w14:textId="77777777" w:rsidR="005B2357" w:rsidRDefault="005B2357">
            <w:pPr>
              <w:pStyle w:val="TableBody"/>
            </w:pPr>
          </w:p>
          <w:p w14:paraId="63545002" w14:textId="218A89D2" w:rsidR="00DE2DD5" w:rsidRDefault="0CDBF178" w:rsidP="0CDBF178">
            <w:pPr>
              <w:pStyle w:val="TableBody"/>
            </w:pPr>
            <w:r>
              <w:t xml:space="preserve">Shares of transportation across different forms of travel are estimated using data from the US, with adjustments to reflect Latin American conditions. </w:t>
            </w:r>
          </w:p>
          <w:p w14:paraId="41841E29" w14:textId="77777777" w:rsidR="005B2357" w:rsidRDefault="005B2357">
            <w:pPr>
              <w:pStyle w:val="TableBody"/>
            </w:pPr>
          </w:p>
          <w:p w14:paraId="1E0E2CD4" w14:textId="133A8233" w:rsidR="00345AAE" w:rsidRDefault="00345AAE">
            <w:pPr>
              <w:pStyle w:val="TableBody"/>
            </w:pPr>
            <w:r>
              <w:t xml:space="preserve">Occupancy rates </w:t>
            </w:r>
            <w:r w:rsidR="00200AB9">
              <w:t xml:space="preserve">in private transportation </w:t>
            </w:r>
            <w:r w:rsidR="00CB262F">
              <w:t xml:space="preserve">are estimated using the </w:t>
            </w:r>
            <w:r w:rsidR="00CB262F" w:rsidRPr="00CB262F">
              <w:t>European</w:t>
            </w:r>
            <w:r w:rsidR="00CB262F">
              <w:t xml:space="preserve"> </w:t>
            </w:r>
            <w:r w:rsidR="00CB262F" w:rsidRPr="00CB262F">
              <w:t>Environment Agency (2023)</w:t>
            </w:r>
            <w:r w:rsidR="00CB262F">
              <w:t xml:space="preserve"> </w:t>
            </w:r>
            <w:r w:rsidR="00CB262F" w:rsidRPr="00CB262F">
              <w:t>Occupancy Rates of Passenger Vehicles</w:t>
            </w:r>
            <w:r w:rsidR="00CB262F">
              <w:t xml:space="preserve"> database. </w:t>
            </w:r>
          </w:p>
          <w:p w14:paraId="2F310FA6" w14:textId="1ABD6DC3" w:rsidR="00762C3D" w:rsidRDefault="7654BBD9">
            <w:pPr>
              <w:pStyle w:val="TableBody"/>
            </w:pPr>
            <w:r>
              <w:t xml:space="preserve">Freight capacity for different transportation modes is estimated using statistics from the Association of American Railroads (2023) statistics and the US Department of Transportation, Federal Highway Administration (2023), Tables 3-4. </w:t>
            </w:r>
          </w:p>
          <w:p w14:paraId="26F1A73E" w14:textId="77777777" w:rsidR="00F179FC" w:rsidRDefault="00F179FC">
            <w:pPr>
              <w:pStyle w:val="TableBody"/>
            </w:pPr>
          </w:p>
        </w:tc>
        <w:tc>
          <w:tcPr>
            <w:tcW w:w="3600" w:type="dxa"/>
            <w:tcBorders>
              <w:top w:val="nil"/>
              <w:left w:val="nil"/>
              <w:bottom w:val="nil"/>
              <w:right w:val="nil"/>
            </w:tcBorders>
          </w:tcPr>
          <w:p w14:paraId="322E3FD7" w14:textId="77777777" w:rsidR="00BF505D" w:rsidRDefault="00AF6293" w:rsidP="00243246">
            <w:pPr>
              <w:pStyle w:val="TableBody"/>
            </w:pPr>
            <w:r>
              <w:t xml:space="preserve"> </w:t>
            </w:r>
            <w:r w:rsidR="000E0F47">
              <w:t xml:space="preserve">Future demand for travel is projected using elasticities of </w:t>
            </w:r>
            <w:r w:rsidR="00BF505D">
              <w:t xml:space="preserve">freight travel and passenger-kilometer demand with respect to GDP per capita. </w:t>
            </w:r>
          </w:p>
          <w:p w14:paraId="3349F4B6" w14:textId="77777777" w:rsidR="00BF505D" w:rsidRDefault="00BF505D" w:rsidP="00243246">
            <w:pPr>
              <w:pStyle w:val="TableBody"/>
            </w:pPr>
          </w:p>
          <w:p w14:paraId="1FA9C207" w14:textId="739F4345" w:rsidR="00F179FC" w:rsidRDefault="48B0C125" w:rsidP="00A46C79">
            <w:pPr>
              <w:pStyle w:val="TableBody"/>
            </w:pPr>
            <w:r>
              <w:t xml:space="preserve">It is assumed at baseline (i.e., no transformations) that as countries develop their mode, shares of transport will converge to those of the US.  </w:t>
            </w:r>
          </w:p>
        </w:tc>
      </w:tr>
      <w:tr w:rsidR="008F01B1" w14:paraId="5B13089B" w14:textId="77777777" w:rsidTr="7654BBD9">
        <w:trPr>
          <w:trHeight w:val="185"/>
        </w:trPr>
        <w:tc>
          <w:tcPr>
            <w:tcW w:w="2250" w:type="dxa"/>
            <w:tcBorders>
              <w:top w:val="nil"/>
              <w:left w:val="nil"/>
              <w:bottom w:val="nil"/>
              <w:right w:val="nil"/>
            </w:tcBorders>
          </w:tcPr>
          <w:p w14:paraId="1083ECE7" w14:textId="5FFDDEEF" w:rsidR="008F01B1" w:rsidRDefault="0CDBF178">
            <w:pPr>
              <w:pStyle w:val="TableBody"/>
              <w:rPr>
                <w:rFonts w:eastAsia="Arial"/>
              </w:rPr>
            </w:pPr>
            <w:r w:rsidRPr="0CDBF178">
              <w:rPr>
                <w:rFonts w:eastAsia="Arial"/>
              </w:rPr>
              <w:lastRenderedPageBreak/>
              <w:t>Fuel mix</w:t>
            </w:r>
          </w:p>
        </w:tc>
        <w:tc>
          <w:tcPr>
            <w:tcW w:w="3510" w:type="dxa"/>
            <w:tcBorders>
              <w:top w:val="nil"/>
              <w:left w:val="nil"/>
              <w:bottom w:val="nil"/>
              <w:right w:val="nil"/>
            </w:tcBorders>
          </w:tcPr>
          <w:p w14:paraId="1C7B7518" w14:textId="5F5030D2" w:rsidR="008F01B1" w:rsidRDefault="7654BBD9" w:rsidP="48B0C125">
            <w:pPr>
              <w:pStyle w:val="TableBody"/>
            </w:pPr>
            <w:r>
              <w:t xml:space="preserve">Fuel mix is the share of fuel type consumption (e.g., </w:t>
            </w:r>
            <w:r w:rsidRPr="7654BBD9">
              <w:rPr>
                <w:rFonts w:eastAsia="Arial"/>
              </w:rPr>
              <w:t>diesel, hydrogen, natural gas, gasoline, and biofuels)</w:t>
            </w:r>
            <w:r>
              <w:t xml:space="preserve"> by transportation mode</w:t>
            </w:r>
            <w:r w:rsidRPr="7654BBD9">
              <w:rPr>
                <w:rFonts w:eastAsia="Arial"/>
              </w:rPr>
              <w:t xml:space="preserve"> (e.g., </w:t>
            </w:r>
            <w:proofErr w:type="gramStart"/>
            <w:r w:rsidRPr="7654BBD9">
              <w:rPr>
                <w:rFonts w:eastAsia="Arial"/>
              </w:rPr>
              <w:t>public</w:t>
            </w:r>
            <w:proofErr w:type="gramEnd"/>
            <w:r w:rsidRPr="7654BBD9">
              <w:rPr>
                <w:rFonts w:eastAsia="Arial"/>
              </w:rPr>
              <w:t xml:space="preserve"> and private aviation, bikes, public and private car transportation, heavy freight and heavy regional, rail freight, passenger, </w:t>
            </w:r>
            <w:r w:rsidRPr="00397039">
              <w:rPr>
                <w:rFonts w:eastAsia="Arial"/>
              </w:rPr>
              <w:t>and water</w:t>
            </w:r>
            <w:r w:rsidRPr="00397039">
              <w:t>-</w:t>
            </w:r>
            <w:r w:rsidRPr="00397039">
              <w:rPr>
                <w:rFonts w:eastAsia="Arial"/>
              </w:rPr>
              <w:t>borne</w:t>
            </w:r>
            <w:r w:rsidRPr="00397039">
              <w:t>)</w:t>
            </w:r>
            <w:r w:rsidRPr="00397039">
              <w:rPr>
                <w:rFonts w:eastAsia="Arial"/>
              </w:rPr>
              <w:t xml:space="preserve"> using data mostly </w:t>
            </w:r>
            <w:r w:rsidRPr="00397039">
              <w:t>the US Department of Energy</w:t>
            </w:r>
            <w:r w:rsidRPr="00397039">
              <w:rPr>
                <w:rFonts w:eastAsia="Arial"/>
              </w:rPr>
              <w:t xml:space="preserve"> (2022) and </w:t>
            </w:r>
            <w:proofErr w:type="spellStart"/>
            <w:r w:rsidRPr="00397039">
              <w:rPr>
                <w:rFonts w:eastAsia="Arial"/>
              </w:rPr>
              <w:t>Palocz</w:t>
            </w:r>
            <w:proofErr w:type="spellEnd"/>
            <w:r w:rsidRPr="00397039">
              <w:rPr>
                <w:rFonts w:eastAsia="Arial"/>
              </w:rPr>
              <w:t>-Andresen (2012).</w:t>
            </w:r>
          </w:p>
          <w:p w14:paraId="30240381" w14:textId="77777777" w:rsidR="008F01B1" w:rsidRDefault="008F01B1" w:rsidP="004639BD">
            <w:pPr>
              <w:pStyle w:val="TableBody"/>
              <w:rPr>
                <w:rFonts w:eastAsia="Arial"/>
              </w:rPr>
            </w:pPr>
          </w:p>
        </w:tc>
        <w:tc>
          <w:tcPr>
            <w:tcW w:w="3600" w:type="dxa"/>
            <w:tcBorders>
              <w:top w:val="nil"/>
              <w:left w:val="nil"/>
              <w:bottom w:val="nil"/>
              <w:right w:val="nil"/>
            </w:tcBorders>
          </w:tcPr>
          <w:p w14:paraId="70A73E6E" w14:textId="77777777" w:rsidR="008F01B1" w:rsidRPr="000C01F7" w:rsidRDefault="008F01B1" w:rsidP="000C01F7">
            <w:pPr>
              <w:pStyle w:val="TableBody"/>
              <w:rPr>
                <w:rFonts w:eastAsia="Arial"/>
              </w:rPr>
            </w:pPr>
          </w:p>
        </w:tc>
      </w:tr>
      <w:tr w:rsidR="00A15F7E" w14:paraId="6B73704D" w14:textId="77777777" w:rsidTr="7654BBD9">
        <w:trPr>
          <w:trHeight w:val="185"/>
        </w:trPr>
        <w:tc>
          <w:tcPr>
            <w:tcW w:w="2250" w:type="dxa"/>
            <w:tcBorders>
              <w:top w:val="nil"/>
              <w:left w:val="nil"/>
              <w:bottom w:val="nil"/>
              <w:right w:val="nil"/>
            </w:tcBorders>
          </w:tcPr>
          <w:p w14:paraId="34264ACD" w14:textId="121C2C50" w:rsidR="00A15F7E" w:rsidRDefault="0CDBF178">
            <w:pPr>
              <w:pStyle w:val="TableBody"/>
              <w:rPr>
                <w:rFonts w:eastAsia="Arial"/>
              </w:rPr>
            </w:pPr>
            <w:r w:rsidRPr="0CDBF178">
              <w:rPr>
                <w:rFonts w:eastAsia="Arial"/>
              </w:rPr>
              <w:t xml:space="preserve">Fuel efficiency  </w:t>
            </w:r>
          </w:p>
          <w:p w14:paraId="5C960664" w14:textId="77777777" w:rsidR="00A15F7E" w:rsidRDefault="00A15F7E">
            <w:pPr>
              <w:pStyle w:val="TableBody"/>
              <w:rPr>
                <w:rFonts w:eastAsia="Arial"/>
              </w:rPr>
            </w:pPr>
          </w:p>
          <w:p w14:paraId="05FE6259" w14:textId="77777777" w:rsidR="00A15F7E" w:rsidRDefault="00A15F7E">
            <w:pPr>
              <w:pStyle w:val="TableBody"/>
              <w:rPr>
                <w:rFonts w:eastAsia="Arial"/>
              </w:rPr>
            </w:pPr>
          </w:p>
          <w:p w14:paraId="596E8617" w14:textId="3DF5E968" w:rsidR="00A15F7E" w:rsidRDefault="00A15F7E">
            <w:pPr>
              <w:pStyle w:val="TableBody"/>
              <w:rPr>
                <w:rFonts w:eastAsia="Arial"/>
              </w:rPr>
            </w:pPr>
          </w:p>
        </w:tc>
        <w:tc>
          <w:tcPr>
            <w:tcW w:w="3510" w:type="dxa"/>
            <w:tcBorders>
              <w:top w:val="nil"/>
              <w:left w:val="nil"/>
              <w:bottom w:val="nil"/>
              <w:right w:val="nil"/>
            </w:tcBorders>
          </w:tcPr>
          <w:p w14:paraId="2EEB45D2" w14:textId="102E9288" w:rsidR="00A15F7E" w:rsidRDefault="7654BBD9" w:rsidP="0CDBF178">
            <w:pPr>
              <w:pStyle w:val="TableBody"/>
              <w:rPr>
                <w:rFonts w:eastAsia="Arial"/>
              </w:rPr>
            </w:pPr>
            <w:r w:rsidRPr="7654BBD9">
              <w:rPr>
                <w:rFonts w:eastAsia="Arial"/>
              </w:rPr>
              <w:t>Fuel efficiencies for fuels (diesel, hydrogen, natural gas, gasoline, and biofuels) is estimated for public and private transportation, and for heavy freight and heavy regional transportation using data from various sources, including Huo et al., (</w:t>
            </w:r>
            <w:r w:rsidRPr="00D914A0">
              <w:rPr>
                <w:rFonts w:eastAsia="Arial"/>
              </w:rPr>
              <w:t xml:space="preserve">2012), </w:t>
            </w:r>
            <w:proofErr w:type="spellStart"/>
            <w:r w:rsidRPr="00D914A0">
              <w:rPr>
                <w:rFonts w:eastAsia="Arial"/>
              </w:rPr>
              <w:t>Ou</w:t>
            </w:r>
            <w:proofErr w:type="spellEnd"/>
            <w:r w:rsidRPr="00D914A0">
              <w:rPr>
                <w:rFonts w:eastAsia="Arial"/>
              </w:rPr>
              <w:t xml:space="preserve"> et al., (2013), Brynolf et al. </w:t>
            </w:r>
            <w:r w:rsidRPr="00D914A0">
              <w:rPr>
                <w:rFonts w:eastAsia="Arial"/>
                <w:lang w:val="fr-FR"/>
              </w:rPr>
              <w:t xml:space="preserve">(2014, p. 90), Delgado et al. (2017, p. 38), </w:t>
            </w:r>
            <w:proofErr w:type="spellStart"/>
            <w:r w:rsidRPr="00D914A0">
              <w:rPr>
                <w:rFonts w:eastAsia="Arial"/>
                <w:lang w:val="fr-FR"/>
              </w:rPr>
              <w:t>Talaiekhozani</w:t>
            </w:r>
            <w:proofErr w:type="spellEnd"/>
            <w:r w:rsidRPr="00D914A0">
              <w:rPr>
                <w:rFonts w:eastAsia="Arial"/>
                <w:lang w:val="fr-FR"/>
              </w:rPr>
              <w:t xml:space="preserve"> et al. (2017), </w:t>
            </w:r>
            <w:proofErr w:type="spellStart"/>
            <w:r w:rsidRPr="00D914A0">
              <w:rPr>
                <w:rFonts w:eastAsia="Arial"/>
                <w:lang w:val="fr-FR"/>
              </w:rPr>
              <w:t>Ančić</w:t>
            </w:r>
            <w:proofErr w:type="spellEnd"/>
            <w:r w:rsidRPr="00D914A0">
              <w:rPr>
                <w:rFonts w:eastAsia="Arial"/>
                <w:lang w:val="fr-FR"/>
              </w:rPr>
              <w:t xml:space="preserve"> et al. (2018), </w:t>
            </w:r>
            <w:r w:rsidRPr="00D914A0">
              <w:rPr>
                <w:rFonts w:eastAsia="Arial" w:cs="Arial"/>
                <w:lang w:val="fr-FR"/>
              </w:rPr>
              <w:t xml:space="preserve">Chen and </w:t>
            </w:r>
            <w:proofErr w:type="spellStart"/>
            <w:r w:rsidRPr="00D914A0">
              <w:rPr>
                <w:rFonts w:eastAsia="Arial" w:cs="Arial"/>
                <w:lang w:val="fr-FR"/>
              </w:rPr>
              <w:t>Melaina</w:t>
            </w:r>
            <w:proofErr w:type="spellEnd"/>
            <w:r w:rsidRPr="00D914A0">
              <w:rPr>
                <w:rFonts w:eastAsia="Arial" w:cs="Arial"/>
                <w:lang w:val="fr-FR"/>
              </w:rPr>
              <w:t>, (2019),</w:t>
            </w:r>
            <w:r w:rsidRPr="00D914A0">
              <w:rPr>
                <w:rFonts w:eastAsia="Arial"/>
                <w:lang w:val="fr-FR"/>
              </w:rPr>
              <w:t xml:space="preserve"> To et al. (2020), Liu et al., (2021), </w:t>
            </w:r>
            <w:proofErr w:type="spellStart"/>
            <w:r w:rsidRPr="00D914A0">
              <w:rPr>
                <w:rFonts w:eastAsia="Arial"/>
                <w:lang w:val="fr-FR"/>
              </w:rPr>
              <w:t>Popovich</w:t>
            </w:r>
            <w:proofErr w:type="spellEnd"/>
            <w:r w:rsidRPr="00D914A0">
              <w:rPr>
                <w:rFonts w:eastAsia="Arial"/>
                <w:lang w:val="fr-FR"/>
              </w:rPr>
              <w:t xml:space="preserve"> et al. </w:t>
            </w:r>
            <w:r w:rsidRPr="00D914A0">
              <w:rPr>
                <w:rFonts w:eastAsia="Arial"/>
              </w:rPr>
              <w:t xml:space="preserve">(2021), and </w:t>
            </w:r>
            <w:proofErr w:type="spellStart"/>
            <w:r w:rsidRPr="00D914A0">
              <w:rPr>
                <w:rFonts w:eastAsia="Arial"/>
              </w:rPr>
              <w:t>Ravigne</w:t>
            </w:r>
            <w:proofErr w:type="spellEnd"/>
            <w:r w:rsidRPr="00D914A0">
              <w:rPr>
                <w:rFonts w:eastAsia="Arial"/>
              </w:rPr>
              <w:t xml:space="preserve"> and Da Costa (2021).</w:t>
            </w:r>
          </w:p>
          <w:p w14:paraId="001AF33B" w14:textId="6A33794A" w:rsidR="00DB1F70" w:rsidRPr="7726BEE2" w:rsidRDefault="00DB1F70" w:rsidP="00CB262F">
            <w:pPr>
              <w:pStyle w:val="TableBody"/>
              <w:rPr>
                <w:rFonts w:eastAsia="Arial"/>
              </w:rPr>
            </w:pPr>
          </w:p>
        </w:tc>
        <w:tc>
          <w:tcPr>
            <w:tcW w:w="3600" w:type="dxa"/>
            <w:tcBorders>
              <w:top w:val="nil"/>
              <w:left w:val="nil"/>
              <w:bottom w:val="nil"/>
              <w:right w:val="nil"/>
            </w:tcBorders>
          </w:tcPr>
          <w:p w14:paraId="510D76E7" w14:textId="34AD69D7" w:rsidR="000C01F7" w:rsidRPr="000C01F7" w:rsidRDefault="0CDBF178">
            <w:pPr>
              <w:pStyle w:val="TableBody"/>
              <w:rPr>
                <w:rFonts w:eastAsia="Arial"/>
              </w:rPr>
            </w:pPr>
            <w:r w:rsidRPr="0CDBF178">
              <w:rPr>
                <w:rFonts w:eastAsia="Arial"/>
              </w:rPr>
              <w:t xml:space="preserve">For road </w:t>
            </w:r>
            <w:proofErr w:type="spellStart"/>
            <w:r w:rsidRPr="0CDBF178">
              <w:rPr>
                <w:rFonts w:eastAsia="Arial"/>
              </w:rPr>
              <w:t>heavyfreight</w:t>
            </w:r>
            <w:proofErr w:type="spellEnd"/>
            <w:r w:rsidRPr="0CDBF178">
              <w:rPr>
                <w:rFonts w:eastAsia="Arial"/>
              </w:rPr>
              <w:t xml:space="preserve"> hydrogen efficiency (km per liter), the fuel economy improvement rate is set at 1 % from 2020 to 2050 for fuel cells (</w:t>
            </w:r>
            <w:proofErr w:type="spellStart"/>
            <w:r w:rsidRPr="0CDBF178">
              <w:rPr>
                <w:rFonts w:eastAsia="Arial"/>
              </w:rPr>
              <w:t>Ou</w:t>
            </w:r>
            <w:proofErr w:type="spellEnd"/>
            <w:r w:rsidRPr="0CDBF178">
              <w:rPr>
                <w:rFonts w:eastAsia="Arial"/>
              </w:rPr>
              <w:t xml:space="preserve"> et al., 2013; Chen and Melaina, 2019).</w:t>
            </w:r>
          </w:p>
          <w:p w14:paraId="0C975E74" w14:textId="77777777" w:rsidR="000C01F7" w:rsidRPr="000C01F7" w:rsidRDefault="000C01F7" w:rsidP="000C01F7">
            <w:pPr>
              <w:pStyle w:val="TableBody"/>
              <w:rPr>
                <w:rFonts w:eastAsia="Arial"/>
              </w:rPr>
            </w:pPr>
          </w:p>
          <w:p w14:paraId="260F3626" w14:textId="1C7535E1" w:rsidR="000C01F7" w:rsidRPr="000C01F7" w:rsidRDefault="0CDBF178" w:rsidP="0CDBF178">
            <w:pPr>
              <w:pStyle w:val="TableBody"/>
              <w:rPr>
                <w:rFonts w:eastAsia="Arial"/>
              </w:rPr>
            </w:pPr>
            <w:r w:rsidRPr="0CDBF178">
              <w:rPr>
                <w:rFonts w:eastAsia="Arial"/>
              </w:rPr>
              <w:t xml:space="preserve">For road </w:t>
            </w:r>
            <w:proofErr w:type="spellStart"/>
            <w:r w:rsidRPr="0CDBF178">
              <w:rPr>
                <w:rFonts w:eastAsia="Arial"/>
              </w:rPr>
              <w:t>heavyregional</w:t>
            </w:r>
            <w:proofErr w:type="spellEnd"/>
            <w:r w:rsidRPr="0CDBF178">
              <w:rPr>
                <w:rFonts w:eastAsia="Arial"/>
              </w:rPr>
              <w:t xml:space="preserve"> diesel efficiency (km per liter), projected values take a long-term 30.64-L(diesel)/100-km estimate (Delgado et al., 2017, p. 38).</w:t>
            </w:r>
          </w:p>
          <w:p w14:paraId="68199348" w14:textId="51734901" w:rsidR="03757DE5" w:rsidRDefault="03757DE5" w:rsidP="03757DE5">
            <w:pPr>
              <w:pStyle w:val="TableBody"/>
              <w:rPr>
                <w:rFonts w:eastAsia="Arial"/>
              </w:rPr>
            </w:pPr>
          </w:p>
          <w:p w14:paraId="1313F1A3" w14:textId="0B80CB73" w:rsidR="03757DE5" w:rsidRDefault="03757DE5" w:rsidP="03757DE5">
            <w:pPr>
              <w:pStyle w:val="TableBody"/>
              <w:rPr>
                <w:rFonts w:eastAsia="Arial"/>
              </w:rPr>
            </w:pPr>
            <w:r w:rsidRPr="03757DE5">
              <w:rPr>
                <w:rFonts w:eastAsia="Arial"/>
              </w:rPr>
              <w:t xml:space="preserve">Railroad efficiencies for freight are estimated using means from </w:t>
            </w:r>
            <w:proofErr w:type="spellStart"/>
            <w:r w:rsidRPr="03757DE5">
              <w:rPr>
                <w:rFonts w:eastAsia="Arial"/>
              </w:rPr>
              <w:t>Talaiekhozani</w:t>
            </w:r>
            <w:proofErr w:type="spellEnd"/>
            <w:r w:rsidRPr="03757DE5">
              <w:rPr>
                <w:rFonts w:eastAsia="Arial"/>
              </w:rPr>
              <w:t xml:space="preserve"> et al. (2017) and Popovich et al. (2021) as 14.8 L/km (diesel) and 74.8 kWh/km (electric). </w:t>
            </w:r>
          </w:p>
          <w:p w14:paraId="0B7DB47C" w14:textId="63301303" w:rsidR="03757DE5" w:rsidRDefault="03757DE5" w:rsidP="03757DE5">
            <w:pPr>
              <w:pStyle w:val="TableBody"/>
              <w:rPr>
                <w:rFonts w:eastAsia="Arial"/>
              </w:rPr>
            </w:pPr>
          </w:p>
          <w:p w14:paraId="6B1186EF" w14:textId="19170249" w:rsidR="03757DE5" w:rsidRDefault="03757DE5" w:rsidP="03757DE5">
            <w:pPr>
              <w:pStyle w:val="TableBody"/>
              <w:rPr>
                <w:rFonts w:eastAsia="Arial"/>
              </w:rPr>
            </w:pPr>
            <w:r w:rsidRPr="03757DE5">
              <w:rPr>
                <w:rFonts w:eastAsia="Arial"/>
              </w:rPr>
              <w:t xml:space="preserve">Passenger railroad efficiencies are estimated as 3.2 L/km (diesel) and 16.2 kWh/km (electric) using </w:t>
            </w:r>
            <w:proofErr w:type="spellStart"/>
            <w:r w:rsidRPr="03757DE5">
              <w:rPr>
                <w:rFonts w:eastAsia="Arial"/>
              </w:rPr>
              <w:t>Talaiekhozani</w:t>
            </w:r>
            <w:proofErr w:type="spellEnd"/>
            <w:r w:rsidRPr="03757DE5">
              <w:rPr>
                <w:rFonts w:eastAsia="Arial"/>
              </w:rPr>
              <w:t xml:space="preserve"> et al. (2017).</w:t>
            </w:r>
          </w:p>
          <w:p w14:paraId="309D1783" w14:textId="77777777" w:rsidR="000C01F7" w:rsidRPr="000C01F7" w:rsidRDefault="000C01F7" w:rsidP="000C01F7">
            <w:pPr>
              <w:pStyle w:val="TableBody"/>
              <w:rPr>
                <w:rFonts w:eastAsia="Arial"/>
              </w:rPr>
            </w:pPr>
          </w:p>
          <w:p w14:paraId="159BCFEA" w14:textId="0ECACDD6" w:rsidR="000C01F7" w:rsidRPr="000C01F7" w:rsidRDefault="0CDBF178" w:rsidP="0CDBF178">
            <w:pPr>
              <w:pStyle w:val="TableBody"/>
              <w:rPr>
                <w:rFonts w:eastAsia="Arial"/>
              </w:rPr>
            </w:pPr>
            <w:r w:rsidRPr="0CDBF178">
              <w:rPr>
                <w:rFonts w:eastAsia="Arial"/>
              </w:rPr>
              <w:t>For road light biofuel, diesel, gasoline, and hydrogen efficiency (km per liter), projected values adopt the mature technology values (Dincer et al. 2015). Mature technology values are the projected value for 2035. Between 2020-2035, the values are interpolated. For 2035-2050, the values remain the same.</w:t>
            </w:r>
          </w:p>
          <w:p w14:paraId="47791A1C" w14:textId="77777777" w:rsidR="000C01F7" w:rsidRPr="000C01F7" w:rsidRDefault="000C01F7" w:rsidP="000C01F7">
            <w:pPr>
              <w:pStyle w:val="TableBody"/>
              <w:rPr>
                <w:rFonts w:eastAsia="Arial"/>
              </w:rPr>
            </w:pPr>
          </w:p>
          <w:p w14:paraId="24F1CDDD" w14:textId="57E401EE" w:rsidR="00A15F7E" w:rsidRDefault="00A15F7E">
            <w:pPr>
              <w:pStyle w:val="TableBody"/>
              <w:rPr>
                <w:rFonts w:eastAsia="Arial"/>
              </w:rPr>
            </w:pPr>
          </w:p>
        </w:tc>
      </w:tr>
      <w:tr w:rsidR="00F179FC" w14:paraId="25AC19B0" w14:textId="77777777" w:rsidTr="7654BBD9">
        <w:tc>
          <w:tcPr>
            <w:tcW w:w="2250" w:type="dxa"/>
            <w:tcBorders>
              <w:top w:val="nil"/>
              <w:left w:val="nil"/>
              <w:bottom w:val="nil"/>
              <w:right w:val="nil"/>
            </w:tcBorders>
          </w:tcPr>
          <w:p w14:paraId="21EBF756" w14:textId="260712EB" w:rsidR="00F179FC" w:rsidRPr="008D1E7E" w:rsidRDefault="0CDBF178" w:rsidP="0CDBF178">
            <w:pPr>
              <w:pStyle w:val="TableBody"/>
              <w:rPr>
                <w:rFonts w:eastAsia="Arial"/>
              </w:rPr>
            </w:pPr>
            <w:r w:rsidRPr="0CDBF178">
              <w:rPr>
                <w:rFonts w:eastAsia="Arial"/>
              </w:rPr>
              <w:t>Mobile combustion emission factor</w:t>
            </w:r>
          </w:p>
        </w:tc>
        <w:tc>
          <w:tcPr>
            <w:tcW w:w="3510" w:type="dxa"/>
            <w:tcBorders>
              <w:top w:val="nil"/>
              <w:left w:val="nil"/>
              <w:bottom w:val="nil"/>
              <w:right w:val="nil"/>
            </w:tcBorders>
          </w:tcPr>
          <w:p w14:paraId="6434A507" w14:textId="50F5C231" w:rsidR="00F179FC" w:rsidRDefault="0CDBF178" w:rsidP="0CDBF178">
            <w:pPr>
              <w:pStyle w:val="TableBody"/>
            </w:pPr>
            <w:r>
              <w:t>Factors are based on IPCC Guidelines for National Greenhouse Gas Inventories, volume 4, chapter 3, Tables 3.2.2 (IPPC, 2019)</w:t>
            </w:r>
          </w:p>
        </w:tc>
        <w:tc>
          <w:tcPr>
            <w:tcW w:w="3600" w:type="dxa"/>
            <w:tcBorders>
              <w:top w:val="nil"/>
              <w:left w:val="nil"/>
              <w:bottom w:val="nil"/>
              <w:right w:val="nil"/>
            </w:tcBorders>
          </w:tcPr>
          <w:p w14:paraId="52ABD8E1" w14:textId="77777777" w:rsidR="00F179FC" w:rsidRDefault="00F179FC">
            <w:pPr>
              <w:pStyle w:val="TableBody"/>
              <w:rPr>
                <w:rFonts w:eastAsia="Arial"/>
              </w:rPr>
            </w:pPr>
            <w:r>
              <w:rPr>
                <w:rFonts w:eastAsia="Arial"/>
              </w:rPr>
              <w:t>Factors are assumed to be constant</w:t>
            </w:r>
          </w:p>
        </w:tc>
      </w:tr>
      <w:tr w:rsidR="00F179FC" w14:paraId="07378CDD" w14:textId="77777777" w:rsidTr="7654BBD9">
        <w:tc>
          <w:tcPr>
            <w:tcW w:w="2250" w:type="dxa"/>
            <w:tcBorders>
              <w:top w:val="nil"/>
              <w:left w:val="nil"/>
              <w:bottom w:val="nil"/>
              <w:right w:val="nil"/>
            </w:tcBorders>
          </w:tcPr>
          <w:p w14:paraId="566248A2" w14:textId="77777777" w:rsidR="00F179FC" w:rsidRDefault="00F179FC">
            <w:pPr>
              <w:pStyle w:val="TableBody"/>
              <w:rPr>
                <w:rFonts w:eastAsia="Arial"/>
              </w:rPr>
            </w:pPr>
            <w:r>
              <w:rPr>
                <w:rFonts w:eastAsia="Arial"/>
              </w:rPr>
              <w:t>Total emissions</w:t>
            </w:r>
          </w:p>
        </w:tc>
        <w:tc>
          <w:tcPr>
            <w:tcW w:w="3510" w:type="dxa"/>
            <w:tcBorders>
              <w:top w:val="nil"/>
              <w:left w:val="nil"/>
              <w:bottom w:val="nil"/>
              <w:right w:val="nil"/>
            </w:tcBorders>
          </w:tcPr>
          <w:p w14:paraId="13894493" w14:textId="69740C5C" w:rsidR="00F179FC" w:rsidRDefault="0CDBF178">
            <w:pPr>
              <w:pStyle w:val="TableBody"/>
              <w:rPr>
                <w:rFonts w:eastAsia="Arial"/>
              </w:rPr>
            </w:pPr>
            <w:r w:rsidRPr="0CDBF178">
              <w:rPr>
                <w:rFonts w:eastAsia="Arial"/>
              </w:rPr>
              <w:t xml:space="preserve">Historical sector emissions are used in the calibration process. Emissions data for calibration are obtained from Climate Watch (2022). </w:t>
            </w:r>
          </w:p>
        </w:tc>
        <w:tc>
          <w:tcPr>
            <w:tcW w:w="3600" w:type="dxa"/>
            <w:tcBorders>
              <w:top w:val="nil"/>
              <w:left w:val="nil"/>
              <w:bottom w:val="nil"/>
              <w:right w:val="nil"/>
            </w:tcBorders>
          </w:tcPr>
          <w:p w14:paraId="14186717" w14:textId="33F462D9" w:rsidR="00F179FC" w:rsidRDefault="0CDBF178">
            <w:pPr>
              <w:pStyle w:val="TableBody"/>
              <w:rPr>
                <w:rFonts w:eastAsia="Arial"/>
              </w:rPr>
            </w:pPr>
            <w:r w:rsidRPr="0CDBF178">
              <w:rPr>
                <w:rFonts w:eastAsia="Arial"/>
              </w:rPr>
              <w:t xml:space="preserve">Total emissions are calculated based on the amount of secondary and primary forest-sequestering emissions, and conversion emissions resulting from converting primary and secondary forests into other land uses. </w:t>
            </w:r>
          </w:p>
        </w:tc>
      </w:tr>
      <w:tr w:rsidR="00F179FC" w:rsidRPr="00126325" w14:paraId="102BDD04" w14:textId="77777777" w:rsidTr="7654BBD9">
        <w:tc>
          <w:tcPr>
            <w:tcW w:w="9360" w:type="dxa"/>
            <w:gridSpan w:val="3"/>
            <w:tcBorders>
              <w:top w:val="single" w:sz="4" w:space="0" w:color="auto"/>
              <w:left w:val="nil"/>
              <w:bottom w:val="nil"/>
              <w:right w:val="nil"/>
            </w:tcBorders>
          </w:tcPr>
          <w:p w14:paraId="7923B3E7" w14:textId="51985142" w:rsidR="00F179FC" w:rsidRPr="009D1040" w:rsidRDefault="0CDBF178">
            <w:pPr>
              <w:pStyle w:val="TableNote"/>
              <w:rPr>
                <w:rFonts w:eastAsia="Arial"/>
              </w:rPr>
            </w:pPr>
            <w:r w:rsidRPr="0CDBF178">
              <w:rPr>
                <w:rFonts w:eastAsia="Arial"/>
              </w:rPr>
              <w:t xml:space="preserve">Note: For countries not included in the OECD and IEA databases, a statistical imputation model was trained using observations of countries in the database. This model uses GDP and urban and rural population shares of countries to estimate imputed values. </w:t>
            </w:r>
          </w:p>
          <w:p w14:paraId="69B998E8" w14:textId="77777777" w:rsidR="00F179FC" w:rsidRPr="00126325" w:rsidRDefault="00F179FC">
            <w:pPr>
              <w:pStyle w:val="TableNote"/>
              <w:rPr>
                <w:rFonts w:eastAsia="Arial"/>
              </w:rPr>
            </w:pPr>
          </w:p>
        </w:tc>
      </w:tr>
    </w:tbl>
    <w:p w14:paraId="65199EAF" w14:textId="77777777" w:rsidR="00F179FC" w:rsidRPr="00D34ADC" w:rsidRDefault="00F179FC" w:rsidP="002D4C7A">
      <w:pPr>
        <w:ind w:firstLine="0"/>
      </w:pPr>
    </w:p>
    <w:p w14:paraId="2116701D" w14:textId="6ACDFCB3" w:rsidR="008C2B21" w:rsidRDefault="0CDBF178" w:rsidP="0CDBF178">
      <w:pPr>
        <w:pStyle w:val="Heading3"/>
      </w:pPr>
      <w:bookmarkStart w:id="81" w:name="_Toc152088259"/>
      <w:r>
        <w:lastRenderedPageBreak/>
        <w:t>Defining transportation transformations</w:t>
      </w:r>
      <w:bookmarkEnd w:id="81"/>
    </w:p>
    <w:p w14:paraId="7D7100B8" w14:textId="0C7E1AE6" w:rsidR="00F37B7F" w:rsidRDefault="7654BBD9" w:rsidP="7654BBD9">
      <w:r>
        <w:t>Tables F.2, F.3, and F.4 describe the transformations modeled to reduced emissions in the Transportation sector, as well as the corresponding technical cost and benefits that result from implementing these transformations. The levels of implementation broadly are derived from recent studies of decarbonizing transport in the region (Papaioannou and Windisch, 2022; Paternina Blanco et al., 2022).</w:t>
      </w:r>
    </w:p>
    <w:p w14:paraId="78A4288A" w14:textId="6C92AB4F" w:rsidR="00C47EED" w:rsidRDefault="0CDBF178">
      <w:pPr>
        <w:pStyle w:val="Heading9"/>
      </w:pPr>
      <w:bookmarkStart w:id="82" w:name="_Toc152088334"/>
      <w:r w:rsidRPr="0CDBF178">
        <w:rPr>
          <w:rFonts w:eastAsia="Arial"/>
        </w:rPr>
        <w:t>Table F.2 Transportation transformations</w:t>
      </w:r>
      <w:bookmarkEnd w:id="82"/>
    </w:p>
    <w:tbl>
      <w:tblPr>
        <w:tblStyle w:val="TableGrid"/>
        <w:tblW w:w="5000" w:type="pct"/>
        <w:tblCellMar>
          <w:top w:w="86" w:type="dxa"/>
          <w:bottom w:w="86" w:type="dxa"/>
        </w:tblCellMar>
        <w:tblLook w:val="0620" w:firstRow="1" w:lastRow="0" w:firstColumn="0" w:lastColumn="0" w:noHBand="1" w:noVBand="1"/>
      </w:tblPr>
      <w:tblGrid>
        <w:gridCol w:w="2340"/>
        <w:gridCol w:w="3510"/>
        <w:gridCol w:w="3510"/>
      </w:tblGrid>
      <w:tr w:rsidR="00C47EED" w:rsidRPr="00C114A8" w14:paraId="0FF69F00" w14:textId="77777777" w:rsidTr="7654BBD9">
        <w:trPr>
          <w:cnfStyle w:val="100000000000" w:firstRow="1" w:lastRow="0" w:firstColumn="0" w:lastColumn="0" w:oddVBand="0" w:evenVBand="0" w:oddHBand="0" w:evenHBand="0" w:firstRowFirstColumn="0" w:firstRowLastColumn="0" w:lastRowFirstColumn="0" w:lastRowLastColumn="0"/>
          <w:trHeight w:val="20"/>
        </w:trPr>
        <w:tc>
          <w:tcPr>
            <w:tcW w:w="2340" w:type="dxa"/>
            <w:tcMar>
              <w:top w:w="0" w:type="nil"/>
              <w:bottom w:w="0" w:type="nil"/>
              <w:right w:w="0" w:type="nil"/>
            </w:tcMar>
          </w:tcPr>
          <w:p w14:paraId="1C6AD0C6" w14:textId="77777777" w:rsidR="00C47EED" w:rsidRPr="00C114A8" w:rsidRDefault="00C47EED" w:rsidP="00D02EDF">
            <w:pPr>
              <w:pStyle w:val="TableColHeading"/>
              <w:jc w:val="left"/>
            </w:pPr>
            <w:r>
              <w:t>Transformation</w:t>
            </w:r>
          </w:p>
        </w:tc>
        <w:tc>
          <w:tcPr>
            <w:tcW w:w="3510" w:type="dxa"/>
          </w:tcPr>
          <w:p w14:paraId="48D7EBA9" w14:textId="77777777" w:rsidR="00C47EED" w:rsidRPr="00C114A8" w:rsidRDefault="00C47EED" w:rsidP="00D02EDF">
            <w:pPr>
              <w:pStyle w:val="TableColHeading"/>
            </w:pPr>
            <w:r>
              <w:t>Description</w:t>
            </w:r>
          </w:p>
        </w:tc>
        <w:tc>
          <w:tcPr>
            <w:tcW w:w="3510" w:type="dxa"/>
          </w:tcPr>
          <w:p w14:paraId="1E7880EC" w14:textId="77777777" w:rsidR="00C47EED" w:rsidRDefault="00C47EED" w:rsidP="00D02EDF">
            <w:pPr>
              <w:pStyle w:val="TableColHeading"/>
            </w:pPr>
            <w:r>
              <w:t>Implementation</w:t>
            </w:r>
          </w:p>
        </w:tc>
      </w:tr>
      <w:tr w:rsidR="00D22BE9" w:rsidRPr="00C114A8" w14:paraId="543610F5" w14:textId="77777777" w:rsidTr="7654BBD9">
        <w:tc>
          <w:tcPr>
            <w:tcW w:w="9360" w:type="dxa"/>
            <w:gridSpan w:val="3"/>
            <w:tcMar>
              <w:top w:w="0" w:type="nil"/>
              <w:bottom w:w="0" w:type="nil"/>
              <w:right w:w="0" w:type="nil"/>
            </w:tcMar>
          </w:tcPr>
          <w:p w14:paraId="30980CF6" w14:textId="4C8F5743" w:rsidR="00D22BE9" w:rsidRPr="00EF266D" w:rsidRDefault="0CDBF178" w:rsidP="0CDBF178">
            <w:pPr>
              <w:pStyle w:val="TableBody"/>
            </w:pPr>
            <w:r w:rsidRPr="0CDBF178">
              <w:rPr>
                <w:i/>
                <w:iCs/>
              </w:rPr>
              <w:t>Transformations to fuels and vehicles</w:t>
            </w:r>
          </w:p>
        </w:tc>
      </w:tr>
      <w:tr w:rsidR="00EF266D" w:rsidRPr="00C114A8" w14:paraId="726878AE" w14:textId="77777777" w:rsidTr="7654BBD9">
        <w:tc>
          <w:tcPr>
            <w:tcW w:w="2340" w:type="dxa"/>
            <w:tcMar>
              <w:top w:w="0" w:type="nil"/>
              <w:bottom w:w="0" w:type="nil"/>
              <w:right w:w="0" w:type="nil"/>
            </w:tcMar>
          </w:tcPr>
          <w:p w14:paraId="033E7E7F" w14:textId="074517ED" w:rsidR="00EF266D" w:rsidRPr="00EF266D" w:rsidRDefault="0CDBF178">
            <w:pPr>
              <w:pStyle w:val="TableBody"/>
            </w:pPr>
            <w:r>
              <w:t>Electrify light-duty road transport</w:t>
            </w:r>
          </w:p>
        </w:tc>
        <w:tc>
          <w:tcPr>
            <w:tcW w:w="3510" w:type="dxa"/>
            <w:vAlign w:val="bottom"/>
          </w:tcPr>
          <w:p w14:paraId="0F878A28" w14:textId="364BB6B4" w:rsidR="00EF266D" w:rsidRPr="00EF266D" w:rsidRDefault="0CDBF178" w:rsidP="0CDBF178">
            <w:pPr>
              <w:pStyle w:val="TableBody"/>
            </w:pPr>
            <w:r>
              <w:t>Private transportation from internal combustion light-duty vehicles (LDVs) is prevalent in high- and medium-income economies. At a fixed size, electric and partial electric vehicles are more efficient than traditional internal combustion engines and generally are powered by electric grids, shifting emissions to electricity production. Thus, they can be powered by renewable energy.</w:t>
            </w:r>
          </w:p>
        </w:tc>
        <w:tc>
          <w:tcPr>
            <w:tcW w:w="3510" w:type="dxa"/>
            <w:vAlign w:val="center"/>
          </w:tcPr>
          <w:p w14:paraId="5DCBE6F7" w14:textId="061814C4" w:rsidR="00EF266D" w:rsidRDefault="00EF266D" w:rsidP="00C7100C">
            <w:pPr>
              <w:pStyle w:val="TableBody"/>
            </w:pPr>
            <w:r w:rsidRPr="00EF266D">
              <w:t xml:space="preserve">70% </w:t>
            </w:r>
            <w:r w:rsidR="00244D58">
              <w:t xml:space="preserve">of LDVs are electric </w:t>
            </w:r>
            <w:r w:rsidRPr="00EF266D">
              <w:t>by 2050</w:t>
            </w:r>
          </w:p>
        </w:tc>
      </w:tr>
      <w:tr w:rsidR="00D22BE9" w:rsidRPr="00C114A8" w14:paraId="5861A87C" w14:textId="77777777" w:rsidTr="7654BBD9">
        <w:tc>
          <w:tcPr>
            <w:tcW w:w="2340" w:type="dxa"/>
            <w:tcBorders>
              <w:top w:val="nil"/>
              <w:bottom w:val="nil"/>
            </w:tcBorders>
            <w:tcMar>
              <w:top w:w="0" w:type="nil"/>
              <w:bottom w:w="0" w:type="nil"/>
              <w:right w:w="0" w:type="nil"/>
            </w:tcMar>
          </w:tcPr>
          <w:p w14:paraId="45E9A4B0" w14:textId="77777777" w:rsidR="00D22BE9" w:rsidRPr="00EF266D" w:rsidRDefault="00D22BE9" w:rsidP="006D2776">
            <w:pPr>
              <w:pStyle w:val="TableBody"/>
            </w:pPr>
            <w:r w:rsidRPr="00EF266D">
              <w:t>Fuel switch medium</w:t>
            </w:r>
            <w:r>
              <w:t>-</w:t>
            </w:r>
            <w:r w:rsidRPr="00EF266D">
              <w:t xml:space="preserve"> </w:t>
            </w:r>
            <w:r>
              <w:t>and heavy-duty</w:t>
            </w:r>
            <w:r w:rsidRPr="00EF266D">
              <w:t xml:space="preserve"> road transport</w:t>
            </w:r>
          </w:p>
        </w:tc>
        <w:tc>
          <w:tcPr>
            <w:tcW w:w="3510" w:type="dxa"/>
            <w:tcBorders>
              <w:top w:val="nil"/>
              <w:bottom w:val="nil"/>
            </w:tcBorders>
            <w:vAlign w:val="bottom"/>
          </w:tcPr>
          <w:p w14:paraId="2F5FDD4A" w14:textId="4261121D" w:rsidR="00D22BE9" w:rsidRPr="00EF266D" w:rsidRDefault="0CDBF178" w:rsidP="0CDBF178">
            <w:pPr>
              <w:pStyle w:val="TableBody"/>
            </w:pPr>
            <w:proofErr w:type="gramStart"/>
            <w:r>
              <w:t>Similar to</w:t>
            </w:r>
            <w:proofErr w:type="gramEnd"/>
            <w:r>
              <w:t xml:space="preserve"> light-duty transport, medium- and heavy-duty vehicles (MDVs and HDVs) can be powered by alternative fuels such as electricity and hydrogen, both of which are more efficient than fossil fuels and have zero emissions. Then emissions from these fuels are shifted to fuel production. </w:t>
            </w:r>
          </w:p>
        </w:tc>
        <w:tc>
          <w:tcPr>
            <w:tcW w:w="3510" w:type="dxa"/>
            <w:tcBorders>
              <w:top w:val="nil"/>
              <w:bottom w:val="nil"/>
            </w:tcBorders>
            <w:vAlign w:val="center"/>
          </w:tcPr>
          <w:p w14:paraId="0BB92233" w14:textId="6B6BBB09" w:rsidR="00D22BE9" w:rsidRDefault="0CDBF178">
            <w:pPr>
              <w:pStyle w:val="TableBody"/>
            </w:pPr>
            <w:r>
              <w:t>By 2050, 70% of medium-duty road transport is powered by electricity and 30% by hydrogen</w:t>
            </w:r>
          </w:p>
        </w:tc>
      </w:tr>
      <w:tr w:rsidR="00EF266D" w:rsidRPr="00C114A8" w14:paraId="750F3665" w14:textId="77777777" w:rsidTr="7654BBD9">
        <w:tc>
          <w:tcPr>
            <w:tcW w:w="2340" w:type="dxa"/>
            <w:tcBorders>
              <w:top w:val="nil"/>
              <w:bottom w:val="nil"/>
            </w:tcBorders>
            <w:tcMar>
              <w:top w:w="0" w:type="nil"/>
              <w:bottom w:w="0" w:type="nil"/>
              <w:right w:w="0" w:type="nil"/>
            </w:tcMar>
          </w:tcPr>
          <w:p w14:paraId="5A2DEA40" w14:textId="0F583891" w:rsidR="00EF266D" w:rsidRPr="00EF266D" w:rsidRDefault="00EF266D" w:rsidP="00062578">
            <w:pPr>
              <w:pStyle w:val="TableBody"/>
            </w:pPr>
            <w:r w:rsidRPr="00EF266D">
              <w:t>Electrify rail</w:t>
            </w:r>
          </w:p>
        </w:tc>
        <w:tc>
          <w:tcPr>
            <w:tcW w:w="3510" w:type="dxa"/>
            <w:tcBorders>
              <w:top w:val="nil"/>
              <w:bottom w:val="nil"/>
            </w:tcBorders>
            <w:vAlign w:val="bottom"/>
          </w:tcPr>
          <w:p w14:paraId="2E806F58" w14:textId="37902C83" w:rsidR="00EF266D" w:rsidRPr="00EF266D" w:rsidRDefault="0CDBF178" w:rsidP="0CDBF178">
            <w:pPr>
              <w:pStyle w:val="TableBody"/>
            </w:pPr>
            <w:r>
              <w:t xml:space="preserve">Electric rail is not uncommon in passenger rail, including advanced, high-speed rail. Increasing its prevalence in passenger and freight rail offsets emissions largely generated by burning diesel. </w:t>
            </w:r>
          </w:p>
        </w:tc>
        <w:tc>
          <w:tcPr>
            <w:tcW w:w="3510" w:type="dxa"/>
            <w:tcBorders>
              <w:top w:val="nil"/>
              <w:bottom w:val="nil"/>
            </w:tcBorders>
            <w:vAlign w:val="center"/>
          </w:tcPr>
          <w:p w14:paraId="103C517F" w14:textId="5E5456B6" w:rsidR="00EF266D" w:rsidRDefault="00244D58" w:rsidP="00C7100C">
            <w:pPr>
              <w:pStyle w:val="TableBody"/>
            </w:pPr>
            <w:r>
              <w:t xml:space="preserve">An </w:t>
            </w:r>
            <w:r w:rsidR="00EF266D" w:rsidRPr="00EF266D">
              <w:t xml:space="preserve">additional 25% </w:t>
            </w:r>
            <w:r>
              <w:t xml:space="preserve">of </w:t>
            </w:r>
            <w:r w:rsidR="00A52324">
              <w:t>rail transport is electrified by 2050</w:t>
            </w:r>
            <w:r w:rsidR="001C2FAD">
              <w:t>, compared to 2025</w:t>
            </w:r>
          </w:p>
        </w:tc>
      </w:tr>
      <w:tr w:rsidR="00EF266D" w:rsidRPr="00C114A8" w14:paraId="25406ABC" w14:textId="77777777" w:rsidTr="7654BBD9">
        <w:tc>
          <w:tcPr>
            <w:tcW w:w="2340" w:type="dxa"/>
            <w:tcBorders>
              <w:top w:val="nil"/>
              <w:bottom w:val="nil"/>
            </w:tcBorders>
            <w:tcMar>
              <w:top w:w="0" w:type="nil"/>
              <w:bottom w:w="0" w:type="nil"/>
              <w:right w:w="0" w:type="nil"/>
            </w:tcMar>
          </w:tcPr>
          <w:p w14:paraId="2C33320D" w14:textId="467ED98F" w:rsidR="00EF266D" w:rsidRPr="00EF266D" w:rsidRDefault="00EF266D" w:rsidP="00062578">
            <w:pPr>
              <w:pStyle w:val="TableBody"/>
            </w:pPr>
            <w:r w:rsidRPr="00EF266D">
              <w:t>Fuel switch maritime</w:t>
            </w:r>
          </w:p>
        </w:tc>
        <w:tc>
          <w:tcPr>
            <w:tcW w:w="3510" w:type="dxa"/>
            <w:tcBorders>
              <w:top w:val="nil"/>
              <w:bottom w:val="nil"/>
            </w:tcBorders>
            <w:vAlign w:val="bottom"/>
          </w:tcPr>
          <w:p w14:paraId="4313D67E" w14:textId="6CDB1EDA" w:rsidR="00EF266D" w:rsidRPr="00EF266D" w:rsidRDefault="0CDBF178" w:rsidP="0CDBF178">
            <w:pPr>
              <w:pStyle w:val="TableBody"/>
            </w:pPr>
            <w:r>
              <w:t>Maritime shipping accounts for approximately 3% of emissions globally. Shifting to fuels such as hydrogen in large freight ships and electricity in smaller passenger and local vehicles shifts emissions to fuel production, which can be generated using clean sources such as renewable energy and hydrogen electrolysis.</w:t>
            </w:r>
          </w:p>
        </w:tc>
        <w:tc>
          <w:tcPr>
            <w:tcW w:w="3510" w:type="dxa"/>
            <w:tcBorders>
              <w:top w:val="nil"/>
              <w:bottom w:val="nil"/>
            </w:tcBorders>
            <w:vAlign w:val="center"/>
          </w:tcPr>
          <w:p w14:paraId="6B187B55" w14:textId="6D3A0D08" w:rsidR="00EF266D" w:rsidRDefault="00F91E04" w:rsidP="00C7100C">
            <w:pPr>
              <w:pStyle w:val="TableBody"/>
            </w:pPr>
            <w:r>
              <w:t xml:space="preserve">By 2050, </w:t>
            </w:r>
            <w:r w:rsidR="00EF266D" w:rsidRPr="00EF266D">
              <w:t xml:space="preserve">70% </w:t>
            </w:r>
            <w:r>
              <w:t>of maritime transport is powered by</w:t>
            </w:r>
            <w:r w:rsidR="00EF266D" w:rsidRPr="00EF266D">
              <w:t xml:space="preserve"> hydrogen and 30% </w:t>
            </w:r>
            <w:r>
              <w:t>is powered by</w:t>
            </w:r>
            <w:r w:rsidR="00EF266D" w:rsidRPr="00EF266D">
              <w:t xml:space="preserve"> electricity</w:t>
            </w:r>
          </w:p>
        </w:tc>
      </w:tr>
      <w:tr w:rsidR="00EF266D" w:rsidRPr="00C114A8" w14:paraId="6DC5527E" w14:textId="77777777" w:rsidTr="7654BBD9">
        <w:tc>
          <w:tcPr>
            <w:tcW w:w="2340" w:type="dxa"/>
            <w:tcBorders>
              <w:top w:val="nil"/>
              <w:bottom w:val="nil"/>
            </w:tcBorders>
            <w:tcMar>
              <w:top w:w="0" w:type="nil"/>
              <w:bottom w:w="0" w:type="nil"/>
              <w:right w:w="0" w:type="nil"/>
            </w:tcMar>
          </w:tcPr>
          <w:p w14:paraId="45958F2C" w14:textId="6F4A8B25" w:rsidR="00EF266D" w:rsidRPr="00EF266D" w:rsidRDefault="00EF266D" w:rsidP="00062578">
            <w:pPr>
              <w:pStyle w:val="TableBody"/>
            </w:pPr>
            <w:r w:rsidRPr="00EF266D">
              <w:t>Increase transportation energy efficiency</w:t>
            </w:r>
          </w:p>
        </w:tc>
        <w:tc>
          <w:tcPr>
            <w:tcW w:w="3510" w:type="dxa"/>
            <w:tcBorders>
              <w:top w:val="nil"/>
              <w:bottom w:val="nil"/>
            </w:tcBorders>
            <w:vAlign w:val="bottom"/>
          </w:tcPr>
          <w:p w14:paraId="15A262CE" w14:textId="586702A8" w:rsidR="00EF266D" w:rsidRPr="00EF266D" w:rsidRDefault="0CDBF178" w:rsidP="00EF266D">
            <w:pPr>
              <w:pStyle w:val="TableBody"/>
            </w:pPr>
            <w:r>
              <w:t>Private vehicles can become more efficient. Increasing the efficiency of vehicles, independent of fuels, reduces the need for energy to satisfy a fixed demand.</w:t>
            </w:r>
          </w:p>
        </w:tc>
        <w:tc>
          <w:tcPr>
            <w:tcW w:w="3510" w:type="dxa"/>
            <w:tcBorders>
              <w:top w:val="nil"/>
              <w:bottom w:val="nil"/>
            </w:tcBorders>
            <w:vAlign w:val="center"/>
          </w:tcPr>
          <w:p w14:paraId="11B527D2" w14:textId="4D4FABF1" w:rsidR="00EF266D" w:rsidRDefault="004522CF" w:rsidP="00C7100C">
            <w:pPr>
              <w:pStyle w:val="TableBody"/>
            </w:pPr>
            <w:r>
              <w:t xml:space="preserve">By 2050, </w:t>
            </w:r>
            <w:r w:rsidR="00906177">
              <w:t xml:space="preserve">vehicle </w:t>
            </w:r>
            <w:r w:rsidR="001412D1">
              <w:t xml:space="preserve">energy efficiency increases by </w:t>
            </w:r>
            <w:r w:rsidR="00EF266D" w:rsidRPr="00EF266D">
              <w:t>25%</w:t>
            </w:r>
            <w:r w:rsidR="001412D1">
              <w:t xml:space="preserve"> </w:t>
            </w:r>
            <w:r>
              <w:t>over the nominal gains in efficiency in a traditional development future.</w:t>
            </w:r>
          </w:p>
        </w:tc>
      </w:tr>
      <w:tr w:rsidR="00D22BE9" w:rsidRPr="00C114A8" w14:paraId="432BA14A" w14:textId="77777777" w:rsidTr="7654BBD9">
        <w:tc>
          <w:tcPr>
            <w:tcW w:w="9360" w:type="dxa"/>
            <w:gridSpan w:val="3"/>
            <w:tcBorders>
              <w:top w:val="nil"/>
              <w:bottom w:val="nil"/>
            </w:tcBorders>
            <w:tcMar>
              <w:top w:w="0" w:type="nil"/>
              <w:bottom w:w="0" w:type="nil"/>
              <w:right w:w="0" w:type="nil"/>
            </w:tcMar>
          </w:tcPr>
          <w:p w14:paraId="109870CA" w14:textId="2C70F449" w:rsidR="00D22BE9" w:rsidRPr="00D22BE9" w:rsidRDefault="0CDBF178" w:rsidP="0CDBF178">
            <w:pPr>
              <w:pStyle w:val="TableBody"/>
              <w:rPr>
                <w:i/>
                <w:iCs/>
              </w:rPr>
            </w:pPr>
            <w:r w:rsidRPr="0CDBF178">
              <w:rPr>
                <w:i/>
                <w:iCs/>
              </w:rPr>
              <w:t>Mode shifting and occupancy</w:t>
            </w:r>
          </w:p>
        </w:tc>
      </w:tr>
      <w:tr w:rsidR="00156E15" w:rsidRPr="00C114A8" w14:paraId="50A57EBC" w14:textId="77777777" w:rsidTr="7654BBD9">
        <w:tc>
          <w:tcPr>
            <w:tcW w:w="2340" w:type="dxa"/>
            <w:tcBorders>
              <w:top w:val="nil"/>
              <w:bottom w:val="nil"/>
            </w:tcBorders>
            <w:tcMar>
              <w:top w:w="0" w:type="nil"/>
              <w:bottom w:w="0" w:type="nil"/>
              <w:right w:w="0" w:type="nil"/>
            </w:tcMar>
          </w:tcPr>
          <w:p w14:paraId="1BAAC757" w14:textId="77777777" w:rsidR="00156E15" w:rsidRPr="00EF266D" w:rsidRDefault="00156E15" w:rsidP="006D2776">
            <w:pPr>
              <w:pStyle w:val="TableBody"/>
            </w:pPr>
            <w:r w:rsidRPr="00EF266D">
              <w:lastRenderedPageBreak/>
              <w:t>Increase occupancy for private vehicles</w:t>
            </w:r>
          </w:p>
        </w:tc>
        <w:tc>
          <w:tcPr>
            <w:tcW w:w="3510" w:type="dxa"/>
            <w:tcBorders>
              <w:top w:val="nil"/>
              <w:bottom w:val="nil"/>
            </w:tcBorders>
            <w:vAlign w:val="bottom"/>
          </w:tcPr>
          <w:p w14:paraId="01AE1C64" w14:textId="68470D76" w:rsidR="00156E15" w:rsidRPr="00EF266D" w:rsidRDefault="00FE3C52" w:rsidP="006D2776">
            <w:pPr>
              <w:pStyle w:val="TableBody"/>
            </w:pPr>
            <w:r>
              <w:t>An increase in vehicle occupancy can achieve the same level of mobility in passenger kilometers while reducing the number of vehicle kilometers traveled.</w:t>
            </w:r>
          </w:p>
        </w:tc>
        <w:tc>
          <w:tcPr>
            <w:tcW w:w="3510" w:type="dxa"/>
            <w:tcBorders>
              <w:top w:val="nil"/>
              <w:bottom w:val="nil"/>
            </w:tcBorders>
            <w:vAlign w:val="center"/>
          </w:tcPr>
          <w:p w14:paraId="0F83DC42" w14:textId="7DE44D81" w:rsidR="00156E15" w:rsidRDefault="00FE3C52" w:rsidP="006D2776">
            <w:pPr>
              <w:pStyle w:val="TableBody"/>
            </w:pPr>
            <w:r>
              <w:t xml:space="preserve">By 2050, there </w:t>
            </w:r>
            <w:r w:rsidR="00156E15">
              <w:t xml:space="preserve">is a </w:t>
            </w:r>
            <w:r w:rsidR="00156E15" w:rsidRPr="00EF266D">
              <w:t>25% increase in occupancy</w:t>
            </w:r>
            <w:r w:rsidR="00156E15">
              <w:t xml:space="preserve"> of private vehicles</w:t>
            </w:r>
            <w:r w:rsidR="00156E15" w:rsidRPr="00EF266D">
              <w:t xml:space="preserve"> over </w:t>
            </w:r>
            <w:r w:rsidR="00156E15">
              <w:t>current rates</w:t>
            </w:r>
            <w:r w:rsidR="0042093E">
              <w:t xml:space="preserve">, consistent with </w:t>
            </w:r>
            <w:proofErr w:type="spellStart"/>
            <w:r w:rsidR="002B2F8B">
              <w:t>Grubler</w:t>
            </w:r>
            <w:proofErr w:type="spellEnd"/>
            <w:r w:rsidR="002B2F8B">
              <w:t xml:space="preserve"> et al. (2018)</w:t>
            </w:r>
            <w:r w:rsidR="00156E15">
              <w:t>.</w:t>
            </w:r>
          </w:p>
        </w:tc>
      </w:tr>
      <w:tr w:rsidR="00BB118C" w:rsidRPr="00C114A8" w14:paraId="131FAFD8" w14:textId="77777777" w:rsidTr="7654BBD9">
        <w:tc>
          <w:tcPr>
            <w:tcW w:w="2340" w:type="dxa"/>
            <w:tcBorders>
              <w:top w:val="nil"/>
              <w:bottom w:val="nil"/>
            </w:tcBorders>
            <w:tcMar>
              <w:top w:w="0" w:type="nil"/>
              <w:bottom w:w="0" w:type="nil"/>
              <w:right w:w="0" w:type="nil"/>
            </w:tcMar>
          </w:tcPr>
          <w:p w14:paraId="6C29A72E" w14:textId="357B1206" w:rsidR="00BB118C" w:rsidRPr="00EF266D" w:rsidRDefault="00BB118C" w:rsidP="00062578">
            <w:pPr>
              <w:pStyle w:val="TableBody"/>
            </w:pPr>
            <w:r w:rsidRPr="00EF266D">
              <w:t xml:space="preserve">Mode </w:t>
            </w:r>
            <w:proofErr w:type="gramStart"/>
            <w:r w:rsidRPr="00EF266D">
              <w:t>shift</w:t>
            </w:r>
            <w:proofErr w:type="gramEnd"/>
            <w:r w:rsidRPr="00EF266D">
              <w:t xml:space="preserve"> </w:t>
            </w:r>
            <w:r>
              <w:t xml:space="preserve">local </w:t>
            </w:r>
            <w:r w:rsidRPr="00EF266D">
              <w:t>passenger vehicles to others</w:t>
            </w:r>
          </w:p>
        </w:tc>
        <w:tc>
          <w:tcPr>
            <w:tcW w:w="3510" w:type="dxa"/>
            <w:vMerge w:val="restart"/>
            <w:tcBorders>
              <w:top w:val="nil"/>
            </w:tcBorders>
          </w:tcPr>
          <w:p w14:paraId="1B88939B" w14:textId="3AF2026F" w:rsidR="00BB118C" w:rsidRPr="00EF266D" w:rsidRDefault="7654BBD9" w:rsidP="0CDBF178">
            <w:pPr>
              <w:pStyle w:val="TableBody"/>
            </w:pPr>
            <w:r>
              <w:t xml:space="preserve">These transformations shift passenger travel from high-emissions-intensity modes (e.g., private auto) to lower-intensity modes (e.g., bus). Consistent with </w:t>
            </w:r>
            <w:r w:rsidRPr="00A46C79">
              <w:rPr>
                <w:highlight w:val="green"/>
              </w:rPr>
              <w:t>Vergara et al., (2019)</w:t>
            </w:r>
            <w:r>
              <w:t>, we exclude mode shifts to rail given the sparse rail network in Latin America and the lack of data on expanding the network to accommodate mode shifts.</w:t>
            </w:r>
          </w:p>
          <w:p w14:paraId="14FF8354" w14:textId="582BB59E" w:rsidR="00BB118C" w:rsidRPr="00EF266D" w:rsidRDefault="00BB118C" w:rsidP="004522CF">
            <w:pPr>
              <w:pStyle w:val="TableBody"/>
            </w:pPr>
          </w:p>
        </w:tc>
        <w:tc>
          <w:tcPr>
            <w:tcW w:w="3510" w:type="dxa"/>
            <w:tcBorders>
              <w:top w:val="nil"/>
              <w:bottom w:val="nil"/>
            </w:tcBorders>
            <w:vAlign w:val="center"/>
          </w:tcPr>
          <w:p w14:paraId="295DEB7C" w14:textId="3EF81797" w:rsidR="00BB118C" w:rsidRDefault="48B0C125" w:rsidP="0CDBF178">
            <w:pPr>
              <w:pStyle w:val="TableBody"/>
            </w:pPr>
            <w:r>
              <w:t xml:space="preserve">A total of 30% of passenger travel (passenger-kilometer or </w:t>
            </w:r>
            <w:proofErr w:type="spellStart"/>
            <w:r>
              <w:t>pkm</w:t>
            </w:r>
            <w:proofErr w:type="spellEnd"/>
            <w:r>
              <w:t>) in private vehicles shifts to other modes; 5% of passenger travel shifts to non-motorized modes; 10% shifts to powered bikes and motorcycles; and 15% shifts to transit. This is broadly consistent with trends described by Papaioannou and Windisch (2022).</w:t>
            </w:r>
          </w:p>
        </w:tc>
      </w:tr>
      <w:tr w:rsidR="00BB118C" w:rsidRPr="00C114A8" w14:paraId="739E8FAB" w14:textId="77777777" w:rsidTr="7654BBD9">
        <w:tc>
          <w:tcPr>
            <w:tcW w:w="0" w:type="dxa"/>
            <w:tcBorders>
              <w:top w:val="nil"/>
              <w:bottom w:val="nil"/>
            </w:tcBorders>
            <w:tcMar>
              <w:top w:w="0" w:type="nil"/>
              <w:bottom w:w="0" w:type="nil"/>
              <w:right w:w="0" w:type="nil"/>
            </w:tcMar>
          </w:tcPr>
          <w:p w14:paraId="2E2B8189" w14:textId="0824BAE5" w:rsidR="00BB118C" w:rsidRPr="00EF266D" w:rsidRDefault="00BB118C" w:rsidP="00062578">
            <w:pPr>
              <w:pStyle w:val="TableBody"/>
            </w:pPr>
            <w:r w:rsidRPr="00EF266D">
              <w:t xml:space="preserve">Mode </w:t>
            </w:r>
            <w:proofErr w:type="gramStart"/>
            <w:r w:rsidRPr="00EF266D">
              <w:t>shift</w:t>
            </w:r>
            <w:proofErr w:type="gramEnd"/>
            <w:r w:rsidRPr="00EF266D">
              <w:t xml:space="preserve"> regional passenger travel</w:t>
            </w:r>
          </w:p>
        </w:tc>
        <w:tc>
          <w:tcPr>
            <w:tcW w:w="0" w:type="dxa"/>
            <w:vMerge/>
            <w:vAlign w:val="bottom"/>
          </w:tcPr>
          <w:p w14:paraId="56151DBF" w14:textId="7385ABE4" w:rsidR="00BB118C" w:rsidRPr="00EF266D" w:rsidRDefault="00BB118C" w:rsidP="004522CF">
            <w:pPr>
              <w:pStyle w:val="TableBody"/>
            </w:pPr>
          </w:p>
        </w:tc>
        <w:tc>
          <w:tcPr>
            <w:tcW w:w="0" w:type="dxa"/>
            <w:tcBorders>
              <w:top w:val="nil"/>
              <w:bottom w:val="nil"/>
            </w:tcBorders>
            <w:vAlign w:val="center"/>
          </w:tcPr>
          <w:p w14:paraId="0323130D" w14:textId="2471BD60" w:rsidR="00BB118C" w:rsidRDefault="48B0C125" w:rsidP="00A46C79">
            <w:pPr>
              <w:pStyle w:val="TableBody"/>
            </w:pPr>
            <w:r>
              <w:t>A total of 10% of aviation passenger travel and 20% of private vehicle travel (</w:t>
            </w:r>
            <w:proofErr w:type="spellStart"/>
            <w:r>
              <w:t>pkms</w:t>
            </w:r>
            <w:proofErr w:type="spellEnd"/>
            <w:r>
              <w:t>) shifts to bus.</w:t>
            </w:r>
          </w:p>
        </w:tc>
      </w:tr>
      <w:tr w:rsidR="004522CF" w:rsidRPr="00560F69" w14:paraId="70EF5833" w14:textId="77777777" w:rsidTr="7654BBD9">
        <w:tc>
          <w:tcPr>
            <w:tcW w:w="9360" w:type="dxa"/>
            <w:gridSpan w:val="3"/>
            <w:tcBorders>
              <w:top w:val="single" w:sz="4" w:space="0" w:color="auto"/>
              <w:bottom w:val="nil"/>
            </w:tcBorders>
            <w:tcMar>
              <w:top w:w="0" w:type="nil"/>
              <w:bottom w:w="0" w:type="nil"/>
              <w:right w:w="0" w:type="nil"/>
            </w:tcMar>
          </w:tcPr>
          <w:p w14:paraId="334B75B4" w14:textId="6AB3A7B8" w:rsidR="004522CF" w:rsidRPr="00A46C79" w:rsidRDefault="0CDBF178">
            <w:pPr>
              <w:pStyle w:val="TableBody"/>
              <w:rPr>
                <w:lang w:val="fr-FR"/>
              </w:rPr>
            </w:pPr>
            <w:proofErr w:type="gramStart"/>
            <w:r w:rsidRPr="00A46C79">
              <w:rPr>
                <w:lang w:val="fr-FR"/>
              </w:rPr>
              <w:t>Source:</w:t>
            </w:r>
            <w:proofErr w:type="gramEnd"/>
            <w:r w:rsidRPr="00A46C79">
              <w:rPr>
                <w:lang w:val="fr-FR"/>
              </w:rPr>
              <w:t xml:space="preserve"> https://www.iea.org/articles/changes-in-transport-behaviour-during-the-covid-19-crisis</w:t>
            </w:r>
          </w:p>
        </w:tc>
      </w:tr>
    </w:tbl>
    <w:p w14:paraId="38F14EDA" w14:textId="77777777" w:rsidR="00C47EED" w:rsidRPr="00A46C79" w:rsidRDefault="00C47EED" w:rsidP="00C47EED">
      <w:pPr>
        <w:rPr>
          <w:lang w:val="fr-FR"/>
        </w:rPr>
      </w:pPr>
    </w:p>
    <w:p w14:paraId="499AB861" w14:textId="75A25F90" w:rsidR="008E7E63" w:rsidRDefault="0CDBF178" w:rsidP="0CDBF178">
      <w:pPr>
        <w:pStyle w:val="Heading9"/>
      </w:pPr>
      <w:bookmarkStart w:id="83" w:name="_Toc152088335"/>
      <w:r w:rsidRPr="0CDBF178">
        <w:rPr>
          <w:rFonts w:eastAsia="Arial"/>
        </w:rPr>
        <w:t xml:space="preserve">Table </w:t>
      </w:r>
      <w:proofErr w:type="gramStart"/>
      <w:r w:rsidRPr="0CDBF178">
        <w:rPr>
          <w:rFonts w:eastAsia="Arial"/>
        </w:rPr>
        <w:t>F.3  Transforming</w:t>
      </w:r>
      <w:proofErr w:type="gramEnd"/>
      <w:r w:rsidRPr="0CDBF178">
        <w:rPr>
          <w:rFonts w:eastAsia="Arial"/>
        </w:rPr>
        <w:t xml:space="preserve"> transportation’s technical costs and benefits</w:t>
      </w:r>
      <w:bookmarkEnd w:id="83"/>
      <w:r w:rsidRPr="0CDBF178">
        <w:rPr>
          <w:rFonts w:eastAsia="Arial"/>
        </w:rPr>
        <w:t xml:space="preserve"> </w:t>
      </w:r>
    </w:p>
    <w:tbl>
      <w:tblPr>
        <w:tblStyle w:val="TableGrid"/>
        <w:tblW w:w="0" w:type="auto"/>
        <w:tblLayout w:type="fixed"/>
        <w:tblLook w:val="0620" w:firstRow="1" w:lastRow="0" w:firstColumn="0" w:lastColumn="0" w:noHBand="1" w:noVBand="1"/>
      </w:tblPr>
      <w:tblGrid>
        <w:gridCol w:w="2610"/>
        <w:gridCol w:w="2520"/>
        <w:gridCol w:w="4230"/>
      </w:tblGrid>
      <w:tr w:rsidR="008E7E63" w14:paraId="29A8AF7A"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610" w:type="dxa"/>
            <w:tcBorders>
              <w:left w:val="nil"/>
              <w:right w:val="nil"/>
            </w:tcBorders>
            <w:vAlign w:val="bottom"/>
          </w:tcPr>
          <w:p w14:paraId="2F8AF5DF" w14:textId="77777777" w:rsidR="008E7E63" w:rsidRDefault="008E7E63" w:rsidP="006D2776">
            <w:r w:rsidRPr="37345C14">
              <w:rPr>
                <w:rFonts w:eastAsia="Arial" w:cs="Arial"/>
                <w:b/>
                <w:bCs/>
                <w:sz w:val="18"/>
                <w:szCs w:val="18"/>
              </w:rPr>
              <w:t>Transformation</w:t>
            </w:r>
          </w:p>
        </w:tc>
        <w:tc>
          <w:tcPr>
            <w:tcW w:w="2520" w:type="dxa"/>
            <w:tcBorders>
              <w:left w:val="nil"/>
              <w:right w:val="nil"/>
            </w:tcBorders>
          </w:tcPr>
          <w:p w14:paraId="0107458E" w14:textId="5C09BAA7" w:rsidR="008E7E63" w:rsidRDefault="0CDBF178">
            <w:pPr>
              <w:jc w:val="center"/>
            </w:pPr>
            <w:r w:rsidRPr="0CDBF178">
              <w:rPr>
                <w:rFonts w:eastAsia="Arial" w:cs="Arial"/>
                <w:b/>
                <w:bCs/>
                <w:sz w:val="18"/>
                <w:szCs w:val="18"/>
              </w:rPr>
              <w:t>Technical costs</w:t>
            </w:r>
            <w:r w:rsidR="008E7E63">
              <w:br/>
            </w:r>
            <w:r w:rsidRPr="0CDBF178">
              <w:rPr>
                <w:rFonts w:eastAsia="Arial" w:cs="Arial"/>
                <w:b/>
                <w:bCs/>
                <w:sz w:val="18"/>
                <w:szCs w:val="18"/>
              </w:rPr>
              <w:t>(LAC average in 2019)</w:t>
            </w:r>
          </w:p>
        </w:tc>
        <w:tc>
          <w:tcPr>
            <w:tcW w:w="4230" w:type="dxa"/>
            <w:tcBorders>
              <w:left w:val="nil"/>
              <w:right w:val="nil"/>
            </w:tcBorders>
          </w:tcPr>
          <w:p w14:paraId="0F040E63" w14:textId="5CE323DB" w:rsidR="008E7E63" w:rsidRDefault="0CDBF178" w:rsidP="0CDBF178">
            <w:pPr>
              <w:jc w:val="center"/>
            </w:pPr>
            <w:r w:rsidRPr="0CDBF178">
              <w:rPr>
                <w:rFonts w:eastAsia="Arial" w:cs="Arial"/>
                <w:b/>
                <w:bCs/>
                <w:sz w:val="18"/>
                <w:szCs w:val="18"/>
              </w:rPr>
              <w:t>Notes and data sources</w:t>
            </w:r>
          </w:p>
        </w:tc>
      </w:tr>
      <w:tr w:rsidR="008E7E63" w14:paraId="3A3B8678" w14:textId="77777777" w:rsidTr="7654BBD9">
        <w:tc>
          <w:tcPr>
            <w:tcW w:w="2610" w:type="dxa"/>
            <w:tcBorders>
              <w:top w:val="nil"/>
              <w:left w:val="nil"/>
              <w:bottom w:val="nil"/>
              <w:right w:val="nil"/>
            </w:tcBorders>
          </w:tcPr>
          <w:p w14:paraId="7A2F2A73" w14:textId="493C0F2F" w:rsidR="008E7E63" w:rsidRDefault="0CDBF178" w:rsidP="006D2776">
            <w:pPr>
              <w:pStyle w:val="TableBody"/>
            </w:pPr>
            <w:r w:rsidRPr="0CDBF178">
              <w:rPr>
                <w:rFonts w:eastAsia="Arial"/>
              </w:rPr>
              <w:t>Electrify LDVs</w:t>
            </w:r>
          </w:p>
        </w:tc>
        <w:tc>
          <w:tcPr>
            <w:tcW w:w="2520" w:type="dxa"/>
            <w:tcBorders>
              <w:top w:val="nil"/>
              <w:left w:val="nil"/>
              <w:bottom w:val="nil"/>
              <w:right w:val="nil"/>
            </w:tcBorders>
          </w:tcPr>
          <w:p w14:paraId="27691807" w14:textId="180FC058" w:rsidR="005932D5" w:rsidRDefault="48B0C125" w:rsidP="005932D5">
            <w:pPr>
              <w:pStyle w:val="TableBody"/>
              <w:rPr>
                <w:rFonts w:eastAsia="Arial"/>
              </w:rPr>
            </w:pPr>
            <w:r w:rsidRPr="48B0C125">
              <w:rPr>
                <w:rFonts w:eastAsia="Arial"/>
              </w:rPr>
              <w:t>$0.039/vehicle-kilometer (</w:t>
            </w:r>
            <w:proofErr w:type="spellStart"/>
            <w:r w:rsidRPr="48B0C125">
              <w:rPr>
                <w:rFonts w:eastAsia="Arial"/>
              </w:rPr>
              <w:t>vkm</w:t>
            </w:r>
            <w:proofErr w:type="spellEnd"/>
            <w:r w:rsidRPr="48B0C125">
              <w:rPr>
                <w:rFonts w:eastAsia="Arial"/>
              </w:rPr>
              <w:t>) in capital cost, declining over time</w:t>
            </w:r>
            <w:r w:rsidR="005932D5">
              <w:br/>
            </w:r>
          </w:p>
          <w:p w14:paraId="2EDE3186" w14:textId="7F8DE002" w:rsidR="008E7E63" w:rsidRDefault="0CDBF178" w:rsidP="006D2776">
            <w:pPr>
              <w:pStyle w:val="TableBody"/>
            </w:pPr>
            <w:r w:rsidRPr="0CDBF178">
              <w:rPr>
                <w:rFonts w:eastAsia="Arial"/>
              </w:rPr>
              <w:t>$0.012/</w:t>
            </w:r>
            <w:proofErr w:type="spellStart"/>
            <w:r w:rsidRPr="0CDBF178">
              <w:rPr>
                <w:rFonts w:eastAsia="Arial"/>
              </w:rPr>
              <w:t>vkm</w:t>
            </w:r>
            <w:proofErr w:type="spellEnd"/>
            <w:r w:rsidRPr="0CDBF178">
              <w:rPr>
                <w:rFonts w:eastAsia="Arial"/>
              </w:rPr>
              <w:t xml:space="preserve"> in maintenance cost (i.e., savings)</w:t>
            </w:r>
          </w:p>
        </w:tc>
        <w:tc>
          <w:tcPr>
            <w:tcW w:w="4230" w:type="dxa"/>
            <w:tcBorders>
              <w:top w:val="nil"/>
              <w:left w:val="nil"/>
              <w:bottom w:val="nil"/>
              <w:right w:val="nil"/>
            </w:tcBorders>
          </w:tcPr>
          <w:p w14:paraId="020CA800" w14:textId="3A698B9A" w:rsidR="005932D5" w:rsidRDefault="7654BBD9" w:rsidP="7654BBD9">
            <w:pPr>
              <w:pStyle w:val="TableBody"/>
              <w:rPr>
                <w:rFonts w:eastAsia="Arial"/>
              </w:rPr>
            </w:pPr>
            <w:r w:rsidRPr="7654BBD9">
              <w:rPr>
                <w:rFonts w:eastAsia="Arial"/>
              </w:rPr>
              <w:t>These costs reflect the marginal capital and maintenance costs of EVs versus internal combustion engine (ICE) LDVs per km. In the US, light-duty EVs are estimated to have $</w:t>
            </w:r>
            <w:proofErr w:type="gramStart"/>
            <w:r w:rsidRPr="7654BBD9">
              <w:rPr>
                <w:rFonts w:eastAsia="Arial"/>
              </w:rPr>
              <w:t>12,000 of</w:t>
            </w:r>
            <w:proofErr w:type="gramEnd"/>
            <w:r w:rsidRPr="7654BBD9">
              <w:rPr>
                <w:rFonts w:eastAsia="Arial"/>
              </w:rPr>
              <w:t xml:space="preserve"> higher up-front cost (Baik et al., 2019) than traditional LDVs and have $949/year lower maintenance costs (AAA, 2019) than their ICE counterparts. We approximate that charging infrastructure may involve an additional $1,000 in capital costs per EV, consistent with data from the US on the costs (</w:t>
            </w:r>
            <w:proofErr w:type="spellStart"/>
            <w:r w:rsidRPr="7654BBD9">
              <w:rPr>
                <w:rFonts w:eastAsia="Arial"/>
              </w:rPr>
              <w:t>Purnazeri</w:t>
            </w:r>
            <w:proofErr w:type="spellEnd"/>
            <w:r w:rsidRPr="7654BBD9">
              <w:rPr>
                <w:rFonts w:eastAsia="Arial"/>
              </w:rPr>
              <w:t>, 2022) and deployment of charging stations (</w:t>
            </w:r>
            <w:proofErr w:type="spellStart"/>
            <w:r w:rsidRPr="7654BBD9">
              <w:rPr>
                <w:rFonts w:eastAsia="Arial"/>
              </w:rPr>
              <w:t>Evadoption</w:t>
            </w:r>
            <w:proofErr w:type="spellEnd"/>
            <w:r w:rsidRPr="7654BBD9">
              <w:rPr>
                <w:rFonts w:eastAsia="Arial"/>
              </w:rPr>
              <w:t xml:space="preserve">, 2021). The per-km capital cost shown in the table assumes </w:t>
            </w:r>
            <w:r w:rsidRPr="00D914A0">
              <w:rPr>
                <w:rFonts w:eastAsia="Arial"/>
              </w:rPr>
              <w:t>vehicles are driven 15,000 km/year (Ecola et al., 2008</w:t>
            </w:r>
            <w:r w:rsidR="000B5D75" w:rsidRPr="00D914A0">
              <w:rPr>
                <w:rFonts w:eastAsia="Arial"/>
              </w:rPr>
              <w:t>, Ecola et al, 2012, Ecola et al., 2014</w:t>
            </w:r>
            <w:r w:rsidRPr="00D914A0">
              <w:rPr>
                <w:rFonts w:eastAsia="Arial"/>
              </w:rPr>
              <w:t>) and have a</w:t>
            </w:r>
            <w:r w:rsidRPr="7654BBD9">
              <w:rPr>
                <w:rFonts w:eastAsia="Arial"/>
              </w:rPr>
              <w:t xml:space="preserve"> 12-year lifespan, consistent with data on vehicle lifetimes in the US (BTS, undated). Then costs are adjusted to 2019 costs for LAC.</w:t>
            </w:r>
          </w:p>
          <w:p w14:paraId="1D1E9B60" w14:textId="5037A6F3" w:rsidR="008E7E63" w:rsidRDefault="008E7E63" w:rsidP="006D2776">
            <w:pPr>
              <w:pStyle w:val="TableBody"/>
            </w:pPr>
          </w:p>
        </w:tc>
      </w:tr>
      <w:tr w:rsidR="00861043" w14:paraId="1C68619B" w14:textId="77777777" w:rsidTr="7654BBD9">
        <w:tc>
          <w:tcPr>
            <w:tcW w:w="2610" w:type="dxa"/>
            <w:tcBorders>
              <w:top w:val="nil"/>
              <w:left w:val="nil"/>
              <w:bottom w:val="nil"/>
              <w:right w:val="nil"/>
            </w:tcBorders>
          </w:tcPr>
          <w:p w14:paraId="467B4F1A" w14:textId="1968E766" w:rsidR="00861043" w:rsidRDefault="0CDBF178">
            <w:pPr>
              <w:pStyle w:val="TableBody"/>
              <w:rPr>
                <w:rFonts w:eastAsia="Arial"/>
              </w:rPr>
            </w:pPr>
            <w:r w:rsidRPr="0CDBF178">
              <w:rPr>
                <w:rFonts w:eastAsia="Arial"/>
              </w:rPr>
              <w:t>Fuel switch MDVs and HDVs</w:t>
            </w:r>
          </w:p>
        </w:tc>
        <w:tc>
          <w:tcPr>
            <w:tcW w:w="2520" w:type="dxa"/>
            <w:tcBorders>
              <w:top w:val="nil"/>
              <w:left w:val="nil"/>
              <w:bottom w:val="nil"/>
              <w:right w:val="nil"/>
            </w:tcBorders>
          </w:tcPr>
          <w:p w14:paraId="70375400" w14:textId="6FE36794" w:rsidR="00861043" w:rsidRDefault="00861043" w:rsidP="005932D5">
            <w:pPr>
              <w:pStyle w:val="TableBody"/>
              <w:rPr>
                <w:rFonts w:eastAsia="Arial"/>
              </w:rPr>
            </w:pPr>
            <w:r>
              <w:rPr>
                <w:rFonts w:eastAsia="Arial"/>
              </w:rPr>
              <w:t>$0.0</w:t>
            </w:r>
            <w:r w:rsidR="0034494E">
              <w:rPr>
                <w:rFonts w:eastAsia="Arial"/>
              </w:rPr>
              <w:t>42</w:t>
            </w:r>
            <w:r>
              <w:rPr>
                <w:rFonts w:eastAsia="Arial"/>
              </w:rPr>
              <w:t>/</w:t>
            </w:r>
            <w:proofErr w:type="spellStart"/>
            <w:r w:rsidR="00D73686">
              <w:rPr>
                <w:rFonts w:eastAsia="Arial"/>
              </w:rPr>
              <w:t>v</w:t>
            </w:r>
            <w:r>
              <w:rPr>
                <w:rFonts w:eastAsia="Arial"/>
              </w:rPr>
              <w:t>km</w:t>
            </w:r>
            <w:proofErr w:type="spellEnd"/>
            <w:r>
              <w:rPr>
                <w:rFonts w:eastAsia="Arial"/>
              </w:rPr>
              <w:t xml:space="preserve"> + </w:t>
            </w:r>
            <w:r w:rsidRPr="00F05956">
              <w:rPr>
                <w:rFonts w:eastAsia="Arial"/>
              </w:rPr>
              <w:t>$</w:t>
            </w:r>
            <w:r w:rsidR="00C9033E">
              <w:rPr>
                <w:rFonts w:eastAsia="Arial"/>
              </w:rPr>
              <w:t>0</w:t>
            </w:r>
            <w:r w:rsidRPr="00F05956">
              <w:rPr>
                <w:rFonts w:eastAsia="Arial"/>
              </w:rPr>
              <w:t>.0</w:t>
            </w:r>
            <w:r w:rsidR="00C86F73">
              <w:rPr>
                <w:rFonts w:eastAsia="Arial"/>
              </w:rPr>
              <w:t>11</w:t>
            </w:r>
            <w:r w:rsidRPr="00F05956">
              <w:rPr>
                <w:rFonts w:eastAsia="Arial"/>
              </w:rPr>
              <w:t>/kWh</w:t>
            </w:r>
            <w:r>
              <w:rPr>
                <w:rFonts w:eastAsia="Arial"/>
              </w:rPr>
              <w:t xml:space="preserve"> in capital cost, declining over time</w:t>
            </w:r>
          </w:p>
          <w:p w14:paraId="79741C67" w14:textId="77777777" w:rsidR="00861043" w:rsidRDefault="00861043" w:rsidP="005932D5">
            <w:pPr>
              <w:pStyle w:val="TableBody"/>
              <w:rPr>
                <w:rFonts w:eastAsia="Arial"/>
              </w:rPr>
            </w:pPr>
          </w:p>
          <w:p w14:paraId="039662EE" w14:textId="2F8044C9" w:rsidR="00861043" w:rsidRDefault="0CDBF178" w:rsidP="005932D5">
            <w:pPr>
              <w:pStyle w:val="TableBody"/>
              <w:rPr>
                <w:rFonts w:eastAsia="Arial"/>
              </w:rPr>
            </w:pPr>
            <w:r w:rsidRPr="0CDBF178">
              <w:rPr>
                <w:rFonts w:eastAsia="Arial"/>
              </w:rPr>
              <w:t>$0.02/</w:t>
            </w:r>
            <w:proofErr w:type="spellStart"/>
            <w:r w:rsidRPr="0CDBF178">
              <w:rPr>
                <w:rFonts w:eastAsia="Arial"/>
              </w:rPr>
              <w:t>vkm</w:t>
            </w:r>
            <w:proofErr w:type="spellEnd"/>
            <w:r w:rsidRPr="0CDBF178">
              <w:rPr>
                <w:rFonts w:eastAsia="Arial"/>
              </w:rPr>
              <w:t xml:space="preserve"> in maintenance cost (i.e., savings)</w:t>
            </w:r>
          </w:p>
        </w:tc>
        <w:tc>
          <w:tcPr>
            <w:tcW w:w="4230" w:type="dxa"/>
            <w:tcBorders>
              <w:top w:val="nil"/>
              <w:left w:val="nil"/>
              <w:bottom w:val="nil"/>
              <w:right w:val="nil"/>
            </w:tcBorders>
          </w:tcPr>
          <w:p w14:paraId="3B5DE6B4" w14:textId="1E95C3C2" w:rsidR="00861043" w:rsidRDefault="7654BBD9" w:rsidP="0CDBF178">
            <w:pPr>
              <w:pStyle w:val="TableBody"/>
              <w:rPr>
                <w:rFonts w:eastAsia="Arial"/>
              </w:rPr>
            </w:pPr>
            <w:r w:rsidRPr="7654BBD9">
              <w:rPr>
                <w:rFonts w:eastAsia="Arial"/>
              </w:rPr>
              <w:t>Burke et al. (2022) provide marginal capital and maintenance costs of a variety of medium- and heavy-duty battery electric vehicles (BEVs) versus ICEs (Table 19a, p. 50), and the cost of charging infrastructure (p. 22). Using a stated 12-year lifetime, we calculate a simple average of these costs across all vehicle types. Then costs are adjusted to 2019 costs for LAC.</w:t>
            </w:r>
          </w:p>
        </w:tc>
      </w:tr>
      <w:tr w:rsidR="00161C0F" w14:paraId="2E3E039B" w14:textId="77777777" w:rsidTr="7654BBD9">
        <w:tc>
          <w:tcPr>
            <w:tcW w:w="2610" w:type="dxa"/>
            <w:tcBorders>
              <w:top w:val="nil"/>
              <w:left w:val="nil"/>
              <w:bottom w:val="nil"/>
              <w:right w:val="nil"/>
            </w:tcBorders>
          </w:tcPr>
          <w:p w14:paraId="7C2ADC65" w14:textId="0C51B026" w:rsidR="00161C0F" w:rsidRDefault="0CDBF178">
            <w:pPr>
              <w:pStyle w:val="TableBody"/>
              <w:rPr>
                <w:rFonts w:eastAsia="Arial"/>
              </w:rPr>
            </w:pPr>
            <w:r w:rsidRPr="0CDBF178">
              <w:rPr>
                <w:rFonts w:eastAsia="Arial"/>
              </w:rPr>
              <w:t>Electrify rail</w:t>
            </w:r>
          </w:p>
        </w:tc>
        <w:tc>
          <w:tcPr>
            <w:tcW w:w="2520" w:type="dxa"/>
            <w:tcBorders>
              <w:top w:val="nil"/>
              <w:left w:val="nil"/>
              <w:bottom w:val="nil"/>
              <w:right w:val="nil"/>
            </w:tcBorders>
          </w:tcPr>
          <w:p w14:paraId="1356017C" w14:textId="5AB294AC" w:rsidR="00161C0F" w:rsidRDefault="48B0C125" w:rsidP="00A46C79">
            <w:pPr>
              <w:pStyle w:val="TableBody"/>
              <w:rPr>
                <w:rFonts w:eastAsia="Arial"/>
              </w:rPr>
            </w:pPr>
            <w:r w:rsidRPr="48B0C125">
              <w:rPr>
                <w:rFonts w:eastAsia="Arial"/>
              </w:rPr>
              <w:t>$0.0013/metric ton per kilometer (</w:t>
            </w:r>
            <w:proofErr w:type="spellStart"/>
            <w:r w:rsidRPr="48B0C125">
              <w:rPr>
                <w:rFonts w:eastAsia="Arial"/>
              </w:rPr>
              <w:t>mtkm</w:t>
            </w:r>
            <w:proofErr w:type="spellEnd"/>
            <w:r w:rsidRPr="48B0C125">
              <w:rPr>
                <w:rFonts w:eastAsia="Arial"/>
              </w:rPr>
              <w:t xml:space="preserve">) or </w:t>
            </w:r>
            <w:proofErr w:type="spellStart"/>
            <w:r w:rsidRPr="48B0C125">
              <w:rPr>
                <w:rFonts w:eastAsia="Arial"/>
              </w:rPr>
              <w:t>pkm</w:t>
            </w:r>
            <w:proofErr w:type="spellEnd"/>
            <w:r w:rsidRPr="48B0C125">
              <w:rPr>
                <w:rFonts w:eastAsia="Arial"/>
              </w:rPr>
              <w:t xml:space="preserve"> in capital cost</w:t>
            </w:r>
          </w:p>
          <w:p w14:paraId="6583B003" w14:textId="77777777" w:rsidR="00161C0F" w:rsidRDefault="00161C0F" w:rsidP="006D2776">
            <w:pPr>
              <w:pStyle w:val="TableBody"/>
              <w:rPr>
                <w:rFonts w:eastAsia="Arial"/>
              </w:rPr>
            </w:pPr>
          </w:p>
          <w:p w14:paraId="08044540" w14:textId="50C91A14" w:rsidR="00161C0F" w:rsidRDefault="48B0C125" w:rsidP="00A46C79">
            <w:pPr>
              <w:pStyle w:val="TableBody"/>
              <w:rPr>
                <w:rFonts w:eastAsia="Arial"/>
              </w:rPr>
            </w:pPr>
            <w:r w:rsidRPr="48B0C125">
              <w:rPr>
                <w:rFonts w:eastAsia="Arial"/>
              </w:rPr>
              <w:lastRenderedPageBreak/>
              <w:t>$0.0002/</w:t>
            </w:r>
            <w:proofErr w:type="spellStart"/>
            <w:r w:rsidRPr="48B0C125">
              <w:rPr>
                <w:rFonts w:eastAsia="Arial"/>
              </w:rPr>
              <w:t>mtkm</w:t>
            </w:r>
            <w:proofErr w:type="spellEnd"/>
            <w:r w:rsidRPr="48B0C125">
              <w:rPr>
                <w:rFonts w:eastAsia="Arial"/>
              </w:rPr>
              <w:t xml:space="preserve"> or </w:t>
            </w:r>
            <w:proofErr w:type="spellStart"/>
            <w:r w:rsidRPr="48B0C125">
              <w:rPr>
                <w:rFonts w:eastAsia="Arial"/>
              </w:rPr>
              <w:t>pkm</w:t>
            </w:r>
            <w:proofErr w:type="spellEnd"/>
            <w:r w:rsidRPr="48B0C125">
              <w:rPr>
                <w:rFonts w:eastAsia="Arial"/>
              </w:rPr>
              <w:t xml:space="preserve"> in maintenance cost (i.e., savings)</w:t>
            </w:r>
          </w:p>
        </w:tc>
        <w:tc>
          <w:tcPr>
            <w:tcW w:w="4230" w:type="dxa"/>
            <w:tcBorders>
              <w:top w:val="nil"/>
              <w:left w:val="nil"/>
              <w:bottom w:val="nil"/>
              <w:right w:val="nil"/>
            </w:tcBorders>
          </w:tcPr>
          <w:p w14:paraId="26E159C8" w14:textId="47D04DA6" w:rsidR="00161C0F" w:rsidRDefault="0CDBF178" w:rsidP="006D2776">
            <w:pPr>
              <w:pStyle w:val="TableBody"/>
              <w:rPr>
                <w:rFonts w:eastAsia="Arial"/>
              </w:rPr>
            </w:pPr>
            <w:r w:rsidRPr="0CDBF178">
              <w:rPr>
                <w:rFonts w:eastAsia="Arial"/>
              </w:rPr>
              <w:lastRenderedPageBreak/>
              <w:t xml:space="preserve">Popovich et al. (2021) estimate the capital and maintenance costs of electrifying freight rail. In absence of other information, we assume that electrifying passenger rail will have similar costs per person-km, with a lower mass of passengers </w:t>
            </w:r>
            <w:r w:rsidRPr="0CDBF178">
              <w:rPr>
                <w:rFonts w:eastAsia="Arial"/>
              </w:rPr>
              <w:lastRenderedPageBreak/>
              <w:t>compared to freight offset by climate control, lower density, and other variables.</w:t>
            </w:r>
          </w:p>
        </w:tc>
      </w:tr>
      <w:tr w:rsidR="006E2AA6" w14:paraId="16E508D6" w14:textId="77777777" w:rsidTr="7654BBD9">
        <w:tc>
          <w:tcPr>
            <w:tcW w:w="2610" w:type="dxa"/>
            <w:tcBorders>
              <w:top w:val="nil"/>
              <w:left w:val="nil"/>
              <w:bottom w:val="nil"/>
              <w:right w:val="nil"/>
            </w:tcBorders>
          </w:tcPr>
          <w:p w14:paraId="0672AD01" w14:textId="7F402EDE" w:rsidR="006E2AA6" w:rsidRDefault="0CDBF178" w:rsidP="0CDBF178">
            <w:pPr>
              <w:pStyle w:val="TableBody"/>
              <w:rPr>
                <w:rFonts w:eastAsia="Arial"/>
              </w:rPr>
            </w:pPr>
            <w:r w:rsidRPr="0CDBF178">
              <w:rPr>
                <w:rFonts w:eastAsia="Arial"/>
              </w:rPr>
              <w:lastRenderedPageBreak/>
              <w:t>Fuel switch maritime</w:t>
            </w:r>
          </w:p>
        </w:tc>
        <w:tc>
          <w:tcPr>
            <w:tcW w:w="2520" w:type="dxa"/>
            <w:tcBorders>
              <w:top w:val="nil"/>
              <w:left w:val="nil"/>
              <w:bottom w:val="nil"/>
              <w:right w:val="nil"/>
            </w:tcBorders>
          </w:tcPr>
          <w:p w14:paraId="7863A666" w14:textId="0ADB2201" w:rsidR="006E2AA6" w:rsidRDefault="48B0C125">
            <w:pPr>
              <w:pStyle w:val="TableBody"/>
              <w:rPr>
                <w:rFonts w:eastAsia="Arial"/>
              </w:rPr>
            </w:pPr>
            <w:r w:rsidRPr="48B0C125">
              <w:rPr>
                <w:rFonts w:eastAsia="Arial"/>
              </w:rPr>
              <w:t>$0.0005/</w:t>
            </w:r>
            <w:proofErr w:type="spellStart"/>
            <w:r w:rsidRPr="48B0C125">
              <w:rPr>
                <w:rFonts w:eastAsia="Arial"/>
              </w:rPr>
              <w:t>mtkm</w:t>
            </w:r>
            <w:proofErr w:type="spellEnd"/>
          </w:p>
        </w:tc>
        <w:tc>
          <w:tcPr>
            <w:tcW w:w="4230" w:type="dxa"/>
            <w:tcBorders>
              <w:top w:val="nil"/>
              <w:left w:val="nil"/>
              <w:bottom w:val="nil"/>
              <w:right w:val="nil"/>
            </w:tcBorders>
          </w:tcPr>
          <w:p w14:paraId="21F3893F" w14:textId="36766372" w:rsidR="006E2AA6" w:rsidRDefault="0CDBF178" w:rsidP="0CDBF178">
            <w:pPr>
              <w:pStyle w:val="TableBody"/>
              <w:rPr>
                <w:rFonts w:eastAsia="Arial"/>
              </w:rPr>
            </w:pPr>
            <w:r w:rsidRPr="0CDBF178">
              <w:rPr>
                <w:rFonts w:eastAsia="Arial"/>
              </w:rPr>
              <w:t xml:space="preserve">Carlo et al. (2020) </w:t>
            </w:r>
            <w:proofErr w:type="gramStart"/>
            <w:r w:rsidRPr="0CDBF178">
              <w:rPr>
                <w:rFonts w:eastAsia="Arial"/>
              </w:rPr>
              <w:t>estimate</w:t>
            </w:r>
            <w:proofErr w:type="gramEnd"/>
            <w:r w:rsidRPr="0CDBF178">
              <w:rPr>
                <w:rFonts w:eastAsia="Arial"/>
              </w:rPr>
              <w:t xml:space="preserve"> that decarbonizing the maritime industry (using ammonia as the primary fuel) by 2050 will cost roughly $1 trillion, with 55% of that cost associated with ammonia production and storage and ship-related investments (Krantz et al, 2020). Here, 45% of the cost is associated with hydrogen production, which we account for in energy production. They also estimate a total demand of approximately 500,000-billion-tonnautical miles of demand. We use this data to approximate a cost of fuel switching per MTKM of total goods movement and apply this to LAC.</w:t>
            </w:r>
          </w:p>
        </w:tc>
      </w:tr>
      <w:tr w:rsidR="00A14AB1" w14:paraId="64583083" w14:textId="77777777" w:rsidTr="7654BBD9">
        <w:tc>
          <w:tcPr>
            <w:tcW w:w="2610" w:type="dxa"/>
            <w:tcBorders>
              <w:top w:val="nil"/>
              <w:left w:val="nil"/>
              <w:bottom w:val="nil"/>
              <w:right w:val="nil"/>
            </w:tcBorders>
          </w:tcPr>
          <w:p w14:paraId="06B54B2D" w14:textId="0994909C" w:rsidR="00A14AB1" w:rsidRDefault="0CDBF178" w:rsidP="0CDBF178">
            <w:pPr>
              <w:pStyle w:val="TableBody"/>
              <w:rPr>
                <w:rFonts w:eastAsia="Arial"/>
              </w:rPr>
            </w:pPr>
            <w:r w:rsidRPr="0CDBF178">
              <w:rPr>
                <w:rFonts w:eastAsia="Arial"/>
              </w:rPr>
              <w:t>Increase energy efficiency</w:t>
            </w:r>
          </w:p>
        </w:tc>
        <w:tc>
          <w:tcPr>
            <w:tcW w:w="2520" w:type="dxa"/>
            <w:tcBorders>
              <w:top w:val="nil"/>
              <w:left w:val="nil"/>
              <w:bottom w:val="nil"/>
              <w:right w:val="nil"/>
            </w:tcBorders>
          </w:tcPr>
          <w:p w14:paraId="7411B444" w14:textId="29C3D000" w:rsidR="00A14AB1" w:rsidRDefault="00F415E3" w:rsidP="00F415E3">
            <w:pPr>
              <w:pStyle w:val="TableBody"/>
              <w:rPr>
                <w:rFonts w:eastAsia="Arial"/>
              </w:rPr>
            </w:pPr>
            <w:r>
              <w:rPr>
                <w:rFonts w:eastAsia="Arial"/>
              </w:rPr>
              <w:t>$</w:t>
            </w:r>
            <w:r w:rsidR="00466EC6">
              <w:rPr>
                <w:rFonts w:eastAsia="Arial"/>
              </w:rPr>
              <w:t>0.88</w:t>
            </w:r>
            <w:r>
              <w:rPr>
                <w:rFonts w:eastAsia="Arial"/>
              </w:rPr>
              <w:t>M/PJ</w:t>
            </w:r>
            <w:r w:rsidR="00EC1F4A">
              <w:rPr>
                <w:rFonts w:eastAsia="Arial"/>
              </w:rPr>
              <w:t>, equivalent to $0.002/</w:t>
            </w:r>
            <w:proofErr w:type="spellStart"/>
            <w:r w:rsidR="00EC1F4A">
              <w:rPr>
                <w:rFonts w:eastAsia="Arial"/>
              </w:rPr>
              <w:t>vkm</w:t>
            </w:r>
            <w:proofErr w:type="spellEnd"/>
            <w:r w:rsidR="00EC1F4A">
              <w:rPr>
                <w:rFonts w:eastAsia="Arial"/>
              </w:rPr>
              <w:t xml:space="preserve"> for ICE LDVs</w:t>
            </w:r>
          </w:p>
        </w:tc>
        <w:tc>
          <w:tcPr>
            <w:tcW w:w="4230" w:type="dxa"/>
            <w:tcBorders>
              <w:top w:val="nil"/>
              <w:left w:val="nil"/>
              <w:bottom w:val="nil"/>
              <w:right w:val="nil"/>
            </w:tcBorders>
          </w:tcPr>
          <w:p w14:paraId="663D9A60" w14:textId="22168C8A" w:rsidR="00A14AB1" w:rsidRDefault="0CDBF178">
            <w:pPr>
              <w:pStyle w:val="TableBody"/>
              <w:rPr>
                <w:rFonts w:eastAsia="Arial"/>
              </w:rPr>
            </w:pPr>
            <w:r>
              <w:t>The National Research Council (2015) estimates the technical cost and percent fuel economy improvements for LDVs from a wide range of vehicle technologies, including power train, accessories, and vehicle mass. We estimate the average cost per improvement across all technologies and calculate a per-km cost assuming a 12-year vehicle lifetime and 15,000 km/year use. Assuming a fuel economy of 12km/l, we calculate a cost per unit of energy saved and, in the absence of other data, apply this to other modes and fuel types.</w:t>
            </w:r>
          </w:p>
        </w:tc>
      </w:tr>
      <w:tr w:rsidR="003D7FC8" w14:paraId="5EC27F2E" w14:textId="77777777" w:rsidTr="7654BBD9">
        <w:tc>
          <w:tcPr>
            <w:tcW w:w="2610" w:type="dxa"/>
            <w:tcBorders>
              <w:top w:val="nil"/>
              <w:left w:val="nil"/>
              <w:bottom w:val="nil"/>
              <w:right w:val="nil"/>
            </w:tcBorders>
          </w:tcPr>
          <w:p w14:paraId="262FE135" w14:textId="56C788DF" w:rsidR="003D7FC8" w:rsidRDefault="003D7FC8" w:rsidP="003D7FC8">
            <w:pPr>
              <w:pStyle w:val="TableBody"/>
              <w:rPr>
                <w:rFonts w:eastAsia="Arial"/>
              </w:rPr>
            </w:pPr>
            <w:r w:rsidRPr="00EF266D">
              <w:t>Increase occupancy for private vehicles</w:t>
            </w:r>
          </w:p>
        </w:tc>
        <w:tc>
          <w:tcPr>
            <w:tcW w:w="2520" w:type="dxa"/>
            <w:tcBorders>
              <w:top w:val="nil"/>
              <w:left w:val="nil"/>
              <w:bottom w:val="nil"/>
              <w:right w:val="nil"/>
            </w:tcBorders>
          </w:tcPr>
          <w:p w14:paraId="15DF7AC2" w14:textId="69A81590" w:rsidR="003D7FC8" w:rsidRPr="003D7FC8" w:rsidRDefault="003D7FC8" w:rsidP="003D7FC8">
            <w:pPr>
              <w:pStyle w:val="TableBody"/>
              <w:rPr>
                <w:rFonts w:eastAsia="Arial"/>
                <w:i/>
                <w:iCs/>
              </w:rPr>
            </w:pPr>
          </w:p>
        </w:tc>
        <w:tc>
          <w:tcPr>
            <w:tcW w:w="4230" w:type="dxa"/>
            <w:tcBorders>
              <w:top w:val="nil"/>
              <w:left w:val="nil"/>
              <w:bottom w:val="nil"/>
              <w:right w:val="nil"/>
            </w:tcBorders>
          </w:tcPr>
          <w:p w14:paraId="39752969" w14:textId="2C8F7B32" w:rsidR="003D7FC8" w:rsidRDefault="0CDBF178" w:rsidP="003D7FC8">
            <w:pPr>
              <w:pStyle w:val="TableBody"/>
            </w:pPr>
            <w:r>
              <w:t xml:space="preserve">There are no technical costs associated with increasing private vehicle occupancy; the savings (from avoided costs of transport by auto) are calculated in the system costs. </w:t>
            </w:r>
          </w:p>
        </w:tc>
      </w:tr>
      <w:tr w:rsidR="00520295" w14:paraId="15497BB6" w14:textId="77777777" w:rsidTr="7654BBD9">
        <w:tc>
          <w:tcPr>
            <w:tcW w:w="2610" w:type="dxa"/>
            <w:tcBorders>
              <w:top w:val="nil"/>
              <w:left w:val="nil"/>
              <w:bottom w:val="nil"/>
              <w:right w:val="nil"/>
            </w:tcBorders>
          </w:tcPr>
          <w:p w14:paraId="5EF4FE9F" w14:textId="3FDAC5F4" w:rsidR="00520295" w:rsidRDefault="00520295" w:rsidP="003D7FC8">
            <w:pPr>
              <w:pStyle w:val="TableBody"/>
              <w:rPr>
                <w:rFonts w:eastAsia="Arial"/>
              </w:rPr>
            </w:pPr>
            <w:r w:rsidRPr="00EF266D">
              <w:t>Mode shift freight</w:t>
            </w:r>
          </w:p>
        </w:tc>
        <w:tc>
          <w:tcPr>
            <w:tcW w:w="2520" w:type="dxa"/>
            <w:tcBorders>
              <w:top w:val="nil"/>
              <w:left w:val="nil"/>
              <w:bottom w:val="nil"/>
              <w:right w:val="nil"/>
            </w:tcBorders>
          </w:tcPr>
          <w:p w14:paraId="77D9111F" w14:textId="705033A4" w:rsidR="00520295" w:rsidRPr="00522E45" w:rsidRDefault="00520295" w:rsidP="003D7FC8">
            <w:pPr>
              <w:pStyle w:val="TableBody"/>
              <w:rPr>
                <w:rFonts w:eastAsia="Arial"/>
                <w:i/>
                <w:iCs/>
              </w:rPr>
            </w:pPr>
          </w:p>
        </w:tc>
        <w:tc>
          <w:tcPr>
            <w:tcW w:w="4230" w:type="dxa"/>
            <w:vMerge w:val="restart"/>
            <w:tcBorders>
              <w:top w:val="nil"/>
              <w:left w:val="nil"/>
              <w:right w:val="nil"/>
            </w:tcBorders>
          </w:tcPr>
          <w:p w14:paraId="5D72B9A9" w14:textId="3C8E5602" w:rsidR="00520295" w:rsidRDefault="0CDBF178" w:rsidP="0CDBF178">
            <w:pPr>
              <w:pStyle w:val="TableBody"/>
            </w:pPr>
            <w:r>
              <w:t>The technical costs and savings of freight and passenger mode shifting are a combination of the following: the system cost for providing transport by different modes</w:t>
            </w:r>
            <w:r w:rsidR="00667429">
              <w:t>,</w:t>
            </w:r>
            <w:r>
              <w:t xml:space="preserve"> the additional cost of expanding infrastructure associated with certain modes of the transport system (e.g., rail transport) to account for added demand; and the cost savings of avoided infrastructure expansion in modes with less demand (e.g., air transport). Quantifying these effects is deeply uncertain, highly localized, and beyond this study’s scope. We note, however, that mode shifts could result in a net cost savings, given that the shifts are generally from modes that are infrastructure inefficient (e.g., personal autos) to modes that are more infrastructure efficient (e.g., transit).</w:t>
            </w:r>
          </w:p>
        </w:tc>
      </w:tr>
      <w:tr w:rsidR="00520295" w14:paraId="29176A2F" w14:textId="77777777" w:rsidTr="7654BBD9">
        <w:tc>
          <w:tcPr>
            <w:tcW w:w="2610" w:type="dxa"/>
            <w:tcBorders>
              <w:top w:val="nil"/>
              <w:left w:val="nil"/>
              <w:bottom w:val="nil"/>
              <w:right w:val="nil"/>
            </w:tcBorders>
          </w:tcPr>
          <w:p w14:paraId="5AE1AF24" w14:textId="0CFC4F54" w:rsidR="00520295" w:rsidRDefault="00520295" w:rsidP="003D7FC8">
            <w:pPr>
              <w:pStyle w:val="TableBody"/>
              <w:rPr>
                <w:rFonts w:eastAsia="Arial"/>
              </w:rPr>
            </w:pPr>
            <w:r w:rsidRPr="00EF266D">
              <w:t xml:space="preserve">Mode </w:t>
            </w:r>
            <w:proofErr w:type="gramStart"/>
            <w:r w:rsidRPr="00EF266D">
              <w:t>shift</w:t>
            </w:r>
            <w:proofErr w:type="gramEnd"/>
            <w:r w:rsidRPr="00EF266D">
              <w:t xml:space="preserve"> </w:t>
            </w:r>
            <w:r>
              <w:t xml:space="preserve">local and regional </w:t>
            </w:r>
            <w:r w:rsidRPr="00EF266D">
              <w:t xml:space="preserve">passenger </w:t>
            </w:r>
            <w:r>
              <w:t>travel</w:t>
            </w:r>
          </w:p>
        </w:tc>
        <w:tc>
          <w:tcPr>
            <w:tcW w:w="2520" w:type="dxa"/>
            <w:tcBorders>
              <w:top w:val="nil"/>
              <w:left w:val="nil"/>
              <w:bottom w:val="nil"/>
              <w:right w:val="nil"/>
            </w:tcBorders>
          </w:tcPr>
          <w:p w14:paraId="1F08D2BE" w14:textId="4FD9FDDC" w:rsidR="00520295" w:rsidRPr="00522E45" w:rsidRDefault="00520295" w:rsidP="003D7FC8">
            <w:pPr>
              <w:pStyle w:val="TableBody"/>
              <w:rPr>
                <w:rFonts w:eastAsia="Arial"/>
                <w:i/>
                <w:iCs/>
              </w:rPr>
            </w:pPr>
          </w:p>
        </w:tc>
        <w:tc>
          <w:tcPr>
            <w:tcW w:w="4230" w:type="dxa"/>
            <w:vMerge/>
          </w:tcPr>
          <w:p w14:paraId="3089949F" w14:textId="4E8BD728" w:rsidR="00520295" w:rsidRDefault="00520295" w:rsidP="00C04EF6">
            <w:pPr>
              <w:pStyle w:val="TableBody"/>
            </w:pPr>
          </w:p>
        </w:tc>
      </w:tr>
    </w:tbl>
    <w:p w14:paraId="3EA2642C" w14:textId="77777777" w:rsidR="008E7E63" w:rsidRDefault="008E7E63" w:rsidP="00832BCC">
      <w:pPr>
        <w:ind w:firstLine="0"/>
      </w:pPr>
    </w:p>
    <w:p w14:paraId="5D743392" w14:textId="17FD3965" w:rsidR="00283B32" w:rsidRPr="005D7B19" w:rsidRDefault="0CDBF178" w:rsidP="0CDBF178">
      <w:pPr>
        <w:pStyle w:val="Heading9"/>
        <w:rPr>
          <w:rFonts w:ascii="Times New Roman" w:hAnsi="Times New Roman"/>
          <w:sz w:val="24"/>
          <w:szCs w:val="24"/>
        </w:rPr>
      </w:pPr>
      <w:bookmarkStart w:id="84" w:name="_Toc152088336"/>
      <w:r w:rsidRPr="0CDBF178">
        <w:rPr>
          <w:rFonts w:eastAsia="Arial"/>
        </w:rPr>
        <w:t xml:space="preserve">Table F.4 Other benefits and costs of transforming </w:t>
      </w:r>
      <w:proofErr w:type="gramStart"/>
      <w:r w:rsidRPr="0CDBF178">
        <w:rPr>
          <w:rFonts w:eastAsia="Arial"/>
        </w:rPr>
        <w:t>transportation</w:t>
      </w:r>
      <w:bookmarkEnd w:id="84"/>
      <w:proofErr w:type="gramEnd"/>
    </w:p>
    <w:tbl>
      <w:tblPr>
        <w:tblStyle w:val="TableGrid"/>
        <w:tblW w:w="0" w:type="auto"/>
        <w:tblLayout w:type="fixed"/>
        <w:tblLook w:val="0620" w:firstRow="1" w:lastRow="0" w:firstColumn="0" w:lastColumn="0" w:noHBand="1" w:noVBand="1"/>
      </w:tblPr>
      <w:tblGrid>
        <w:gridCol w:w="2610"/>
        <w:gridCol w:w="2610"/>
        <w:gridCol w:w="4140"/>
      </w:tblGrid>
      <w:tr w:rsidR="00283B32" w14:paraId="6B4633DE"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610" w:type="dxa"/>
            <w:tcBorders>
              <w:left w:val="nil"/>
              <w:right w:val="nil"/>
            </w:tcBorders>
            <w:vAlign w:val="bottom"/>
          </w:tcPr>
          <w:p w14:paraId="4DEB3E81" w14:textId="360BB041" w:rsidR="00283B32" w:rsidRDefault="0CDBF178">
            <w:r w:rsidRPr="0CDBF178">
              <w:rPr>
                <w:rFonts w:eastAsia="Arial" w:cs="Arial"/>
                <w:b/>
                <w:bCs/>
                <w:sz w:val="18"/>
                <w:szCs w:val="18"/>
              </w:rPr>
              <w:t>Benefit or cost</w:t>
            </w:r>
          </w:p>
        </w:tc>
        <w:tc>
          <w:tcPr>
            <w:tcW w:w="2610" w:type="dxa"/>
            <w:tcBorders>
              <w:left w:val="nil"/>
              <w:right w:val="nil"/>
            </w:tcBorders>
          </w:tcPr>
          <w:p w14:paraId="54C9CC3B" w14:textId="77777777" w:rsidR="00283B32" w:rsidRDefault="00283B32" w:rsidP="006D2776">
            <w:pPr>
              <w:jc w:val="center"/>
            </w:pPr>
            <w:r>
              <w:rPr>
                <w:rFonts w:eastAsia="Arial" w:cs="Arial"/>
                <w:b/>
                <w:bCs/>
                <w:sz w:val="18"/>
                <w:szCs w:val="18"/>
              </w:rPr>
              <w:t>Value</w:t>
            </w:r>
          </w:p>
        </w:tc>
        <w:tc>
          <w:tcPr>
            <w:tcW w:w="4140" w:type="dxa"/>
            <w:tcBorders>
              <w:left w:val="nil"/>
              <w:right w:val="nil"/>
            </w:tcBorders>
          </w:tcPr>
          <w:p w14:paraId="5CACC674" w14:textId="30C4B209" w:rsidR="00283B32" w:rsidRDefault="0CDBF178" w:rsidP="0CDBF178">
            <w:pPr>
              <w:jc w:val="center"/>
            </w:pPr>
            <w:r w:rsidRPr="0CDBF178">
              <w:rPr>
                <w:rFonts w:eastAsia="Arial" w:cs="Arial"/>
                <w:b/>
                <w:bCs/>
                <w:sz w:val="18"/>
                <w:szCs w:val="18"/>
              </w:rPr>
              <w:t>Notes and data sources</w:t>
            </w:r>
          </w:p>
        </w:tc>
      </w:tr>
      <w:tr w:rsidR="00010E3A" w14:paraId="535025F2" w14:textId="77777777" w:rsidTr="7654BBD9">
        <w:tc>
          <w:tcPr>
            <w:tcW w:w="2610" w:type="dxa"/>
            <w:tcBorders>
              <w:top w:val="nil"/>
              <w:left w:val="nil"/>
              <w:bottom w:val="nil"/>
              <w:right w:val="nil"/>
            </w:tcBorders>
          </w:tcPr>
          <w:p w14:paraId="0017B748" w14:textId="0F3573C7" w:rsidR="00010E3A" w:rsidRDefault="00010E3A" w:rsidP="006D2776">
            <w:pPr>
              <w:pStyle w:val="TableBody"/>
              <w:rPr>
                <w:rFonts w:eastAsia="Arial"/>
              </w:rPr>
            </w:pPr>
            <w:r>
              <w:rPr>
                <w:rFonts w:eastAsia="Arial"/>
              </w:rPr>
              <w:t xml:space="preserve">System cost of </w:t>
            </w:r>
            <w:r w:rsidR="00C04EF6">
              <w:rPr>
                <w:rFonts w:eastAsia="Arial"/>
              </w:rPr>
              <w:t>passenger transport</w:t>
            </w:r>
          </w:p>
        </w:tc>
        <w:tc>
          <w:tcPr>
            <w:tcW w:w="2610" w:type="dxa"/>
            <w:tcBorders>
              <w:top w:val="nil"/>
              <w:left w:val="nil"/>
              <w:bottom w:val="nil"/>
              <w:right w:val="nil"/>
            </w:tcBorders>
          </w:tcPr>
          <w:p w14:paraId="32E5E200" w14:textId="77777777" w:rsidR="00C04EF6" w:rsidRDefault="00C04EF6" w:rsidP="00C04EF6">
            <w:pPr>
              <w:pStyle w:val="TableBody"/>
              <w:rPr>
                <w:rFonts w:eastAsia="Arial"/>
              </w:rPr>
            </w:pPr>
            <w:r>
              <w:rPr>
                <w:rFonts w:eastAsia="Arial"/>
              </w:rPr>
              <w:t>$0.17/</w:t>
            </w:r>
            <w:proofErr w:type="spellStart"/>
            <w:r>
              <w:rPr>
                <w:rFonts w:eastAsia="Arial"/>
              </w:rPr>
              <w:t>vkm</w:t>
            </w:r>
            <w:proofErr w:type="spellEnd"/>
            <w:r>
              <w:rPr>
                <w:rFonts w:eastAsia="Arial"/>
              </w:rPr>
              <w:t xml:space="preserve"> for automobiles</w:t>
            </w:r>
          </w:p>
          <w:p w14:paraId="381BDF9C" w14:textId="77777777" w:rsidR="00C04EF6" w:rsidRDefault="00C04EF6" w:rsidP="00C04EF6">
            <w:pPr>
              <w:pStyle w:val="TableBody"/>
              <w:rPr>
                <w:rFonts w:eastAsia="Arial"/>
              </w:rPr>
            </w:pPr>
            <w:r>
              <w:rPr>
                <w:rFonts w:eastAsia="Arial"/>
              </w:rPr>
              <w:t>$0.017/</w:t>
            </w:r>
            <w:proofErr w:type="spellStart"/>
            <w:r>
              <w:rPr>
                <w:rFonts w:eastAsia="Arial"/>
              </w:rPr>
              <w:t>vkm</w:t>
            </w:r>
            <w:proofErr w:type="spellEnd"/>
            <w:r>
              <w:rPr>
                <w:rFonts w:eastAsia="Arial"/>
              </w:rPr>
              <w:t xml:space="preserve"> for motorcycles</w:t>
            </w:r>
          </w:p>
          <w:p w14:paraId="205E33B3" w14:textId="77777777" w:rsidR="00C04EF6" w:rsidRDefault="00C04EF6" w:rsidP="00C04EF6">
            <w:pPr>
              <w:pStyle w:val="TableBody"/>
              <w:rPr>
                <w:rFonts w:eastAsia="Arial"/>
              </w:rPr>
            </w:pPr>
            <w:r>
              <w:rPr>
                <w:rFonts w:eastAsia="Arial"/>
              </w:rPr>
              <w:t>$5.20/</w:t>
            </w:r>
            <w:proofErr w:type="spellStart"/>
            <w:r>
              <w:rPr>
                <w:rFonts w:eastAsia="Arial"/>
              </w:rPr>
              <w:t>vkm</w:t>
            </w:r>
            <w:proofErr w:type="spellEnd"/>
            <w:r>
              <w:rPr>
                <w:rFonts w:eastAsia="Arial"/>
              </w:rPr>
              <w:t xml:space="preserve"> for bus</w:t>
            </w:r>
          </w:p>
          <w:p w14:paraId="58F20D34" w14:textId="77777777" w:rsidR="00C04EF6" w:rsidRDefault="00C04EF6" w:rsidP="00C04EF6">
            <w:pPr>
              <w:pStyle w:val="TableBody"/>
              <w:rPr>
                <w:rFonts w:eastAsia="Arial"/>
              </w:rPr>
            </w:pPr>
            <w:r>
              <w:rPr>
                <w:rFonts w:eastAsia="Arial"/>
              </w:rPr>
              <w:t>$14/</w:t>
            </w:r>
            <w:proofErr w:type="spellStart"/>
            <w:r>
              <w:rPr>
                <w:rFonts w:eastAsia="Arial"/>
              </w:rPr>
              <w:t>vkm</w:t>
            </w:r>
            <w:proofErr w:type="spellEnd"/>
            <w:r>
              <w:rPr>
                <w:rFonts w:eastAsia="Arial"/>
              </w:rPr>
              <w:t xml:space="preserve"> for passenger rail</w:t>
            </w:r>
          </w:p>
          <w:p w14:paraId="58F1600D" w14:textId="77777777" w:rsidR="00C04EF6" w:rsidRDefault="00C04EF6" w:rsidP="00C04EF6">
            <w:pPr>
              <w:pStyle w:val="TableBody"/>
              <w:rPr>
                <w:rFonts w:eastAsia="Arial"/>
              </w:rPr>
            </w:pPr>
            <w:r>
              <w:rPr>
                <w:rFonts w:eastAsia="Arial"/>
              </w:rPr>
              <w:lastRenderedPageBreak/>
              <w:t>$1067/</w:t>
            </w:r>
            <w:proofErr w:type="spellStart"/>
            <w:r>
              <w:rPr>
                <w:rFonts w:eastAsia="Arial"/>
              </w:rPr>
              <w:t>vkm</w:t>
            </w:r>
            <w:proofErr w:type="spellEnd"/>
            <w:r>
              <w:rPr>
                <w:rFonts w:eastAsia="Arial"/>
              </w:rPr>
              <w:t xml:space="preserve"> for aviation</w:t>
            </w:r>
          </w:p>
          <w:p w14:paraId="3EFEBC99" w14:textId="77777777" w:rsidR="00C04EF6" w:rsidRDefault="00C04EF6" w:rsidP="00C04EF6">
            <w:pPr>
              <w:pStyle w:val="TableBody"/>
              <w:rPr>
                <w:rFonts w:eastAsia="Arial"/>
              </w:rPr>
            </w:pPr>
          </w:p>
          <w:p w14:paraId="28DEE6A7" w14:textId="4D96064F" w:rsidR="00010E3A" w:rsidRDefault="00C04EF6" w:rsidP="00C04EF6">
            <w:pPr>
              <w:pStyle w:val="TableBody"/>
              <w:rPr>
                <w:rFonts w:eastAsia="Arial"/>
              </w:rPr>
            </w:pPr>
            <w:r>
              <w:rPr>
                <w:rFonts w:eastAsia="Arial"/>
              </w:rPr>
              <w:t>(Transit cost is weighted assuming 75% bus, 25% rail)</w:t>
            </w:r>
          </w:p>
        </w:tc>
        <w:tc>
          <w:tcPr>
            <w:tcW w:w="4140" w:type="dxa"/>
            <w:tcBorders>
              <w:top w:val="nil"/>
              <w:left w:val="nil"/>
              <w:bottom w:val="nil"/>
              <w:right w:val="nil"/>
            </w:tcBorders>
          </w:tcPr>
          <w:p w14:paraId="6A905500" w14:textId="4845C91F" w:rsidR="00C04EF6" w:rsidRDefault="0CDBF178">
            <w:pPr>
              <w:pStyle w:val="TableBody"/>
            </w:pPr>
            <w:r>
              <w:lastRenderedPageBreak/>
              <w:t xml:space="preserve">The system cost of providing passenger transport will change as modes and demand change. We approximate this as the cost of vehicle ownership and operating costs. In the US, the capital and </w:t>
            </w:r>
            <w:r>
              <w:lastRenderedPageBreak/>
              <w:t xml:space="preserve">operating costs (excluding fuel) by mode are approximately: </w:t>
            </w:r>
          </w:p>
          <w:p w14:paraId="3E19DBA8" w14:textId="6E06CED7" w:rsidR="00C04EF6" w:rsidRDefault="0CDBF178" w:rsidP="00C04EF6">
            <w:pPr>
              <w:pStyle w:val="TableBody"/>
              <w:numPr>
                <w:ilvl w:val="0"/>
                <w:numId w:val="29"/>
              </w:numPr>
              <w:ind w:left="365" w:hanging="180"/>
            </w:pPr>
            <w:r>
              <w:t>$0.31/</w:t>
            </w:r>
            <w:proofErr w:type="spellStart"/>
            <w:r>
              <w:t>vkm</w:t>
            </w:r>
            <w:proofErr w:type="spellEnd"/>
            <w:r>
              <w:t xml:space="preserve"> for automobiles (US DOT National Transportation Statistics, undated, Table 3-17</w:t>
            </w:r>
            <w:proofErr w:type="gramStart"/>
            <w:r>
              <w:t>);</w:t>
            </w:r>
            <w:proofErr w:type="gramEnd"/>
          </w:p>
          <w:p w14:paraId="010CA323" w14:textId="780E8989" w:rsidR="00C04EF6" w:rsidRDefault="0CDBF178" w:rsidP="00C04EF6">
            <w:pPr>
              <w:pStyle w:val="TableBody"/>
              <w:numPr>
                <w:ilvl w:val="0"/>
                <w:numId w:val="29"/>
              </w:numPr>
              <w:ind w:left="365" w:hanging="180"/>
            </w:pPr>
            <w:r>
              <w:t>$10/</w:t>
            </w:r>
            <w:proofErr w:type="spellStart"/>
            <w:r>
              <w:t>vkm</w:t>
            </w:r>
            <w:proofErr w:type="spellEnd"/>
            <w:r>
              <w:t xml:space="preserve"> on for buses (averaged across bus types) and $27/</w:t>
            </w:r>
            <w:proofErr w:type="spellStart"/>
            <w:r>
              <w:t>vkm</w:t>
            </w:r>
            <w:proofErr w:type="spellEnd"/>
            <w:r>
              <w:t xml:space="preserve"> (per passenger car) for passenger rail (averaged across rail types) (US FTA, 2021, Capital Expenses, Operating Expenses, and Metrics tables</w:t>
            </w:r>
            <w:proofErr w:type="gramStart"/>
            <w:r>
              <w:t>);</w:t>
            </w:r>
            <w:proofErr w:type="gramEnd"/>
          </w:p>
          <w:p w14:paraId="5CDB26CB" w14:textId="357FB85B" w:rsidR="00C04EF6" w:rsidRDefault="7654BBD9">
            <w:pPr>
              <w:pStyle w:val="TableBody"/>
              <w:numPr>
                <w:ilvl w:val="0"/>
                <w:numId w:val="29"/>
              </w:numPr>
              <w:ind w:left="365" w:hanging="180"/>
              <w:rPr>
                <w:szCs w:val="18"/>
              </w:rPr>
            </w:pPr>
            <w:r>
              <w:t>$2,000/</w:t>
            </w:r>
            <w:proofErr w:type="spellStart"/>
            <w:r>
              <w:t>vkm</w:t>
            </w:r>
            <w:proofErr w:type="spellEnd"/>
            <w:r>
              <w:t xml:space="preserve"> for aviation (calculated from US Department of Transportation </w:t>
            </w:r>
            <w:r w:rsidRPr="00667429">
              <w:rPr>
                <w:i/>
                <w:iCs/>
              </w:rPr>
              <w:t>National Transportation Statistics</w:t>
            </w:r>
            <w:r>
              <w:t xml:space="preserve">’ Tables 1-35, 1-40, and 3-20, assuming 10% of costs are for fuel); and </w:t>
            </w:r>
          </w:p>
          <w:p w14:paraId="5E6C129C" w14:textId="48570C41" w:rsidR="00C04EF6" w:rsidRDefault="0CDBF178" w:rsidP="00C04EF6">
            <w:pPr>
              <w:pStyle w:val="TableBody"/>
              <w:numPr>
                <w:ilvl w:val="0"/>
                <w:numId w:val="29"/>
              </w:numPr>
              <w:ind w:left="365" w:hanging="180"/>
            </w:pPr>
            <w:r>
              <w:t>$0.031/</w:t>
            </w:r>
            <w:proofErr w:type="spellStart"/>
            <w:r>
              <w:t>vkm</w:t>
            </w:r>
            <w:proofErr w:type="spellEnd"/>
            <w:r>
              <w:t xml:space="preserve"> for powered bikes, which we assume are one-tenth the cost of automobiles. </w:t>
            </w:r>
          </w:p>
          <w:p w14:paraId="7312E04E" w14:textId="19431AA9" w:rsidR="00C04EF6" w:rsidRDefault="00A23B39" w:rsidP="00C04EF6">
            <w:pPr>
              <w:pStyle w:val="TableBody"/>
            </w:pPr>
            <w:r>
              <w:t xml:space="preserve">Note that different modes may include infrastructure costs to different degrees – the cost of transport infrastructure is largely external to automobile owner/operating costs, whereas it is more likely to be internalized for air transport costs. </w:t>
            </w:r>
            <w:r w:rsidR="00C04EF6">
              <w:t xml:space="preserve">We adapt these costs to Latin America. </w:t>
            </w:r>
          </w:p>
          <w:p w14:paraId="0A434F91" w14:textId="77777777" w:rsidR="00010E3A" w:rsidRDefault="00010E3A" w:rsidP="006D2776">
            <w:pPr>
              <w:pStyle w:val="TableBody"/>
              <w:rPr>
                <w:rFonts w:eastAsia="Arial" w:cs="Arial"/>
              </w:rPr>
            </w:pPr>
          </w:p>
        </w:tc>
      </w:tr>
      <w:tr w:rsidR="00A760F8" w14:paraId="5774BE7B" w14:textId="77777777" w:rsidTr="7654BBD9">
        <w:tc>
          <w:tcPr>
            <w:tcW w:w="2610" w:type="dxa"/>
            <w:tcBorders>
              <w:top w:val="nil"/>
              <w:left w:val="nil"/>
              <w:bottom w:val="nil"/>
              <w:right w:val="nil"/>
            </w:tcBorders>
          </w:tcPr>
          <w:p w14:paraId="3EA6A78B" w14:textId="64F4678D" w:rsidR="00A760F8" w:rsidRDefault="00A760F8" w:rsidP="00A760F8">
            <w:pPr>
              <w:pStyle w:val="TableBody"/>
              <w:rPr>
                <w:rFonts w:eastAsia="Arial"/>
              </w:rPr>
            </w:pPr>
            <w:r>
              <w:rPr>
                <w:rFonts w:eastAsia="Arial"/>
              </w:rPr>
              <w:lastRenderedPageBreak/>
              <w:t>System</w:t>
            </w:r>
            <w:r w:rsidR="00CA7CE6">
              <w:rPr>
                <w:rFonts w:eastAsia="Arial"/>
              </w:rPr>
              <w:t xml:space="preserve"> </w:t>
            </w:r>
            <w:r>
              <w:rPr>
                <w:rFonts w:eastAsia="Arial"/>
              </w:rPr>
              <w:t>cost of freight transport</w:t>
            </w:r>
          </w:p>
        </w:tc>
        <w:tc>
          <w:tcPr>
            <w:tcW w:w="2610" w:type="dxa"/>
            <w:tcBorders>
              <w:top w:val="nil"/>
              <w:left w:val="nil"/>
              <w:bottom w:val="nil"/>
              <w:right w:val="nil"/>
            </w:tcBorders>
          </w:tcPr>
          <w:p w14:paraId="1AE571CF" w14:textId="77777777" w:rsidR="00A760F8" w:rsidRDefault="00A760F8" w:rsidP="00A760F8">
            <w:pPr>
              <w:pStyle w:val="TableBody"/>
              <w:rPr>
                <w:rFonts w:eastAsia="Arial"/>
              </w:rPr>
            </w:pPr>
            <w:r>
              <w:rPr>
                <w:rFonts w:eastAsia="Arial"/>
              </w:rPr>
              <w:t>$0.41/</w:t>
            </w:r>
            <w:proofErr w:type="spellStart"/>
            <w:r>
              <w:rPr>
                <w:rFonts w:eastAsia="Arial"/>
              </w:rPr>
              <w:t>mtkm</w:t>
            </w:r>
            <w:proofErr w:type="spellEnd"/>
            <w:r>
              <w:rPr>
                <w:rFonts w:eastAsia="Arial"/>
              </w:rPr>
              <w:t xml:space="preserve"> for air</w:t>
            </w:r>
          </w:p>
          <w:p w14:paraId="6F4BC55F" w14:textId="77777777" w:rsidR="00A760F8" w:rsidRDefault="00A760F8" w:rsidP="00A760F8">
            <w:pPr>
              <w:pStyle w:val="TableBody"/>
              <w:rPr>
                <w:rFonts w:eastAsia="Arial"/>
              </w:rPr>
            </w:pPr>
            <w:r>
              <w:rPr>
                <w:rFonts w:eastAsia="Arial"/>
              </w:rPr>
              <w:t>$0.053/</w:t>
            </w:r>
            <w:proofErr w:type="spellStart"/>
            <w:r>
              <w:rPr>
                <w:rFonts w:eastAsia="Arial"/>
              </w:rPr>
              <w:t>mtkm</w:t>
            </w:r>
            <w:proofErr w:type="spellEnd"/>
            <w:r>
              <w:rPr>
                <w:rFonts w:eastAsia="Arial"/>
              </w:rPr>
              <w:t xml:space="preserve"> for truck</w:t>
            </w:r>
          </w:p>
          <w:p w14:paraId="48DFD009" w14:textId="77777777" w:rsidR="00A760F8" w:rsidRDefault="00A760F8" w:rsidP="00A760F8">
            <w:pPr>
              <w:pStyle w:val="TableBody"/>
              <w:rPr>
                <w:rFonts w:eastAsia="Arial"/>
              </w:rPr>
            </w:pPr>
            <w:r>
              <w:rPr>
                <w:rFonts w:eastAsia="Arial"/>
              </w:rPr>
              <w:t>$0.014/</w:t>
            </w:r>
            <w:proofErr w:type="spellStart"/>
            <w:r>
              <w:rPr>
                <w:rFonts w:eastAsia="Arial"/>
              </w:rPr>
              <w:t>mtkm</w:t>
            </w:r>
            <w:proofErr w:type="spellEnd"/>
            <w:r>
              <w:rPr>
                <w:rFonts w:eastAsia="Arial"/>
              </w:rPr>
              <w:t xml:space="preserve"> for rail</w:t>
            </w:r>
          </w:p>
          <w:p w14:paraId="1A76664D" w14:textId="4D3CD34B" w:rsidR="00A760F8" w:rsidRDefault="00A760F8" w:rsidP="00A760F8">
            <w:pPr>
              <w:pStyle w:val="TableBody"/>
              <w:rPr>
                <w:rFonts w:eastAsia="Arial"/>
              </w:rPr>
            </w:pPr>
            <w:r>
              <w:rPr>
                <w:rFonts w:eastAsia="Arial"/>
              </w:rPr>
              <w:t>$0.01/</w:t>
            </w:r>
            <w:proofErr w:type="spellStart"/>
            <w:r>
              <w:rPr>
                <w:rFonts w:eastAsia="Arial"/>
              </w:rPr>
              <w:t>mtkm</w:t>
            </w:r>
            <w:proofErr w:type="spellEnd"/>
            <w:r>
              <w:rPr>
                <w:rFonts w:eastAsia="Arial"/>
              </w:rPr>
              <w:t xml:space="preserve"> for water</w:t>
            </w:r>
          </w:p>
        </w:tc>
        <w:tc>
          <w:tcPr>
            <w:tcW w:w="4140" w:type="dxa"/>
            <w:tcBorders>
              <w:top w:val="nil"/>
              <w:left w:val="nil"/>
              <w:bottom w:val="nil"/>
              <w:right w:val="nil"/>
            </w:tcBorders>
          </w:tcPr>
          <w:p w14:paraId="3182BEE9" w14:textId="186FF6BC" w:rsidR="00A760F8" w:rsidRDefault="7654BBD9">
            <w:pPr>
              <w:pStyle w:val="TableBody"/>
            </w:pPr>
            <w:r>
              <w:t>We estimate the impact of mode shifting freight based on costs associated with freight transport in the US ($0.86/</w:t>
            </w:r>
            <w:proofErr w:type="spellStart"/>
            <w:r>
              <w:t>mtkm</w:t>
            </w:r>
            <w:proofErr w:type="spellEnd"/>
            <w:r>
              <w:t xml:space="preserve"> by air; $0.11/</w:t>
            </w:r>
            <w:proofErr w:type="spellStart"/>
            <w:r>
              <w:t>mtkm</w:t>
            </w:r>
            <w:proofErr w:type="spellEnd"/>
            <w:r>
              <w:t xml:space="preserve"> by truck; 0.03/</w:t>
            </w:r>
            <w:proofErr w:type="spellStart"/>
            <w:r>
              <w:t>mtkm</w:t>
            </w:r>
            <w:proofErr w:type="spellEnd"/>
            <w:r>
              <w:t xml:space="preserve"> by rail, and $0.02/</w:t>
            </w:r>
            <w:proofErr w:type="spellStart"/>
            <w:r>
              <w:t>mtkm</w:t>
            </w:r>
            <w:proofErr w:type="spellEnd"/>
            <w:r>
              <w:t xml:space="preserve"> by water) and adjust to LAC (US Department of Transportation’s </w:t>
            </w:r>
            <w:r w:rsidRPr="00667429">
              <w:rPr>
                <w:i/>
                <w:iCs/>
              </w:rPr>
              <w:t>National Transportation Statistics</w:t>
            </w:r>
            <w:r>
              <w:t>, undated, Table 3-21). We exclude fuel costs, assuming they account for 10% of the reported revenue cost. Note that different modes may include infrastructure costs to different degrees – the cost of transport infrastructure is largely external to automobile owner/operating costs, whereas it is more likely to be internalized for air transport costs.</w:t>
            </w:r>
          </w:p>
          <w:p w14:paraId="4B3F538A" w14:textId="77777777" w:rsidR="00A760F8" w:rsidRDefault="00A760F8" w:rsidP="00A760F8">
            <w:pPr>
              <w:pStyle w:val="TableBody"/>
              <w:rPr>
                <w:rFonts w:eastAsia="Arial" w:cs="Arial"/>
              </w:rPr>
            </w:pPr>
          </w:p>
        </w:tc>
      </w:tr>
      <w:tr w:rsidR="00A760F8" w14:paraId="415B9031" w14:textId="77777777" w:rsidTr="7654BBD9">
        <w:tc>
          <w:tcPr>
            <w:tcW w:w="2610" w:type="dxa"/>
            <w:tcBorders>
              <w:top w:val="nil"/>
              <w:left w:val="nil"/>
              <w:bottom w:val="nil"/>
              <w:right w:val="nil"/>
            </w:tcBorders>
          </w:tcPr>
          <w:p w14:paraId="7F40C2C8" w14:textId="77777777" w:rsidR="00A760F8" w:rsidRDefault="00A760F8" w:rsidP="00A760F8">
            <w:pPr>
              <w:pStyle w:val="TableBody"/>
            </w:pPr>
            <w:r>
              <w:rPr>
                <w:rFonts w:eastAsia="Arial"/>
              </w:rPr>
              <w:t>Health benefit of avoided air pollution</w:t>
            </w:r>
          </w:p>
        </w:tc>
        <w:tc>
          <w:tcPr>
            <w:tcW w:w="2610" w:type="dxa"/>
            <w:tcBorders>
              <w:top w:val="nil"/>
              <w:left w:val="nil"/>
              <w:bottom w:val="nil"/>
              <w:right w:val="nil"/>
            </w:tcBorders>
          </w:tcPr>
          <w:p w14:paraId="2F16EAFA" w14:textId="378F6FB6" w:rsidR="00A760F8" w:rsidRDefault="00A760F8" w:rsidP="00A760F8">
            <w:pPr>
              <w:pStyle w:val="TableBody"/>
              <w:rPr>
                <w:rFonts w:eastAsia="Arial"/>
              </w:rPr>
            </w:pPr>
            <w:r>
              <w:rPr>
                <w:rFonts w:eastAsia="Arial"/>
              </w:rPr>
              <w:t>$</w:t>
            </w:r>
            <w:r w:rsidRPr="002A5690">
              <w:rPr>
                <w:rFonts w:eastAsia="Arial"/>
              </w:rPr>
              <w:t>0.039</w:t>
            </w:r>
            <w:r>
              <w:rPr>
                <w:rFonts w:eastAsia="Arial"/>
              </w:rPr>
              <w:t>/l gasoline</w:t>
            </w:r>
            <w:r w:rsidRPr="002A5690">
              <w:rPr>
                <w:rFonts w:eastAsia="Arial"/>
              </w:rPr>
              <w:t xml:space="preserve"> </w:t>
            </w:r>
            <w:r>
              <w:rPr>
                <w:rFonts w:eastAsia="Arial"/>
              </w:rPr>
              <w:t>and biofuels</w:t>
            </w:r>
            <w:r w:rsidRPr="002A5690">
              <w:rPr>
                <w:rFonts w:eastAsia="Arial"/>
              </w:rPr>
              <w:t xml:space="preserve">     </w:t>
            </w:r>
          </w:p>
          <w:p w14:paraId="50984015" w14:textId="209B7D9F" w:rsidR="00A760F8" w:rsidRPr="00F743D3" w:rsidRDefault="00A760F8" w:rsidP="00A760F8">
            <w:pPr>
              <w:pStyle w:val="TableBody"/>
              <w:rPr>
                <w:rFonts w:eastAsia="Arial"/>
              </w:rPr>
            </w:pPr>
            <w:r>
              <w:rPr>
                <w:rFonts w:eastAsia="Arial"/>
              </w:rPr>
              <w:t>$</w:t>
            </w:r>
            <w:r w:rsidRPr="002A5690">
              <w:rPr>
                <w:rFonts w:eastAsia="Arial"/>
              </w:rPr>
              <w:t>0.31</w:t>
            </w:r>
            <w:r>
              <w:rPr>
                <w:rFonts w:eastAsia="Arial"/>
              </w:rPr>
              <w:t>/l diesel</w:t>
            </w:r>
          </w:p>
        </w:tc>
        <w:tc>
          <w:tcPr>
            <w:tcW w:w="4140" w:type="dxa"/>
            <w:tcBorders>
              <w:top w:val="nil"/>
              <w:left w:val="nil"/>
              <w:bottom w:val="nil"/>
              <w:right w:val="nil"/>
            </w:tcBorders>
          </w:tcPr>
          <w:p w14:paraId="3E609069" w14:textId="5757A2CE" w:rsidR="00A760F8" w:rsidRDefault="0CDBF178" w:rsidP="00A760F8">
            <w:pPr>
              <w:pStyle w:val="TableBody"/>
              <w:rPr>
                <w:rFonts w:eastAsia="Arial" w:cs="Arial"/>
              </w:rPr>
            </w:pPr>
            <w:r w:rsidRPr="0CDBF178">
              <w:rPr>
                <w:rFonts w:eastAsia="Arial" w:cs="Arial"/>
              </w:rPr>
              <w:t>We use IMF’s fossil fuel subsidies database (2021) to estimate the avoided air pollution costs of fossil fuels used for road transport, averaged across LAC.</w:t>
            </w:r>
          </w:p>
          <w:p w14:paraId="7BDF520C" w14:textId="61ABE481" w:rsidR="00A760F8" w:rsidRDefault="00A760F8" w:rsidP="00A760F8">
            <w:pPr>
              <w:pStyle w:val="TableBody"/>
            </w:pPr>
          </w:p>
        </w:tc>
      </w:tr>
      <w:tr w:rsidR="00A760F8" w14:paraId="7463BE32" w14:textId="77777777" w:rsidTr="7654BBD9">
        <w:tc>
          <w:tcPr>
            <w:tcW w:w="2610" w:type="dxa"/>
            <w:tcBorders>
              <w:top w:val="nil"/>
              <w:left w:val="nil"/>
              <w:bottom w:val="nil"/>
              <w:right w:val="nil"/>
            </w:tcBorders>
          </w:tcPr>
          <w:p w14:paraId="0AF6F680" w14:textId="7871D070" w:rsidR="00A760F8" w:rsidRDefault="0CDBF178" w:rsidP="0CDBF178">
            <w:pPr>
              <w:pStyle w:val="TableBody"/>
              <w:rPr>
                <w:rFonts w:eastAsia="Arial"/>
              </w:rPr>
            </w:pPr>
            <w:r w:rsidRPr="0CDBF178">
              <w:rPr>
                <w:rFonts w:eastAsia="Arial"/>
              </w:rPr>
              <w:t>Avoided external crashes and congestion</w:t>
            </w:r>
          </w:p>
        </w:tc>
        <w:tc>
          <w:tcPr>
            <w:tcW w:w="2610" w:type="dxa"/>
            <w:tcBorders>
              <w:top w:val="nil"/>
              <w:left w:val="nil"/>
              <w:bottom w:val="nil"/>
              <w:right w:val="nil"/>
            </w:tcBorders>
          </w:tcPr>
          <w:p w14:paraId="3E395CAA" w14:textId="77777777" w:rsidR="00A760F8" w:rsidRDefault="00A760F8" w:rsidP="00A760F8">
            <w:pPr>
              <w:pStyle w:val="TableBody"/>
              <w:rPr>
                <w:rFonts w:eastAsia="Arial"/>
              </w:rPr>
            </w:pPr>
            <w:r>
              <w:rPr>
                <w:rFonts w:eastAsia="Arial"/>
              </w:rPr>
              <w:t xml:space="preserve">Crash costs </w:t>
            </w:r>
          </w:p>
          <w:p w14:paraId="7E34FAD3" w14:textId="12AFCA9C" w:rsidR="00A760F8" w:rsidRDefault="00A760F8" w:rsidP="00A760F8">
            <w:pPr>
              <w:pStyle w:val="TableBody"/>
              <w:rPr>
                <w:rFonts w:eastAsia="Arial"/>
              </w:rPr>
            </w:pPr>
            <w:r>
              <w:rPr>
                <w:rFonts w:eastAsia="Arial"/>
              </w:rPr>
              <w:t>$</w:t>
            </w:r>
            <w:r w:rsidRPr="00852E31">
              <w:rPr>
                <w:rFonts w:eastAsia="Arial"/>
              </w:rPr>
              <w:t>0.</w:t>
            </w:r>
            <w:r>
              <w:rPr>
                <w:rFonts w:eastAsia="Arial"/>
              </w:rPr>
              <w:t>33/l gasoline</w:t>
            </w:r>
            <w:r w:rsidRPr="00852E31">
              <w:rPr>
                <w:rFonts w:eastAsia="Arial"/>
              </w:rPr>
              <w:t xml:space="preserve"> </w:t>
            </w:r>
            <w:r>
              <w:rPr>
                <w:rFonts w:eastAsia="Arial"/>
              </w:rPr>
              <w:t>and biofuels</w:t>
            </w:r>
            <w:r w:rsidRPr="00852E31">
              <w:rPr>
                <w:rFonts w:eastAsia="Arial"/>
              </w:rPr>
              <w:t xml:space="preserve">   </w:t>
            </w:r>
          </w:p>
          <w:p w14:paraId="3E36C7E7" w14:textId="3CC00DAE" w:rsidR="00A760F8" w:rsidRDefault="00A760F8" w:rsidP="00A760F8">
            <w:pPr>
              <w:pStyle w:val="TableBody"/>
              <w:rPr>
                <w:rFonts w:eastAsia="Arial"/>
              </w:rPr>
            </w:pPr>
            <w:r>
              <w:rPr>
                <w:rFonts w:eastAsia="Arial"/>
              </w:rPr>
              <w:t>$</w:t>
            </w:r>
            <w:r w:rsidRPr="00852E31">
              <w:rPr>
                <w:rFonts w:eastAsia="Arial"/>
              </w:rPr>
              <w:t>0.1</w:t>
            </w:r>
            <w:r>
              <w:rPr>
                <w:rFonts w:eastAsia="Arial"/>
              </w:rPr>
              <w:t>7/l diesel</w:t>
            </w:r>
          </w:p>
          <w:p w14:paraId="48F8C10B" w14:textId="2ED9999D" w:rsidR="00A760F8" w:rsidRDefault="00A760F8" w:rsidP="00A760F8">
            <w:pPr>
              <w:pStyle w:val="TableBody"/>
              <w:rPr>
                <w:rFonts w:eastAsia="Arial"/>
              </w:rPr>
            </w:pPr>
            <w:r>
              <w:rPr>
                <w:rFonts w:eastAsia="Arial"/>
              </w:rPr>
              <w:t>$0.008/kwh electricity</w:t>
            </w:r>
            <w:r w:rsidRPr="00852E31">
              <w:rPr>
                <w:rFonts w:eastAsia="Arial"/>
              </w:rPr>
              <w:t xml:space="preserve">       </w:t>
            </w:r>
          </w:p>
          <w:p w14:paraId="323AEC1B" w14:textId="39A4B15C" w:rsidR="00A760F8" w:rsidRDefault="00A760F8" w:rsidP="00A760F8">
            <w:pPr>
              <w:pStyle w:val="TableBody"/>
              <w:rPr>
                <w:rFonts w:eastAsia="Arial"/>
              </w:rPr>
            </w:pPr>
            <w:r w:rsidRPr="00852E31">
              <w:rPr>
                <w:rFonts w:eastAsia="Arial"/>
              </w:rPr>
              <w:t xml:space="preserve">   </w:t>
            </w:r>
          </w:p>
          <w:p w14:paraId="3B1D8073" w14:textId="3D5FDF9F" w:rsidR="00A760F8" w:rsidRDefault="00A760F8" w:rsidP="00A760F8">
            <w:pPr>
              <w:pStyle w:val="TableBody"/>
              <w:rPr>
                <w:rFonts w:eastAsia="Arial"/>
              </w:rPr>
            </w:pPr>
            <w:r>
              <w:rPr>
                <w:rFonts w:eastAsia="Arial"/>
              </w:rPr>
              <w:t>Congestion costs</w:t>
            </w:r>
          </w:p>
          <w:p w14:paraId="73B57248" w14:textId="01E179D8" w:rsidR="00A760F8" w:rsidRDefault="00A760F8" w:rsidP="00A760F8">
            <w:pPr>
              <w:pStyle w:val="TableBody"/>
              <w:rPr>
                <w:rFonts w:eastAsia="Arial"/>
              </w:rPr>
            </w:pPr>
            <w:r>
              <w:rPr>
                <w:rFonts w:eastAsia="Arial"/>
              </w:rPr>
              <w:t>$</w:t>
            </w:r>
            <w:r w:rsidRPr="00852E31">
              <w:rPr>
                <w:rFonts w:eastAsia="Arial"/>
              </w:rPr>
              <w:t>0.19</w:t>
            </w:r>
            <w:r>
              <w:rPr>
                <w:rFonts w:eastAsia="Arial"/>
              </w:rPr>
              <w:t>/l gasoline</w:t>
            </w:r>
            <w:r w:rsidRPr="00852E31">
              <w:rPr>
                <w:rFonts w:eastAsia="Arial"/>
              </w:rPr>
              <w:t xml:space="preserve"> </w:t>
            </w:r>
            <w:r>
              <w:rPr>
                <w:rFonts w:eastAsia="Arial"/>
              </w:rPr>
              <w:t>and biofuels</w:t>
            </w:r>
            <w:r w:rsidRPr="00852E31">
              <w:rPr>
                <w:rFonts w:eastAsia="Arial"/>
              </w:rPr>
              <w:t xml:space="preserve">      </w:t>
            </w:r>
          </w:p>
          <w:p w14:paraId="2FA00189" w14:textId="7159DC3A" w:rsidR="00A760F8" w:rsidRDefault="00A760F8" w:rsidP="00A760F8">
            <w:pPr>
              <w:pStyle w:val="TableBody"/>
              <w:rPr>
                <w:rFonts w:eastAsia="Arial"/>
              </w:rPr>
            </w:pPr>
            <w:r>
              <w:rPr>
                <w:rFonts w:eastAsia="Arial"/>
              </w:rPr>
              <w:t>$</w:t>
            </w:r>
            <w:r w:rsidRPr="00852E31">
              <w:rPr>
                <w:rFonts w:eastAsia="Arial"/>
              </w:rPr>
              <w:t>0.17</w:t>
            </w:r>
            <w:r>
              <w:rPr>
                <w:rFonts w:eastAsia="Arial"/>
              </w:rPr>
              <w:t>/l diesel</w:t>
            </w:r>
          </w:p>
          <w:p w14:paraId="1DB6457F" w14:textId="1F62A046" w:rsidR="00A760F8" w:rsidRDefault="00A760F8" w:rsidP="00A760F8">
            <w:pPr>
              <w:pStyle w:val="TableBody"/>
              <w:rPr>
                <w:rFonts w:eastAsia="Arial"/>
              </w:rPr>
            </w:pPr>
            <w:r>
              <w:rPr>
                <w:rFonts w:eastAsia="Arial"/>
              </w:rPr>
              <w:t>$0.005/kwh electricity</w:t>
            </w:r>
          </w:p>
          <w:p w14:paraId="3F5B4AEA" w14:textId="2B742F7E" w:rsidR="00A760F8" w:rsidRDefault="00A760F8" w:rsidP="00A760F8">
            <w:pPr>
              <w:pStyle w:val="TableBody"/>
              <w:rPr>
                <w:rFonts w:eastAsia="Arial"/>
              </w:rPr>
            </w:pPr>
          </w:p>
        </w:tc>
        <w:tc>
          <w:tcPr>
            <w:tcW w:w="4140" w:type="dxa"/>
            <w:tcBorders>
              <w:top w:val="nil"/>
              <w:left w:val="nil"/>
              <w:bottom w:val="nil"/>
              <w:right w:val="nil"/>
            </w:tcBorders>
          </w:tcPr>
          <w:p w14:paraId="2C55D89D" w14:textId="33C8545C" w:rsidR="00A760F8" w:rsidRDefault="7654BBD9" w:rsidP="0CDBF178">
            <w:pPr>
              <w:pStyle w:val="TableBody"/>
              <w:rPr>
                <w:rFonts w:eastAsia="Arial" w:cs="Arial"/>
              </w:rPr>
            </w:pPr>
            <w:r w:rsidRPr="7654BBD9">
              <w:rPr>
                <w:rFonts w:eastAsia="Arial" w:cs="Arial"/>
              </w:rPr>
              <w:t xml:space="preserve">We use IMF’s fossil-fuel subsidies database (2021) to estimate the avoided congestion and crash cost on roads. These costs are provided per liter of fuel and reflect </w:t>
            </w:r>
            <w:r w:rsidRPr="00667429">
              <w:rPr>
                <w:rFonts w:eastAsia="Arial" w:cs="Arial"/>
              </w:rPr>
              <w:t>external costs</w:t>
            </w:r>
            <w:r w:rsidRPr="7654BBD9">
              <w:rPr>
                <w:rFonts w:eastAsia="Arial" w:cs="Arial"/>
              </w:rPr>
              <w:t xml:space="preserve">. We use average costs across LAC and calculate total crash costs assuming external crash costs are 75% of the </w:t>
            </w:r>
            <w:r w:rsidRPr="00721D63">
              <w:rPr>
                <w:rFonts w:eastAsia="Arial" w:cs="Arial"/>
              </w:rPr>
              <w:t>total (Parry et al., 2014).</w:t>
            </w:r>
            <w:r w:rsidRPr="7654BBD9">
              <w:rPr>
                <w:rFonts w:eastAsia="Arial" w:cs="Arial"/>
              </w:rPr>
              <w:t xml:space="preserve"> We assume gasoline externalities apply to biofuels and we apply costs to EVs by calculating the cost per unit of energy, adjusting for approximately 4× higher energy efficiency of EVs. </w:t>
            </w:r>
          </w:p>
        </w:tc>
      </w:tr>
      <w:tr w:rsidR="00A760F8" w14:paraId="42E5080B" w14:textId="77777777" w:rsidTr="7654BBD9">
        <w:tc>
          <w:tcPr>
            <w:tcW w:w="2610" w:type="dxa"/>
            <w:tcBorders>
              <w:top w:val="single" w:sz="4" w:space="0" w:color="auto"/>
              <w:left w:val="nil"/>
              <w:bottom w:val="nil"/>
              <w:right w:val="nil"/>
            </w:tcBorders>
          </w:tcPr>
          <w:p w14:paraId="70B78F20" w14:textId="77777777" w:rsidR="00A760F8" w:rsidRDefault="00A760F8" w:rsidP="00A760F8">
            <w:pPr>
              <w:pStyle w:val="TableBody"/>
              <w:rPr>
                <w:rFonts w:eastAsia="Arial"/>
              </w:rPr>
            </w:pPr>
          </w:p>
        </w:tc>
        <w:tc>
          <w:tcPr>
            <w:tcW w:w="2610" w:type="dxa"/>
            <w:tcBorders>
              <w:top w:val="single" w:sz="4" w:space="0" w:color="auto"/>
              <w:left w:val="nil"/>
              <w:bottom w:val="nil"/>
              <w:right w:val="nil"/>
            </w:tcBorders>
          </w:tcPr>
          <w:p w14:paraId="4CFAAAF9" w14:textId="77777777" w:rsidR="00A760F8" w:rsidRDefault="00A760F8" w:rsidP="00A760F8">
            <w:pPr>
              <w:pStyle w:val="TableBody"/>
              <w:rPr>
                <w:rFonts w:eastAsia="Arial"/>
              </w:rPr>
            </w:pPr>
          </w:p>
        </w:tc>
        <w:tc>
          <w:tcPr>
            <w:tcW w:w="4140" w:type="dxa"/>
            <w:tcBorders>
              <w:top w:val="single" w:sz="4" w:space="0" w:color="auto"/>
              <w:left w:val="nil"/>
              <w:bottom w:val="nil"/>
              <w:right w:val="nil"/>
            </w:tcBorders>
          </w:tcPr>
          <w:p w14:paraId="477DDF1C" w14:textId="77777777" w:rsidR="00A760F8" w:rsidRPr="003526C0" w:rsidRDefault="00A760F8" w:rsidP="00A760F8">
            <w:pPr>
              <w:rPr>
                <w:rFonts w:eastAsia="Arial"/>
                <w:sz w:val="18"/>
                <w:szCs w:val="18"/>
              </w:rPr>
            </w:pPr>
          </w:p>
        </w:tc>
      </w:tr>
    </w:tbl>
    <w:p w14:paraId="58B279E3" w14:textId="77777777" w:rsidR="00294E9A" w:rsidRPr="00C47EED" w:rsidRDefault="00294E9A" w:rsidP="00C47EED"/>
    <w:p w14:paraId="24E25B8C" w14:textId="77777777" w:rsidR="0054398B" w:rsidRDefault="0054398B" w:rsidP="0054398B"/>
    <w:p w14:paraId="70E3DD73" w14:textId="77777777" w:rsidR="0054398B" w:rsidRDefault="0054398B" w:rsidP="0054398B"/>
    <w:p w14:paraId="7E5D5FE2" w14:textId="77777777" w:rsidR="0054398B" w:rsidRDefault="0054398B">
      <w:pPr>
        <w:spacing w:line="240" w:lineRule="auto"/>
        <w:ind w:firstLine="0"/>
        <w:rPr>
          <w:rFonts w:ascii="Arial" w:hAnsi="Arial"/>
          <w:sz w:val="32"/>
          <w:szCs w:val="20"/>
        </w:rPr>
      </w:pPr>
      <w:r>
        <w:br w:type="page"/>
      </w:r>
    </w:p>
    <w:p w14:paraId="13CDA59B" w14:textId="37CD4AE8" w:rsidR="0054398B" w:rsidRPr="00A61DF4" w:rsidRDefault="0054398B" w:rsidP="0054398B">
      <w:pPr>
        <w:pStyle w:val="Heading1"/>
      </w:pPr>
      <w:bookmarkStart w:id="85" w:name="_Toc152088260"/>
      <w:r>
        <w:t xml:space="preserve">Appendix </w:t>
      </w:r>
      <w:r w:rsidR="00190D0A">
        <w:t>G</w:t>
      </w:r>
      <w:r>
        <w:t>. Waste</w:t>
      </w:r>
      <w:bookmarkEnd w:id="85"/>
    </w:p>
    <w:p w14:paraId="272F8D31" w14:textId="7019A0F7" w:rsidR="0054398B" w:rsidRPr="00AF5F7E" w:rsidRDefault="0CDBF178">
      <w:r>
        <w:t>The waste sector consists of solid and liquid waste from domestic and industrial sources. The emissions from this sector depend upon the quantity of waste produced, the composition of that waste, and the pathways by which that waste is handled. Correspondingly, emissions reductions can be achieved by reducing the amount of waste produced, altering the waste’s composition to have lower emissions potential, improving waste-treatment methods, and returning some portion of the waste stream back into the economy in the form of reused or recycled inputs.</w:t>
      </w:r>
    </w:p>
    <w:p w14:paraId="6D1F78B0" w14:textId="77777777" w:rsidR="0054398B" w:rsidRDefault="0054398B" w:rsidP="0054398B">
      <w:pPr>
        <w:pStyle w:val="Heading2"/>
      </w:pPr>
      <w:bookmarkStart w:id="86" w:name="_Toc152088261"/>
      <w:r>
        <w:t>Wastewater</w:t>
      </w:r>
      <w:bookmarkEnd w:id="86"/>
    </w:p>
    <w:p w14:paraId="3F160F9F" w14:textId="6256C030" w:rsidR="0054398B" w:rsidRDefault="68F647D8" w:rsidP="0054398B">
      <w:r>
        <w:t xml:space="preserve">Wastewater is produced by industrial and domestic sources. For industrial sources, wastewater management is defined by various levels of treatment, as Table G.1 describes. These treatments are consistent with the systems and discharge pathways described in the wastewater chapters of the IPCC’s </w:t>
      </w:r>
      <w:r w:rsidRPr="00667429">
        <w:rPr>
          <w:i/>
          <w:iCs/>
        </w:rPr>
        <w:t>2006 IPCC Guidelines for National Greenhouse Gas Inventories</w:t>
      </w:r>
      <w:r>
        <w:t xml:space="preserve"> and the subsequent 2019 Refinement (Eggleston et al., 2006; </w:t>
      </w:r>
      <w:proofErr w:type="spellStart"/>
      <w:r>
        <w:t>Zhongming</w:t>
      </w:r>
      <w:proofErr w:type="spellEnd"/>
      <w:r>
        <w:t xml:space="preserve"> et al., 2019).</w:t>
      </w:r>
    </w:p>
    <w:p w14:paraId="6AA2FD3D" w14:textId="0F2CF8BD" w:rsidR="0054398B" w:rsidRDefault="0CDBF178">
      <w:r>
        <w:t xml:space="preserve">For domestic users, wastewater management consists of sanitation </w:t>
      </w:r>
      <w:r w:rsidRPr="00667429">
        <w:t>and</w:t>
      </w:r>
      <w:r>
        <w:t xml:space="preserve"> wastewater treatment. The World Health Organization and United Nations Children’s Fund (WHO/UNICEF) Joint Monitoring Program (JMP) for Water Supply, Sanitation, and Hygiene describes a sanitation ladder with five rungs—from (1) open defecation (OD) to (2) unimproved, (3) limited, (4) basic, and (5) safely managed sanitation. Sustainable Development Goal (SDG) 6.2.1a seeks universal access to safely managed sanitation (WHO, 2021), but that means different pathways for urban and rural users, as Table G.2 shows.</w:t>
      </w:r>
    </w:p>
    <w:p w14:paraId="4C620E9E" w14:textId="1748F1B9" w:rsidR="0054398B" w:rsidRDefault="0CDBF178" w:rsidP="0CDBF178">
      <w:r>
        <w:t xml:space="preserve">In urban settings, safely managed sanitation generally involves sewers that collect household wastewater for subsequent centralized treatment using one of the categories of treatment options described in Table G.1. In rural settings, collection is generally cost prohibitive, so safely managed sanitation includes on-site treatment, e.g., in septic tanks with fecal sludge management. For this study, we have bundled rungs 1 and 2 into an “unimproved” sanitation category and rungs 3 and 4 into an “improved” sanitation category. </w:t>
      </w:r>
    </w:p>
    <w:p w14:paraId="5E85B228" w14:textId="77777777" w:rsidR="00FF0DA8" w:rsidRDefault="00FF0DA8">
      <w:pPr>
        <w:spacing w:line="240" w:lineRule="auto"/>
        <w:ind w:firstLine="0"/>
        <w:rPr>
          <w:rFonts w:ascii="Arial" w:hAnsi="Arial"/>
          <w:b/>
          <w:bCs/>
          <w:sz w:val="20"/>
          <w:szCs w:val="20"/>
        </w:rPr>
      </w:pPr>
      <w:r>
        <w:br w:type="page"/>
      </w:r>
    </w:p>
    <w:p w14:paraId="68D7A4A7" w14:textId="2042767C" w:rsidR="0054398B" w:rsidRDefault="0CDBF178" w:rsidP="0CDBF178">
      <w:pPr>
        <w:pStyle w:val="Heading9"/>
      </w:pPr>
      <w:bookmarkStart w:id="87" w:name="_Toc152088337"/>
      <w:r>
        <w:t>Table G.1 Wastewater treatment systems for industrial and domestic urban wastewater</w:t>
      </w:r>
      <w:bookmarkEnd w:id="87"/>
    </w:p>
    <w:tbl>
      <w:tblPr>
        <w:tblStyle w:val="TableGrid"/>
        <w:tblW w:w="0" w:type="auto"/>
        <w:tblCellMar>
          <w:top w:w="86" w:type="dxa"/>
          <w:bottom w:w="86" w:type="dxa"/>
        </w:tblCellMar>
        <w:tblLook w:val="0620" w:firstRow="1" w:lastRow="0" w:firstColumn="0" w:lastColumn="0" w:noHBand="1" w:noVBand="1"/>
      </w:tblPr>
      <w:tblGrid>
        <w:gridCol w:w="2340"/>
        <w:gridCol w:w="7020"/>
      </w:tblGrid>
      <w:tr w:rsidR="0054398B" w:rsidRPr="00C114A8" w14:paraId="1104F9DE"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2340" w:type="dxa"/>
            <w:tcMar>
              <w:top w:w="0" w:type="nil"/>
              <w:bottom w:w="0" w:type="nil"/>
              <w:right w:w="0" w:type="nil"/>
            </w:tcMar>
            <w:vAlign w:val="bottom"/>
          </w:tcPr>
          <w:p w14:paraId="33D49208" w14:textId="6C0F5568" w:rsidR="0054398B" w:rsidRPr="00C114A8" w:rsidRDefault="0CDBF178" w:rsidP="00667429">
            <w:pPr>
              <w:pStyle w:val="TableColHeading"/>
              <w:jc w:val="left"/>
            </w:pPr>
            <w:r>
              <w:t>Treatment system</w:t>
            </w:r>
          </w:p>
        </w:tc>
        <w:tc>
          <w:tcPr>
            <w:tcW w:w="7020" w:type="dxa"/>
            <w:tcMar>
              <w:top w:w="0" w:type="nil"/>
              <w:bottom w:w="0" w:type="nil"/>
              <w:right w:w="0" w:type="nil"/>
            </w:tcMar>
            <w:vAlign w:val="bottom"/>
          </w:tcPr>
          <w:p w14:paraId="7CF2FDF1" w14:textId="77777777" w:rsidR="0054398B" w:rsidRDefault="0054398B" w:rsidP="006D2776">
            <w:pPr>
              <w:pStyle w:val="TableColHeading"/>
            </w:pPr>
            <w:r>
              <w:t>Description</w:t>
            </w:r>
          </w:p>
        </w:tc>
      </w:tr>
      <w:tr w:rsidR="0054398B" w:rsidRPr="00C114A8" w14:paraId="6CA0AC62" w14:textId="77777777" w:rsidTr="0CDBF178">
        <w:tc>
          <w:tcPr>
            <w:tcW w:w="2340" w:type="dxa"/>
            <w:tcMar>
              <w:top w:w="0" w:type="nil"/>
              <w:bottom w:w="0" w:type="nil"/>
              <w:right w:w="0" w:type="nil"/>
            </w:tcMar>
          </w:tcPr>
          <w:p w14:paraId="06F2821C" w14:textId="1C6892E6" w:rsidR="0054398B" w:rsidRDefault="0CDBF178">
            <w:pPr>
              <w:pStyle w:val="TableBody"/>
            </w:pPr>
            <w:r>
              <w:t>No treatment</w:t>
            </w:r>
          </w:p>
        </w:tc>
        <w:tc>
          <w:tcPr>
            <w:tcW w:w="7020" w:type="dxa"/>
            <w:tcMar>
              <w:top w:w="0" w:type="nil"/>
              <w:bottom w:w="0" w:type="nil"/>
              <w:right w:w="0" w:type="nil"/>
            </w:tcMar>
          </w:tcPr>
          <w:p w14:paraId="20761216" w14:textId="77777777" w:rsidR="0054398B" w:rsidRDefault="0054398B" w:rsidP="006D2776">
            <w:pPr>
              <w:pStyle w:val="TableBody"/>
            </w:pPr>
            <w:r>
              <w:t>Wastewater is not treated and is discharged into the environment.</w:t>
            </w:r>
          </w:p>
        </w:tc>
      </w:tr>
      <w:tr w:rsidR="0054398B" w14:paraId="4F87A982" w14:textId="77777777" w:rsidTr="0CDBF178">
        <w:tc>
          <w:tcPr>
            <w:tcW w:w="2340" w:type="dxa"/>
            <w:tcMar>
              <w:top w:w="0" w:type="nil"/>
              <w:bottom w:w="0" w:type="nil"/>
              <w:right w:w="0" w:type="nil"/>
            </w:tcMar>
          </w:tcPr>
          <w:p w14:paraId="6B0215FF" w14:textId="7924DF15" w:rsidR="0054398B" w:rsidRDefault="0CDBF178">
            <w:pPr>
              <w:pStyle w:val="TableBody"/>
            </w:pPr>
            <w:r>
              <w:t>Primary treatment</w:t>
            </w:r>
          </w:p>
        </w:tc>
        <w:tc>
          <w:tcPr>
            <w:tcW w:w="7020" w:type="dxa"/>
            <w:tcMar>
              <w:top w:w="0" w:type="nil"/>
              <w:bottom w:w="0" w:type="nil"/>
              <w:right w:w="0" w:type="nil"/>
            </w:tcMar>
          </w:tcPr>
          <w:p w14:paraId="4A12D524" w14:textId="6C97E9C2" w:rsidR="0054398B" w:rsidRDefault="0CDBF178">
            <w:pPr>
              <w:pStyle w:val="TableBody"/>
            </w:pPr>
            <w:r>
              <w:t>Wastewater first is submitted to preliminary treatment to remove grit, rags, and large solids (e.g., wood or plastic) followed by primary treatment.</w:t>
            </w:r>
          </w:p>
        </w:tc>
      </w:tr>
      <w:tr w:rsidR="0054398B" w14:paraId="6AB119C8" w14:textId="77777777" w:rsidTr="0CDBF178">
        <w:tc>
          <w:tcPr>
            <w:tcW w:w="2340" w:type="dxa"/>
            <w:tcMar>
              <w:top w:w="0" w:type="nil"/>
              <w:bottom w:w="0" w:type="nil"/>
              <w:right w:w="0" w:type="nil"/>
            </w:tcMar>
          </w:tcPr>
          <w:p w14:paraId="227EBB7E" w14:textId="4EF8E847" w:rsidR="0054398B" w:rsidRDefault="0CDBF178">
            <w:pPr>
              <w:pStyle w:val="TableBody"/>
            </w:pPr>
            <w:r>
              <w:t>Secondary treatment</w:t>
            </w:r>
          </w:p>
          <w:p w14:paraId="72EB8D63" w14:textId="77777777" w:rsidR="0054398B" w:rsidRDefault="0054398B" w:rsidP="006D2776">
            <w:pPr>
              <w:pStyle w:val="TableBody"/>
              <w:rPr>
                <w:szCs w:val="18"/>
              </w:rPr>
            </w:pPr>
          </w:p>
        </w:tc>
        <w:tc>
          <w:tcPr>
            <w:tcW w:w="7020" w:type="dxa"/>
            <w:tcMar>
              <w:top w:w="0" w:type="nil"/>
              <w:bottom w:w="0" w:type="nil"/>
              <w:right w:w="0" w:type="nil"/>
            </w:tcMar>
          </w:tcPr>
          <w:p w14:paraId="519C0D25" w14:textId="77777777" w:rsidR="0054398B" w:rsidRDefault="0054398B" w:rsidP="006D2776">
            <w:pPr>
              <w:pStyle w:val="TableBody"/>
              <w:rPr>
                <w:szCs w:val="18"/>
              </w:rPr>
            </w:pPr>
            <w:r w:rsidRPr="1FB29AC7">
              <w:rPr>
                <w:szCs w:val="18"/>
              </w:rPr>
              <w:t xml:space="preserve">Wastewater is treated at </w:t>
            </w:r>
            <w:r w:rsidRPr="70AD0C97">
              <w:rPr>
                <w:szCs w:val="18"/>
              </w:rPr>
              <w:t>a</w:t>
            </w:r>
            <w:r w:rsidRPr="1FB29AC7">
              <w:rPr>
                <w:szCs w:val="18"/>
              </w:rPr>
              <w:t xml:space="preserve"> wastewater treatment plant and includes </w:t>
            </w:r>
            <w:r w:rsidRPr="6C637327">
              <w:rPr>
                <w:szCs w:val="18"/>
              </w:rPr>
              <w:t>preliminary,</w:t>
            </w:r>
            <w:r w:rsidRPr="4BBE788C">
              <w:rPr>
                <w:szCs w:val="18"/>
              </w:rPr>
              <w:t xml:space="preserve"> </w:t>
            </w:r>
            <w:r w:rsidRPr="6C637327">
              <w:rPr>
                <w:szCs w:val="18"/>
              </w:rPr>
              <w:t>primary</w:t>
            </w:r>
            <w:r>
              <w:rPr>
                <w:szCs w:val="18"/>
              </w:rPr>
              <w:t>,</w:t>
            </w:r>
            <w:r w:rsidRPr="225FB633">
              <w:rPr>
                <w:szCs w:val="18"/>
              </w:rPr>
              <w:t xml:space="preserve"> and </w:t>
            </w:r>
            <w:r w:rsidRPr="48A3DE95">
              <w:rPr>
                <w:szCs w:val="18"/>
              </w:rPr>
              <w:t>secondary treatment.</w:t>
            </w:r>
          </w:p>
        </w:tc>
      </w:tr>
      <w:tr w:rsidR="0054398B" w:rsidRPr="00C114A8" w14:paraId="5AC046D7" w14:textId="77777777" w:rsidTr="0CDBF178">
        <w:tc>
          <w:tcPr>
            <w:tcW w:w="2340" w:type="dxa"/>
            <w:tcMar>
              <w:top w:w="0" w:type="nil"/>
              <w:bottom w:w="0" w:type="nil"/>
              <w:right w:w="0" w:type="nil"/>
            </w:tcMar>
          </w:tcPr>
          <w:p w14:paraId="27370997" w14:textId="29E47A5B" w:rsidR="0054398B" w:rsidRDefault="0CDBF178" w:rsidP="0CDBF178">
            <w:pPr>
              <w:pStyle w:val="TableBody"/>
            </w:pPr>
            <w:r>
              <w:t>Tertiary treatment (aerobic)</w:t>
            </w:r>
          </w:p>
        </w:tc>
        <w:tc>
          <w:tcPr>
            <w:tcW w:w="7020" w:type="dxa"/>
            <w:tcMar>
              <w:top w:w="0" w:type="nil"/>
              <w:bottom w:w="0" w:type="nil"/>
              <w:right w:w="0" w:type="nil"/>
            </w:tcMar>
          </w:tcPr>
          <w:p w14:paraId="0577A9F8" w14:textId="3045C646" w:rsidR="0054398B" w:rsidRPr="00CA503D" w:rsidRDefault="0CDBF178" w:rsidP="006D2776">
            <w:pPr>
              <w:pStyle w:val="TableBody"/>
            </w:pPr>
            <w:r>
              <w:t>Wastewater is treated at an aerobic wastewater treatment plant and includes preliminary, primary, secondary, and tertiary treatment. Sludge is diverted further and managed as solid waste in the solid waste model.</w:t>
            </w:r>
          </w:p>
        </w:tc>
      </w:tr>
      <w:tr w:rsidR="0054398B" w:rsidRPr="00C114A8" w14:paraId="42447402" w14:textId="77777777" w:rsidTr="0CDBF178">
        <w:tc>
          <w:tcPr>
            <w:tcW w:w="2340" w:type="dxa"/>
            <w:tcMar>
              <w:top w:w="0" w:type="nil"/>
              <w:bottom w:w="0" w:type="nil"/>
              <w:right w:w="0" w:type="nil"/>
            </w:tcMar>
          </w:tcPr>
          <w:p w14:paraId="1D6A8557" w14:textId="4A546875" w:rsidR="0054398B" w:rsidRDefault="0CDBF178" w:rsidP="0CDBF178">
            <w:pPr>
              <w:pStyle w:val="TableBody"/>
            </w:pPr>
            <w:r>
              <w:t>Tertiary treatment (anaerobic)</w:t>
            </w:r>
          </w:p>
        </w:tc>
        <w:tc>
          <w:tcPr>
            <w:tcW w:w="7020" w:type="dxa"/>
            <w:tcMar>
              <w:top w:w="0" w:type="nil"/>
              <w:bottom w:w="0" w:type="nil"/>
              <w:right w:w="0" w:type="nil"/>
            </w:tcMar>
          </w:tcPr>
          <w:p w14:paraId="1A8A2F47" w14:textId="77777777" w:rsidR="0054398B" w:rsidRDefault="0054398B" w:rsidP="006D2776">
            <w:pPr>
              <w:pStyle w:val="TableBody"/>
            </w:pPr>
            <w:r>
              <w:t>Wastewater is treated at an anaerobic wastewater treatment plant and includes preliminary, primary, secondary, and tertiary treatment.</w:t>
            </w:r>
          </w:p>
        </w:tc>
      </w:tr>
      <w:tr w:rsidR="0054398B" w:rsidRPr="00A61DF4" w14:paraId="023DB3D7" w14:textId="77777777" w:rsidTr="0CDBF178">
        <w:trPr>
          <w:trHeight w:val="21"/>
        </w:trPr>
        <w:tc>
          <w:tcPr>
            <w:tcW w:w="9360" w:type="dxa"/>
            <w:gridSpan w:val="2"/>
            <w:tcBorders>
              <w:top w:val="single" w:sz="8" w:space="0" w:color="auto"/>
            </w:tcBorders>
            <w:tcMar>
              <w:top w:w="0" w:type="nil"/>
              <w:bottom w:w="0" w:type="nil"/>
              <w:right w:w="0" w:type="nil"/>
            </w:tcMar>
          </w:tcPr>
          <w:p w14:paraId="572359ED" w14:textId="6BA6FD04" w:rsidR="0054398B" w:rsidRPr="00A61DF4" w:rsidRDefault="0054398B" w:rsidP="006D2776">
            <w:pPr>
              <w:pStyle w:val="TableNote"/>
            </w:pPr>
          </w:p>
        </w:tc>
      </w:tr>
    </w:tbl>
    <w:p w14:paraId="1428F14F" w14:textId="0E9FB234" w:rsidR="0054398B" w:rsidRDefault="0CDBF178" w:rsidP="0CDBF178">
      <w:pPr>
        <w:pStyle w:val="Heading9"/>
      </w:pPr>
      <w:bookmarkStart w:id="88" w:name="_Toc152088338"/>
      <w:r>
        <w:t>Table G.2 Domestic sanitation systems</w:t>
      </w:r>
      <w:bookmarkEnd w:id="88"/>
    </w:p>
    <w:tbl>
      <w:tblPr>
        <w:tblStyle w:val="TableGrid"/>
        <w:tblW w:w="0" w:type="auto"/>
        <w:tblCellMar>
          <w:top w:w="86" w:type="dxa"/>
          <w:bottom w:w="86" w:type="dxa"/>
        </w:tblCellMar>
        <w:tblLook w:val="0620" w:firstRow="1" w:lastRow="0" w:firstColumn="0" w:lastColumn="0" w:noHBand="1" w:noVBand="1"/>
      </w:tblPr>
      <w:tblGrid>
        <w:gridCol w:w="1660"/>
        <w:gridCol w:w="3560"/>
        <w:gridCol w:w="543"/>
        <w:gridCol w:w="3597"/>
      </w:tblGrid>
      <w:tr w:rsidR="0054398B" w:rsidRPr="00C114A8" w14:paraId="723F1394"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1660" w:type="dxa"/>
            <w:tcMar>
              <w:top w:w="0" w:type="nil"/>
              <w:bottom w:w="0" w:type="nil"/>
              <w:right w:w="0" w:type="nil"/>
            </w:tcMar>
            <w:vAlign w:val="bottom"/>
          </w:tcPr>
          <w:p w14:paraId="01BE3201" w14:textId="1FC9A2C7" w:rsidR="0054398B" w:rsidRPr="00C114A8" w:rsidRDefault="0CDBF178" w:rsidP="00667429">
            <w:pPr>
              <w:pStyle w:val="TableColHeading"/>
              <w:jc w:val="left"/>
            </w:pPr>
            <w:r>
              <w:t>Sanitation system</w:t>
            </w:r>
          </w:p>
        </w:tc>
        <w:tc>
          <w:tcPr>
            <w:tcW w:w="4103" w:type="dxa"/>
            <w:gridSpan w:val="2"/>
            <w:tcMar>
              <w:top w:w="0" w:type="nil"/>
              <w:bottom w:w="0" w:type="nil"/>
              <w:right w:w="0" w:type="nil"/>
            </w:tcMar>
            <w:vAlign w:val="bottom"/>
          </w:tcPr>
          <w:p w14:paraId="789113B8" w14:textId="77777777" w:rsidR="0054398B" w:rsidRDefault="0054398B" w:rsidP="006D2776">
            <w:pPr>
              <w:pStyle w:val="TableColHeading"/>
            </w:pPr>
            <w:r>
              <w:t>Rural</w:t>
            </w:r>
          </w:p>
        </w:tc>
        <w:tc>
          <w:tcPr>
            <w:tcW w:w="3597" w:type="dxa"/>
          </w:tcPr>
          <w:p w14:paraId="70AE855C" w14:textId="77777777" w:rsidR="0054398B" w:rsidRDefault="0054398B" w:rsidP="006D2776">
            <w:pPr>
              <w:pStyle w:val="TableColHeading"/>
            </w:pPr>
            <w:r>
              <w:t>Urban</w:t>
            </w:r>
          </w:p>
        </w:tc>
      </w:tr>
      <w:tr w:rsidR="0054398B" w:rsidRPr="00C114A8" w14:paraId="08599781" w14:textId="77777777" w:rsidTr="0CDBF178">
        <w:tc>
          <w:tcPr>
            <w:tcW w:w="1660" w:type="dxa"/>
            <w:tcMar>
              <w:top w:w="0" w:type="nil"/>
              <w:bottom w:w="0" w:type="nil"/>
              <w:right w:w="0" w:type="nil"/>
            </w:tcMar>
          </w:tcPr>
          <w:p w14:paraId="78DF0A06" w14:textId="2B09FB8F" w:rsidR="0054398B" w:rsidRPr="00C114A8" w:rsidRDefault="0CDBF178">
            <w:pPr>
              <w:pStyle w:val="TableBody"/>
            </w:pPr>
            <w:r>
              <w:t>Unimproved sanitation</w:t>
            </w:r>
          </w:p>
        </w:tc>
        <w:tc>
          <w:tcPr>
            <w:tcW w:w="7700" w:type="dxa"/>
            <w:gridSpan w:val="3"/>
            <w:tcMar>
              <w:top w:w="0" w:type="nil"/>
              <w:bottom w:w="0" w:type="nil"/>
              <w:right w:w="0" w:type="nil"/>
            </w:tcMar>
          </w:tcPr>
          <w:p w14:paraId="1F9092B9" w14:textId="6535E2CE" w:rsidR="0054398B" w:rsidRDefault="0CDBF178" w:rsidP="006D2776">
            <w:pPr>
              <w:pStyle w:val="TableBody"/>
            </w:pPr>
            <w:r>
              <w:t xml:space="preserve">Open defecation (OD) or basic latrines without wastewater treatment, corresponding to the lowest two rungs of the Joint Monitoring Program (JMP) sanitation ladder (unimproved and limited sanitation). </w:t>
            </w:r>
          </w:p>
        </w:tc>
      </w:tr>
      <w:tr w:rsidR="0054398B" w:rsidRPr="00C114A8" w14:paraId="5CB1F80F" w14:textId="77777777" w:rsidTr="0CDBF178">
        <w:tc>
          <w:tcPr>
            <w:tcW w:w="1660" w:type="dxa"/>
            <w:tcMar>
              <w:top w:w="0" w:type="nil"/>
              <w:bottom w:w="0" w:type="nil"/>
              <w:right w:w="0" w:type="nil"/>
            </w:tcMar>
          </w:tcPr>
          <w:p w14:paraId="7015F099" w14:textId="1FFFAC1B" w:rsidR="0054398B" w:rsidRPr="00C114A8" w:rsidRDefault="0CDBF178">
            <w:pPr>
              <w:pStyle w:val="TableBody"/>
            </w:pPr>
            <w:r>
              <w:t xml:space="preserve">Improved </w:t>
            </w:r>
            <w:r w:rsidR="0054398B">
              <w:br/>
            </w:r>
            <w:r>
              <w:t>sanitation</w:t>
            </w:r>
          </w:p>
        </w:tc>
        <w:tc>
          <w:tcPr>
            <w:tcW w:w="3560" w:type="dxa"/>
            <w:tcMar>
              <w:top w:w="0" w:type="nil"/>
              <w:bottom w:w="0" w:type="nil"/>
              <w:right w:w="0" w:type="nil"/>
            </w:tcMar>
          </w:tcPr>
          <w:p w14:paraId="14BC1B64" w14:textId="77777777" w:rsidR="0054398B" w:rsidRDefault="0054398B" w:rsidP="006D2776">
            <w:pPr>
              <w:pStyle w:val="TableBody"/>
            </w:pPr>
            <w:r>
              <w:t>On-site treatment in basic septic tanks or improved latrines, corresponding to the middle two rungs of the JMP sanitation ladder (improved and basic sanitation).</w:t>
            </w:r>
          </w:p>
        </w:tc>
        <w:tc>
          <w:tcPr>
            <w:tcW w:w="4140" w:type="dxa"/>
            <w:gridSpan w:val="2"/>
          </w:tcPr>
          <w:p w14:paraId="0F737DE8" w14:textId="77777777" w:rsidR="0054398B" w:rsidRDefault="0054398B" w:rsidP="006D2776">
            <w:pPr>
              <w:pStyle w:val="TableBody"/>
            </w:pPr>
            <w:r>
              <w:t>On-site treatment in basic septic tanks or sewered collection without subsequent wastewater treatment, corresponding to the middle two rungs of the JMP sanitation ladder (improved and basic sanitation).</w:t>
            </w:r>
          </w:p>
        </w:tc>
      </w:tr>
      <w:tr w:rsidR="0054398B" w:rsidRPr="00C114A8" w14:paraId="15A07ED7" w14:textId="77777777" w:rsidTr="0CDBF178">
        <w:tc>
          <w:tcPr>
            <w:tcW w:w="1660" w:type="dxa"/>
            <w:tcMar>
              <w:top w:w="0" w:type="nil"/>
              <w:bottom w:w="0" w:type="nil"/>
              <w:right w:w="0" w:type="nil"/>
            </w:tcMar>
          </w:tcPr>
          <w:p w14:paraId="32863BEE" w14:textId="3DC13114" w:rsidR="0054398B" w:rsidRDefault="0CDBF178" w:rsidP="0CDBF178">
            <w:pPr>
              <w:pStyle w:val="TableBody"/>
            </w:pPr>
            <w:r>
              <w:t>Safely managed sanitation</w:t>
            </w:r>
          </w:p>
        </w:tc>
        <w:tc>
          <w:tcPr>
            <w:tcW w:w="3560" w:type="dxa"/>
            <w:tcMar>
              <w:top w:w="0" w:type="nil"/>
              <w:bottom w:w="0" w:type="nil"/>
              <w:right w:w="0" w:type="nil"/>
            </w:tcMar>
          </w:tcPr>
          <w:p w14:paraId="62B5E330" w14:textId="77777777" w:rsidR="0054398B" w:rsidRDefault="0054398B" w:rsidP="006D2776">
            <w:pPr>
              <w:pStyle w:val="TableBody"/>
            </w:pPr>
            <w:r>
              <w:t>Septic tanks or improved latrines with fecal sludge management (FSM), consistent with the definition of “safely managed sanitation” used by the JMP.</w:t>
            </w:r>
          </w:p>
        </w:tc>
        <w:tc>
          <w:tcPr>
            <w:tcW w:w="4140" w:type="dxa"/>
            <w:gridSpan w:val="2"/>
          </w:tcPr>
          <w:p w14:paraId="76D99E72" w14:textId="1235304C" w:rsidR="0054398B" w:rsidRDefault="0CDBF178">
            <w:pPr>
              <w:pStyle w:val="TableBody"/>
            </w:pPr>
            <w:r>
              <w:t xml:space="preserve">Sewered collection with subsequent centralized treatment at a wastewater treatment facility (see Table B.1), consistent with the definition of “safely managed sanitation” used by the JMP. </w:t>
            </w:r>
          </w:p>
        </w:tc>
      </w:tr>
      <w:tr w:rsidR="0054398B" w:rsidRPr="00A61DF4" w14:paraId="587B622F" w14:textId="77777777" w:rsidTr="0CDBF178">
        <w:trPr>
          <w:trHeight w:val="21"/>
        </w:trPr>
        <w:tc>
          <w:tcPr>
            <w:tcW w:w="9360" w:type="dxa"/>
            <w:gridSpan w:val="4"/>
            <w:tcBorders>
              <w:top w:val="single" w:sz="8" w:space="0" w:color="auto"/>
            </w:tcBorders>
            <w:tcMar>
              <w:top w:w="0" w:type="nil"/>
              <w:bottom w:w="0" w:type="nil"/>
              <w:right w:w="0" w:type="nil"/>
            </w:tcMar>
          </w:tcPr>
          <w:p w14:paraId="22D4CAF8" w14:textId="77777777" w:rsidR="0054398B" w:rsidRDefault="0054398B" w:rsidP="001C5611">
            <w:pPr>
              <w:pStyle w:val="TableNote"/>
            </w:pPr>
          </w:p>
        </w:tc>
      </w:tr>
    </w:tbl>
    <w:p w14:paraId="732DC34A" w14:textId="730A71E0" w:rsidR="00923856" w:rsidRPr="00923856" w:rsidRDefault="0CDBF178" w:rsidP="0CDBF178">
      <w:pPr>
        <w:pStyle w:val="Heading3"/>
      </w:pPr>
      <w:bookmarkStart w:id="89" w:name="_Toc152088262"/>
      <w:r>
        <w:t>Wastewater historical data and projections</w:t>
      </w:r>
      <w:bookmarkEnd w:id="89"/>
    </w:p>
    <w:p w14:paraId="178959FF" w14:textId="00401280" w:rsidR="0054398B" w:rsidRDefault="68F647D8" w:rsidP="68F647D8">
      <w:r>
        <w:t>Domestic wastewater is generated per capita and grows with GDP, while industrial wastewater is driven by industrial goods’ production. Then wastewater is allocated to various wastewater management options. The GHG emissions associated with each wastewater option are calculated using emissions factors consistent with the methodology in the 2006 and 2019 IPCC guidelines for national GHG inventories on which the wastewater model is based. Wastewater is estimated to increase under baseline conditions because of projected population and industrial activity increases. Table G.3 lists data sources we used to project wastewater emissions.</w:t>
      </w:r>
    </w:p>
    <w:p w14:paraId="7303FEF3" w14:textId="77777777" w:rsidR="00205590" w:rsidRDefault="00205590" w:rsidP="0054398B"/>
    <w:p w14:paraId="4FAD7C8F" w14:textId="000ABF6A" w:rsidR="00205590" w:rsidRDefault="0CDBF178" w:rsidP="0CDBF178">
      <w:pPr>
        <w:pStyle w:val="Heading9"/>
      </w:pPr>
      <w:bookmarkStart w:id="90" w:name="_Toc152088339"/>
      <w:r w:rsidRPr="0CDBF178">
        <w:rPr>
          <w:rFonts w:eastAsia="Arial"/>
        </w:rPr>
        <w:t>Table G.3. Data and methods for historical and baseline projection results</w:t>
      </w:r>
      <w:bookmarkEnd w:id="90"/>
    </w:p>
    <w:tbl>
      <w:tblPr>
        <w:tblStyle w:val="TableGrid"/>
        <w:tblW w:w="0" w:type="auto"/>
        <w:tblLayout w:type="fixed"/>
        <w:tblLook w:val="0620" w:firstRow="1" w:lastRow="0" w:firstColumn="0" w:lastColumn="0" w:noHBand="1" w:noVBand="1"/>
      </w:tblPr>
      <w:tblGrid>
        <w:gridCol w:w="2250"/>
        <w:gridCol w:w="3510"/>
        <w:gridCol w:w="3600"/>
      </w:tblGrid>
      <w:tr w:rsidR="00205590" w14:paraId="0BDC7D21"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4D905343" w14:textId="77777777" w:rsidR="00205590" w:rsidRDefault="00205590">
            <w:r>
              <w:rPr>
                <w:rFonts w:eastAsia="Arial" w:cs="Arial"/>
                <w:b/>
                <w:bCs/>
                <w:sz w:val="18"/>
                <w:szCs w:val="18"/>
              </w:rPr>
              <w:t>Data</w:t>
            </w:r>
          </w:p>
        </w:tc>
        <w:tc>
          <w:tcPr>
            <w:tcW w:w="3510" w:type="dxa"/>
            <w:tcBorders>
              <w:left w:val="nil"/>
              <w:right w:val="nil"/>
            </w:tcBorders>
          </w:tcPr>
          <w:p w14:paraId="34D71EF6" w14:textId="5B6C4464" w:rsidR="00205590"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3BCB933E" w14:textId="23D46AFC" w:rsidR="00205590" w:rsidRDefault="0CDBF178" w:rsidP="0CDBF178">
            <w:pPr>
              <w:jc w:val="center"/>
            </w:pPr>
            <w:r w:rsidRPr="0CDBF178">
              <w:rPr>
                <w:rFonts w:eastAsia="Arial" w:cs="Arial"/>
                <w:b/>
                <w:bCs/>
                <w:sz w:val="18"/>
                <w:szCs w:val="18"/>
              </w:rPr>
              <w:t>Method for baseline projection</w:t>
            </w:r>
          </w:p>
        </w:tc>
      </w:tr>
      <w:tr w:rsidR="00205590" w14:paraId="69375D9E" w14:textId="77777777" w:rsidTr="7654BBD9">
        <w:tc>
          <w:tcPr>
            <w:tcW w:w="2250" w:type="dxa"/>
            <w:tcBorders>
              <w:top w:val="nil"/>
              <w:left w:val="nil"/>
              <w:bottom w:val="nil"/>
              <w:right w:val="nil"/>
            </w:tcBorders>
          </w:tcPr>
          <w:p w14:paraId="24B91908" w14:textId="010C7A23" w:rsidR="00205590" w:rsidRPr="00721D63" w:rsidRDefault="00205590">
            <w:pPr>
              <w:pStyle w:val="TableBody"/>
            </w:pPr>
            <w:r w:rsidRPr="00721D63">
              <w:rPr>
                <w:rFonts w:eastAsia="Arial"/>
              </w:rPr>
              <w:t>Production of wastewater</w:t>
            </w:r>
          </w:p>
        </w:tc>
        <w:tc>
          <w:tcPr>
            <w:tcW w:w="3510" w:type="dxa"/>
            <w:tcBorders>
              <w:top w:val="nil"/>
              <w:left w:val="nil"/>
              <w:bottom w:val="nil"/>
              <w:right w:val="nil"/>
            </w:tcBorders>
          </w:tcPr>
          <w:p w14:paraId="6C020AAA" w14:textId="32B53F5F" w:rsidR="00695694" w:rsidRPr="00721D63" w:rsidRDefault="7654BBD9">
            <w:pPr>
              <w:pStyle w:val="TableBody"/>
            </w:pPr>
            <w:r w:rsidRPr="00721D63">
              <w:t>Wastewater volumes are estimated using FAO AQUASTAT (2019) database.</w:t>
            </w:r>
          </w:p>
        </w:tc>
        <w:tc>
          <w:tcPr>
            <w:tcW w:w="3600" w:type="dxa"/>
            <w:tcBorders>
              <w:top w:val="nil"/>
              <w:left w:val="nil"/>
              <w:bottom w:val="nil"/>
              <w:right w:val="nil"/>
            </w:tcBorders>
          </w:tcPr>
          <w:p w14:paraId="7234A8A9" w14:textId="39D96BBD" w:rsidR="00205590" w:rsidRPr="004D2221" w:rsidRDefault="0CDBF178" w:rsidP="002D4C7A">
            <w:pPr>
              <w:pStyle w:val="TableBody"/>
            </w:pPr>
            <w:r>
              <w:t xml:space="preserve">Wastewater production volumes are projected in the future using GDP per capita to project volumes of wastewater produced. </w:t>
            </w:r>
          </w:p>
        </w:tc>
      </w:tr>
      <w:tr w:rsidR="00205590" w14:paraId="3F0FA531" w14:textId="77777777" w:rsidTr="7654BBD9">
        <w:tc>
          <w:tcPr>
            <w:tcW w:w="2250" w:type="dxa"/>
            <w:tcBorders>
              <w:top w:val="nil"/>
              <w:left w:val="nil"/>
              <w:bottom w:val="nil"/>
              <w:right w:val="nil"/>
            </w:tcBorders>
          </w:tcPr>
          <w:p w14:paraId="0C0F6AEA" w14:textId="5B911813" w:rsidR="00205590" w:rsidRPr="00721D63" w:rsidRDefault="00205590">
            <w:pPr>
              <w:pStyle w:val="TableBody"/>
              <w:rPr>
                <w:rFonts w:eastAsia="Arial"/>
              </w:rPr>
            </w:pPr>
            <w:r w:rsidRPr="00721D63">
              <w:rPr>
                <w:rFonts w:eastAsia="Arial"/>
              </w:rPr>
              <w:t>Fraction of wastewater treated by each pathway</w:t>
            </w:r>
          </w:p>
        </w:tc>
        <w:tc>
          <w:tcPr>
            <w:tcW w:w="3510" w:type="dxa"/>
            <w:tcBorders>
              <w:top w:val="nil"/>
              <w:left w:val="nil"/>
              <w:bottom w:val="nil"/>
              <w:right w:val="nil"/>
            </w:tcBorders>
          </w:tcPr>
          <w:p w14:paraId="6E7EB911" w14:textId="05FF3AB0" w:rsidR="00695694" w:rsidRPr="00721D63" w:rsidRDefault="7654BBD9">
            <w:pPr>
              <w:pStyle w:val="TableBody"/>
              <w:rPr>
                <w:rFonts w:eastAsia="Arial"/>
              </w:rPr>
            </w:pPr>
            <w:r w:rsidRPr="00721D63">
              <w:rPr>
                <w:rFonts w:eastAsia="Arial"/>
              </w:rPr>
              <w:t xml:space="preserve">Wastewater volumes across different pathways are estimated using the </w:t>
            </w:r>
            <w:proofErr w:type="spellStart"/>
            <w:r w:rsidRPr="00721D63">
              <w:rPr>
                <w:rFonts w:eastAsia="Arial"/>
              </w:rPr>
              <w:t>HydroWASTE</w:t>
            </w:r>
            <w:proofErr w:type="spellEnd"/>
            <w:r w:rsidRPr="00721D63">
              <w:rPr>
                <w:rFonts w:eastAsia="Arial"/>
              </w:rPr>
              <w:t xml:space="preserve"> (2023) database.</w:t>
            </w:r>
          </w:p>
          <w:p w14:paraId="1D8FFCFB" w14:textId="4E32DB48" w:rsidR="00695694" w:rsidRPr="00721D63" w:rsidRDefault="00695694">
            <w:pPr>
              <w:pStyle w:val="TableBody"/>
              <w:rPr>
                <w:rFonts w:eastAsia="Arial"/>
                <w:vertAlign w:val="superscript"/>
              </w:rPr>
            </w:pPr>
          </w:p>
        </w:tc>
        <w:tc>
          <w:tcPr>
            <w:tcW w:w="3600" w:type="dxa"/>
            <w:tcBorders>
              <w:top w:val="nil"/>
              <w:left w:val="nil"/>
              <w:bottom w:val="nil"/>
              <w:right w:val="nil"/>
            </w:tcBorders>
          </w:tcPr>
          <w:p w14:paraId="7B21142B" w14:textId="2B764597" w:rsidR="00205590" w:rsidRPr="004D2221" w:rsidRDefault="0CDBF178">
            <w:pPr>
              <w:pStyle w:val="TableBody"/>
              <w:rPr>
                <w:rFonts w:eastAsia="Arial"/>
              </w:rPr>
            </w:pPr>
            <w:r w:rsidRPr="0CDBF178">
              <w:rPr>
                <w:rFonts w:eastAsia="Arial"/>
              </w:rPr>
              <w:t xml:space="preserve">At baseline (i.e., no transformations), shares of treatment across pathways are assumed to remain constant. These shares are modified when transformations are activated in the simulation. </w:t>
            </w:r>
          </w:p>
        </w:tc>
      </w:tr>
      <w:tr w:rsidR="00205590" w14:paraId="49CD9845" w14:textId="77777777" w:rsidTr="7654BBD9">
        <w:tc>
          <w:tcPr>
            <w:tcW w:w="2250" w:type="dxa"/>
            <w:tcBorders>
              <w:top w:val="nil"/>
              <w:left w:val="nil"/>
              <w:bottom w:val="nil"/>
              <w:right w:val="nil"/>
            </w:tcBorders>
          </w:tcPr>
          <w:p w14:paraId="7752FFF0" w14:textId="02817995" w:rsidR="00205590" w:rsidRDefault="00205590">
            <w:pPr>
              <w:pStyle w:val="TableBody"/>
            </w:pPr>
            <w:r>
              <w:rPr>
                <w:rFonts w:eastAsia="Arial"/>
              </w:rPr>
              <w:t>Emissions intensity (emissions per unit of wastewater, by pathway)</w:t>
            </w:r>
          </w:p>
        </w:tc>
        <w:tc>
          <w:tcPr>
            <w:tcW w:w="3510" w:type="dxa"/>
            <w:tcBorders>
              <w:top w:val="nil"/>
              <w:left w:val="nil"/>
              <w:bottom w:val="nil"/>
              <w:right w:val="nil"/>
            </w:tcBorders>
          </w:tcPr>
          <w:p w14:paraId="5287B775" w14:textId="53E95352" w:rsidR="00205590" w:rsidRDefault="0CDBF178" w:rsidP="002D4C7A">
            <w:pPr>
              <w:pStyle w:val="TableBody"/>
            </w:pPr>
            <w:r>
              <w:t>The N2O Wastewater Treatment Emission Factor is based on IPCC Guidelines for National Greenhouse Gas Inventories, Tables 6.8A and 6.10C (IPPC, 2019).</w:t>
            </w:r>
          </w:p>
          <w:p w14:paraId="020B2B9B" w14:textId="77777777" w:rsidR="00144B49" w:rsidRDefault="00144B49" w:rsidP="002D4C7A">
            <w:pPr>
              <w:pStyle w:val="TableBody"/>
              <w:rPr>
                <w:szCs w:val="18"/>
              </w:rPr>
            </w:pPr>
          </w:p>
          <w:p w14:paraId="1F0D5CAE" w14:textId="1A8C77F9" w:rsidR="00C41F14" w:rsidRDefault="0CDBF178" w:rsidP="002D4C7A">
            <w:pPr>
              <w:pStyle w:val="TableBody"/>
            </w:pPr>
            <w:r>
              <w:t>The Wastewater Treatment Methane Correction Factor is based on IPCC Guidelines for National Greenhouse Gas Inventories, Table 6.3 (IPPC, 2019).</w:t>
            </w:r>
          </w:p>
          <w:p w14:paraId="75D1F91B" w14:textId="29F259D1" w:rsidR="00205590" w:rsidRPr="00370E3E" w:rsidRDefault="00205590">
            <w:pPr>
              <w:pStyle w:val="TableBody"/>
              <w:rPr>
                <w:szCs w:val="18"/>
              </w:rPr>
            </w:pPr>
          </w:p>
        </w:tc>
        <w:tc>
          <w:tcPr>
            <w:tcW w:w="3600" w:type="dxa"/>
            <w:tcBorders>
              <w:top w:val="nil"/>
              <w:left w:val="nil"/>
              <w:bottom w:val="nil"/>
              <w:right w:val="nil"/>
            </w:tcBorders>
          </w:tcPr>
          <w:p w14:paraId="4633BC5A" w14:textId="11AACE48" w:rsidR="00205590" w:rsidRPr="004D2221" w:rsidRDefault="0CDBF178">
            <w:pPr>
              <w:pStyle w:val="TableBody"/>
              <w:rPr>
                <w:rFonts w:eastAsia="Arial"/>
              </w:rPr>
            </w:pPr>
            <w:r w:rsidRPr="0CDBF178">
              <w:rPr>
                <w:rFonts w:eastAsia="Arial"/>
              </w:rPr>
              <w:t xml:space="preserve">Emission factors are assumed constant in projections. </w:t>
            </w:r>
          </w:p>
        </w:tc>
      </w:tr>
      <w:tr w:rsidR="00205590" w14:paraId="7F27DDFD" w14:textId="77777777" w:rsidTr="7654BBD9">
        <w:tc>
          <w:tcPr>
            <w:tcW w:w="2250" w:type="dxa"/>
            <w:tcBorders>
              <w:top w:val="nil"/>
              <w:left w:val="nil"/>
              <w:bottom w:val="nil"/>
              <w:right w:val="nil"/>
            </w:tcBorders>
          </w:tcPr>
          <w:p w14:paraId="6F576528" w14:textId="77777777" w:rsidR="00205590" w:rsidRDefault="00205590">
            <w:pPr>
              <w:pStyle w:val="TableBody"/>
              <w:rPr>
                <w:rFonts w:eastAsia="Arial"/>
              </w:rPr>
            </w:pPr>
            <w:r>
              <w:rPr>
                <w:rFonts w:eastAsia="Arial"/>
              </w:rPr>
              <w:t>Total emissions</w:t>
            </w:r>
          </w:p>
        </w:tc>
        <w:tc>
          <w:tcPr>
            <w:tcW w:w="3510" w:type="dxa"/>
            <w:tcBorders>
              <w:top w:val="nil"/>
              <w:left w:val="nil"/>
              <w:bottom w:val="nil"/>
              <w:right w:val="nil"/>
            </w:tcBorders>
          </w:tcPr>
          <w:p w14:paraId="06D0A46C" w14:textId="3721EB11" w:rsidR="00205590" w:rsidRPr="004D2221" w:rsidRDefault="0CDBF178">
            <w:pPr>
              <w:pStyle w:val="TableBody"/>
              <w:rPr>
                <w:rFonts w:eastAsia="Arial"/>
              </w:rPr>
            </w:pPr>
            <w:r w:rsidRPr="0CDBF178">
              <w:rPr>
                <w:rFonts w:eastAsia="Arial"/>
              </w:rPr>
              <w:t>Historical sector emissions are used in the calibration process. Emissions data for calibration are obtained from Climate Watch (2022).</w:t>
            </w:r>
          </w:p>
        </w:tc>
        <w:tc>
          <w:tcPr>
            <w:tcW w:w="3600" w:type="dxa"/>
            <w:tcBorders>
              <w:top w:val="nil"/>
              <w:left w:val="nil"/>
              <w:bottom w:val="nil"/>
              <w:right w:val="nil"/>
            </w:tcBorders>
          </w:tcPr>
          <w:p w14:paraId="0D408480" w14:textId="2E454C11" w:rsidR="00205590" w:rsidRPr="004D2221" w:rsidRDefault="00205590">
            <w:pPr>
              <w:pStyle w:val="TableBody"/>
              <w:rPr>
                <w:rFonts w:eastAsia="Arial"/>
              </w:rPr>
            </w:pPr>
          </w:p>
        </w:tc>
      </w:tr>
      <w:tr w:rsidR="00205590" w:rsidRPr="00126325" w14:paraId="3409628A" w14:textId="77777777" w:rsidTr="7654BBD9">
        <w:tc>
          <w:tcPr>
            <w:tcW w:w="9360" w:type="dxa"/>
            <w:gridSpan w:val="3"/>
            <w:tcBorders>
              <w:top w:val="single" w:sz="4" w:space="0" w:color="auto"/>
              <w:left w:val="nil"/>
              <w:bottom w:val="nil"/>
              <w:right w:val="nil"/>
            </w:tcBorders>
          </w:tcPr>
          <w:p w14:paraId="1980A1AD" w14:textId="00F28D07" w:rsidR="00054892" w:rsidRPr="009D1040" w:rsidRDefault="7654BBD9" w:rsidP="00667429">
            <w:pPr>
              <w:pStyle w:val="TableNote"/>
              <w:rPr>
                <w:rFonts w:eastAsia="Arial"/>
              </w:rPr>
            </w:pPr>
            <w:r w:rsidRPr="7654BBD9">
              <w:rPr>
                <w:rFonts w:eastAsia="Arial"/>
              </w:rPr>
              <w:t>Notes</w:t>
            </w:r>
            <w:r w:rsidRPr="00721D63">
              <w:rPr>
                <w:rFonts w:eastAsia="Arial"/>
              </w:rPr>
              <w:t xml:space="preserve">: For countries not included in the FAO AQUASTAT and </w:t>
            </w:r>
            <w:proofErr w:type="spellStart"/>
            <w:r w:rsidRPr="00721D63">
              <w:rPr>
                <w:rFonts w:eastAsia="Arial"/>
              </w:rPr>
              <w:t>HydroWASTE</w:t>
            </w:r>
            <w:proofErr w:type="spellEnd"/>
            <w:r w:rsidRPr="00721D63">
              <w:rPr>
                <w:rFonts w:eastAsia="Arial"/>
              </w:rPr>
              <w:t xml:space="preserve"> databases, a statistical imputation model was trained using observations of countries in the database. This model uses GDP, urban, and rural population shares of countries to estimate imputed values. A data crosswalk between </w:t>
            </w:r>
            <w:proofErr w:type="spellStart"/>
            <w:r w:rsidRPr="00721D63">
              <w:t>SiSePuede</w:t>
            </w:r>
            <w:proofErr w:type="spellEnd"/>
            <w:r w:rsidRPr="00721D63">
              <w:rPr>
                <w:rFonts w:eastAsia="Arial"/>
              </w:rPr>
              <w:t xml:space="preserve"> categories and FAO AQUASTAT and </w:t>
            </w:r>
            <w:proofErr w:type="spellStart"/>
            <w:r w:rsidRPr="00721D63">
              <w:rPr>
                <w:rFonts w:eastAsia="Arial"/>
              </w:rPr>
              <w:t>HydroWASTE</w:t>
            </w:r>
            <w:proofErr w:type="spellEnd"/>
            <w:r w:rsidRPr="00721D63">
              <w:rPr>
                <w:rFonts w:eastAsia="Arial"/>
              </w:rPr>
              <w:t xml:space="preserve"> categories was used to map data inputs.</w:t>
            </w:r>
            <w:r w:rsidRPr="7654BBD9">
              <w:rPr>
                <w:rFonts w:eastAsia="Arial"/>
              </w:rPr>
              <w:t xml:space="preserve"> </w:t>
            </w:r>
          </w:p>
          <w:p w14:paraId="377C3BA8" w14:textId="45ED633C" w:rsidR="00205590" w:rsidRPr="00C264BE" w:rsidRDefault="00205590">
            <w:pPr>
              <w:pStyle w:val="TableNote"/>
              <w:rPr>
                <w:rFonts w:eastAsia="Arial"/>
              </w:rPr>
            </w:pPr>
          </w:p>
        </w:tc>
      </w:tr>
    </w:tbl>
    <w:p w14:paraId="7FF7FD44" w14:textId="319D2AD9" w:rsidR="0054398B" w:rsidRPr="00667429" w:rsidRDefault="0CDBF178" w:rsidP="00667429">
      <w:pPr>
        <w:pStyle w:val="Heading3"/>
        <w:ind w:left="0"/>
      </w:pPr>
      <w:bookmarkStart w:id="91" w:name="_Toc152088263"/>
      <w:r>
        <w:t>Transforming wastewater</w:t>
      </w:r>
      <w:bookmarkEnd w:id="91"/>
    </w:p>
    <w:p w14:paraId="67BC0C31" w14:textId="63257322" w:rsidR="0054398B" w:rsidRDefault="0CDBF178" w:rsidP="0CDBF178">
      <w:pPr>
        <w:pStyle w:val="Heading4"/>
      </w:pPr>
      <w:r>
        <w:t>Defining wastewater transformations</w:t>
      </w:r>
    </w:p>
    <w:p w14:paraId="342CA29F" w14:textId="13EF7709" w:rsidR="0054398B" w:rsidRDefault="0CDBF178" w:rsidP="0CDBF178">
      <w:r>
        <w:t xml:space="preserve"> Table G.4 shows transformations to reduce wastewater GHGs. The most aggressive transformation of wastewater management involves reaching universal safe sanitation and tertiary treatment of all </w:t>
      </w:r>
      <w:proofErr w:type="gramStart"/>
      <w:r>
        <w:t>wastewater</w:t>
      </w:r>
      <w:proofErr w:type="gramEnd"/>
      <w:r>
        <w:t xml:space="preserve"> by 2030, consistent with SDGs. </w:t>
      </w:r>
    </w:p>
    <w:p w14:paraId="0C256367" w14:textId="77777777" w:rsidR="00632D1F" w:rsidRDefault="00632D1F" w:rsidP="0054398B"/>
    <w:p w14:paraId="21893C01" w14:textId="77777777" w:rsidR="00632D1F" w:rsidRDefault="00632D1F" w:rsidP="0054398B"/>
    <w:p w14:paraId="2B3A6BDC" w14:textId="63F7BE2F" w:rsidR="00632D1F" w:rsidRDefault="0CDBF178">
      <w:pPr>
        <w:pStyle w:val="Heading9"/>
      </w:pPr>
      <w:bookmarkStart w:id="92" w:name="_Toc152088340"/>
      <w:r w:rsidRPr="0CDBF178">
        <w:rPr>
          <w:rFonts w:eastAsia="Arial"/>
        </w:rPr>
        <w:t>Table G.4. Transformations to wastewater</w:t>
      </w:r>
      <w:bookmarkEnd w:id="92"/>
    </w:p>
    <w:tbl>
      <w:tblPr>
        <w:tblStyle w:val="TableGrid"/>
        <w:tblW w:w="0" w:type="auto"/>
        <w:tblLayout w:type="fixed"/>
        <w:tblLook w:val="0620" w:firstRow="1" w:lastRow="0" w:firstColumn="0" w:lastColumn="0" w:noHBand="1" w:noVBand="1"/>
      </w:tblPr>
      <w:tblGrid>
        <w:gridCol w:w="2250"/>
        <w:gridCol w:w="3510"/>
        <w:gridCol w:w="3600"/>
      </w:tblGrid>
      <w:tr w:rsidR="00632D1F" w14:paraId="0DA52A82" w14:textId="77777777" w:rsidTr="0CDBF178">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7B48AC0A" w14:textId="77777777" w:rsidR="00632D1F" w:rsidRDefault="00632D1F">
            <w:r w:rsidRPr="37345C14">
              <w:rPr>
                <w:rFonts w:eastAsia="Arial" w:cs="Arial"/>
                <w:b/>
                <w:bCs/>
                <w:sz w:val="18"/>
                <w:szCs w:val="18"/>
              </w:rPr>
              <w:t>Transformation</w:t>
            </w:r>
          </w:p>
        </w:tc>
        <w:tc>
          <w:tcPr>
            <w:tcW w:w="3510" w:type="dxa"/>
            <w:tcBorders>
              <w:left w:val="nil"/>
              <w:right w:val="nil"/>
            </w:tcBorders>
          </w:tcPr>
          <w:p w14:paraId="2DFCE2A9" w14:textId="77777777" w:rsidR="00632D1F" w:rsidRDefault="00632D1F">
            <w:pPr>
              <w:jc w:val="center"/>
            </w:pPr>
            <w:r w:rsidRPr="37345C14">
              <w:rPr>
                <w:rFonts w:eastAsia="Arial" w:cs="Arial"/>
                <w:b/>
                <w:bCs/>
                <w:sz w:val="18"/>
                <w:szCs w:val="18"/>
              </w:rPr>
              <w:t>Description</w:t>
            </w:r>
          </w:p>
        </w:tc>
        <w:tc>
          <w:tcPr>
            <w:tcW w:w="3600" w:type="dxa"/>
            <w:tcBorders>
              <w:left w:val="nil"/>
              <w:right w:val="nil"/>
            </w:tcBorders>
          </w:tcPr>
          <w:p w14:paraId="59903DF1" w14:textId="77777777" w:rsidR="00632D1F" w:rsidRDefault="00632D1F">
            <w:pPr>
              <w:jc w:val="center"/>
            </w:pPr>
            <w:r w:rsidRPr="37345C14">
              <w:rPr>
                <w:rFonts w:eastAsia="Arial" w:cs="Arial"/>
                <w:b/>
                <w:bCs/>
                <w:sz w:val="18"/>
                <w:szCs w:val="18"/>
              </w:rPr>
              <w:t>Implementation</w:t>
            </w:r>
          </w:p>
        </w:tc>
      </w:tr>
      <w:tr w:rsidR="00632D1F" w14:paraId="517D8F27" w14:textId="77777777" w:rsidTr="0CDBF178">
        <w:trPr>
          <w:trHeight w:val="300"/>
        </w:trPr>
        <w:tc>
          <w:tcPr>
            <w:tcW w:w="2250" w:type="dxa"/>
            <w:tcBorders>
              <w:top w:val="nil"/>
              <w:left w:val="nil"/>
              <w:bottom w:val="nil"/>
              <w:right w:val="nil"/>
            </w:tcBorders>
          </w:tcPr>
          <w:p w14:paraId="145C7C8B" w14:textId="4D93BB67" w:rsidR="00632D1F" w:rsidRDefault="0CDBF178" w:rsidP="0CDBF178">
            <w:pPr>
              <w:pStyle w:val="TableBody"/>
            </w:pPr>
            <w:r w:rsidRPr="0CDBF178">
              <w:rPr>
                <w:rFonts w:eastAsia="Arial"/>
              </w:rPr>
              <w:t>Expand access to safe sanitation</w:t>
            </w:r>
          </w:p>
        </w:tc>
        <w:tc>
          <w:tcPr>
            <w:tcW w:w="3510" w:type="dxa"/>
            <w:tcBorders>
              <w:top w:val="nil"/>
              <w:left w:val="nil"/>
              <w:bottom w:val="nil"/>
              <w:right w:val="nil"/>
            </w:tcBorders>
          </w:tcPr>
          <w:p w14:paraId="3B22A6A1" w14:textId="1CA266A3" w:rsidR="00632D1F" w:rsidRDefault="0CDBF178">
            <w:pPr>
              <w:pStyle w:val="TableBody"/>
            </w:pPr>
            <w:r>
              <w:t>This transformation expands access to safely managed sanitation for both rural and urban populations consistent with the goals in SDG 6.2.1a.</w:t>
            </w:r>
          </w:p>
        </w:tc>
        <w:tc>
          <w:tcPr>
            <w:tcW w:w="3600" w:type="dxa"/>
            <w:tcBorders>
              <w:top w:val="nil"/>
              <w:left w:val="nil"/>
              <w:bottom w:val="nil"/>
              <w:right w:val="nil"/>
            </w:tcBorders>
          </w:tcPr>
          <w:p w14:paraId="3B5F48ED" w14:textId="56B04751" w:rsidR="00632D1F" w:rsidRPr="009C7475" w:rsidRDefault="00632D1F">
            <w:pPr>
              <w:pStyle w:val="TableBody"/>
            </w:pPr>
            <w:r>
              <w:t>In this transformation,</w:t>
            </w:r>
            <w:r w:rsidR="00793681">
              <w:t xml:space="preserve"> all people are moved to safely managed sanitation pathways by 2030. All rural </w:t>
            </w:r>
            <w:r w:rsidR="003D2F0C">
              <w:t xml:space="preserve">residents have access to upgraded septic tanks and all urban residents have sewerage with </w:t>
            </w:r>
            <w:r w:rsidR="008027DF">
              <w:t>treatment</w:t>
            </w:r>
            <w:r w:rsidR="004A02C3">
              <w:t>.</w:t>
            </w:r>
          </w:p>
        </w:tc>
      </w:tr>
      <w:tr w:rsidR="00847370" w14:paraId="701FBD8B" w14:textId="77777777" w:rsidTr="0CDBF178">
        <w:tc>
          <w:tcPr>
            <w:tcW w:w="2250" w:type="dxa"/>
            <w:tcBorders>
              <w:top w:val="nil"/>
              <w:left w:val="nil"/>
              <w:bottom w:val="nil"/>
              <w:right w:val="nil"/>
            </w:tcBorders>
          </w:tcPr>
          <w:p w14:paraId="38617233" w14:textId="2955456B" w:rsidR="00847370" w:rsidRDefault="0CDBF178" w:rsidP="0CDBF178">
            <w:pPr>
              <w:pStyle w:val="TableBody"/>
              <w:rPr>
                <w:rFonts w:eastAsia="Arial"/>
              </w:rPr>
            </w:pPr>
            <w:r w:rsidRPr="0CDBF178">
              <w:rPr>
                <w:rFonts w:eastAsia="Arial"/>
              </w:rPr>
              <w:t>Treat all wastewater</w:t>
            </w:r>
          </w:p>
        </w:tc>
        <w:tc>
          <w:tcPr>
            <w:tcW w:w="3510" w:type="dxa"/>
            <w:tcBorders>
              <w:top w:val="nil"/>
              <w:left w:val="nil"/>
              <w:bottom w:val="nil"/>
              <w:right w:val="nil"/>
            </w:tcBorders>
          </w:tcPr>
          <w:p w14:paraId="0D66EB5E" w14:textId="77777777" w:rsidR="00847370" w:rsidRDefault="00847370">
            <w:pPr>
              <w:pStyle w:val="TableBody"/>
              <w:rPr>
                <w:rFonts w:eastAsia="Arial"/>
              </w:rPr>
            </w:pPr>
            <w:r>
              <w:rPr>
                <w:rFonts w:eastAsia="Arial"/>
              </w:rPr>
              <w:t>This transformation treats all industrial and domestic wastewater to at least secondary treatment levels.</w:t>
            </w:r>
          </w:p>
          <w:p w14:paraId="40602AA6" w14:textId="77777777" w:rsidR="00847370" w:rsidRPr="7726BEE2" w:rsidRDefault="00847370">
            <w:pPr>
              <w:pStyle w:val="TableBody"/>
              <w:rPr>
                <w:rFonts w:eastAsia="Arial"/>
              </w:rPr>
            </w:pPr>
          </w:p>
        </w:tc>
        <w:tc>
          <w:tcPr>
            <w:tcW w:w="3600" w:type="dxa"/>
            <w:tcBorders>
              <w:top w:val="nil"/>
              <w:left w:val="nil"/>
              <w:bottom w:val="nil"/>
              <w:right w:val="nil"/>
            </w:tcBorders>
          </w:tcPr>
          <w:p w14:paraId="0F9A2230" w14:textId="28038ECF" w:rsidR="00DD4D74" w:rsidRPr="00DD4D74" w:rsidRDefault="0CDBF178" w:rsidP="0CDBF178">
            <w:pPr>
              <w:pStyle w:val="TableBody"/>
            </w:pPr>
            <w:r>
              <w:t xml:space="preserve">By 2030, 100% of wastewater is treated in the following ways. </w:t>
            </w:r>
          </w:p>
          <w:p w14:paraId="16A49B9A" w14:textId="53E91AAA" w:rsidR="00DD4D74" w:rsidRPr="00DD4D74" w:rsidRDefault="0CDBF178" w:rsidP="0CDBF178">
            <w:pPr>
              <w:pStyle w:val="TableBody"/>
            </w:pPr>
            <w:r>
              <w:t>Rural areas: 100% septic tanks</w:t>
            </w:r>
          </w:p>
          <w:p w14:paraId="43F21885" w14:textId="659CFFE2" w:rsidR="00DD4D74" w:rsidRPr="00DD4D74" w:rsidRDefault="0CDBF178">
            <w:pPr>
              <w:pStyle w:val="TableBody"/>
            </w:pPr>
            <w:r>
              <w:t xml:space="preserve">Industrial wastewater: 80% tertiary anaerobic treatment, 20% secondary treatment (10% anaerobic, which can be captured), and 10% aerobic) </w:t>
            </w:r>
          </w:p>
          <w:p w14:paraId="4450F04E" w14:textId="2CD7EDE0" w:rsidR="00847370" w:rsidRPr="00BB39F8" w:rsidRDefault="0CDBF178">
            <w:pPr>
              <w:pStyle w:val="TableBody"/>
              <w:rPr>
                <w:rFonts w:eastAsia="Arial"/>
              </w:rPr>
            </w:pPr>
            <w:r>
              <w:t>Urban: 30% tertiary aerobic, 30% tertiary anaerobic (which can be captured), 20% secondary aerobic, and 20% secondary anaerobic</w:t>
            </w:r>
          </w:p>
        </w:tc>
      </w:tr>
      <w:tr w:rsidR="00847370" w14:paraId="1F7D1BFB" w14:textId="77777777" w:rsidTr="0CDBF178">
        <w:tc>
          <w:tcPr>
            <w:tcW w:w="2250" w:type="dxa"/>
            <w:tcBorders>
              <w:top w:val="nil"/>
              <w:left w:val="nil"/>
              <w:bottom w:val="nil"/>
              <w:right w:val="nil"/>
            </w:tcBorders>
          </w:tcPr>
          <w:p w14:paraId="1CD34FEE" w14:textId="3A494208" w:rsidR="00847370" w:rsidRDefault="0CDBF178">
            <w:pPr>
              <w:pStyle w:val="TableBody"/>
              <w:rPr>
                <w:rFonts w:eastAsia="Arial"/>
              </w:rPr>
            </w:pPr>
            <w:r w:rsidRPr="0CDBF178">
              <w:rPr>
                <w:rFonts w:eastAsia="Arial"/>
              </w:rPr>
              <w:t>Capture biogas</w:t>
            </w:r>
          </w:p>
        </w:tc>
        <w:tc>
          <w:tcPr>
            <w:tcW w:w="3510" w:type="dxa"/>
            <w:tcBorders>
              <w:top w:val="nil"/>
              <w:left w:val="nil"/>
              <w:bottom w:val="nil"/>
              <w:right w:val="nil"/>
            </w:tcBorders>
          </w:tcPr>
          <w:p w14:paraId="71AE301B" w14:textId="562F43AA" w:rsidR="00847370" w:rsidRDefault="0CDBF178">
            <w:pPr>
              <w:pStyle w:val="TableBody"/>
            </w:pPr>
            <w:r>
              <w:t>This transformation captures biogas from wastewater-treatment facilities for use in the energy sector.</w:t>
            </w:r>
          </w:p>
        </w:tc>
        <w:tc>
          <w:tcPr>
            <w:tcW w:w="3600" w:type="dxa"/>
            <w:tcBorders>
              <w:top w:val="nil"/>
              <w:left w:val="nil"/>
              <w:bottom w:val="nil"/>
              <w:right w:val="nil"/>
            </w:tcBorders>
          </w:tcPr>
          <w:p w14:paraId="4278630F" w14:textId="43024EDE" w:rsidR="00847370" w:rsidRPr="00945A42" w:rsidRDefault="0CDBF178">
            <w:pPr>
              <w:pStyle w:val="TableBody"/>
            </w:pPr>
            <w:r>
              <w:t xml:space="preserve">85% of biogas will be captured by 2050. </w:t>
            </w:r>
          </w:p>
        </w:tc>
      </w:tr>
      <w:tr w:rsidR="00632D1F" w14:paraId="16906FAF" w14:textId="77777777" w:rsidTr="0CDBF178">
        <w:tc>
          <w:tcPr>
            <w:tcW w:w="9360" w:type="dxa"/>
            <w:gridSpan w:val="3"/>
            <w:tcBorders>
              <w:top w:val="single" w:sz="4" w:space="0" w:color="auto"/>
              <w:left w:val="nil"/>
              <w:bottom w:val="nil"/>
              <w:right w:val="nil"/>
            </w:tcBorders>
          </w:tcPr>
          <w:p w14:paraId="3F2F59AF" w14:textId="77777777" w:rsidR="00632D1F" w:rsidRPr="30FF5F6D" w:rsidRDefault="00632D1F">
            <w:pPr>
              <w:pStyle w:val="TableNote"/>
              <w:rPr>
                <w:rFonts w:eastAsia="Arial"/>
              </w:rPr>
            </w:pPr>
          </w:p>
        </w:tc>
      </w:tr>
    </w:tbl>
    <w:p w14:paraId="23A43C7A" w14:textId="58B9EDA3" w:rsidR="0054398B" w:rsidRDefault="0CDBF178" w:rsidP="0CDBF178">
      <w:pPr>
        <w:pStyle w:val="Heading4"/>
      </w:pPr>
      <w:bookmarkStart w:id="93" w:name="_Toc326590603"/>
      <w:r>
        <w:t>Cost of wastewater transformations</w:t>
      </w:r>
    </w:p>
    <w:p w14:paraId="6EB0EBE9" w14:textId="6BF790D2" w:rsidR="0054398B" w:rsidRDefault="0CDBF178" w:rsidP="0CDBF178">
      <w:r>
        <w:t>The costs of improving wastewater management are calculated as the difference in technical costs for providing service under a baseline future and an alternative future with better wastewater management.  Table G.5 shows each system’s technical costs.</w:t>
      </w:r>
    </w:p>
    <w:p w14:paraId="36F9B5F6" w14:textId="77A67E63" w:rsidR="00DB0D88" w:rsidRPr="00DB0D88" w:rsidRDefault="0CDBF178" w:rsidP="0CDBF178">
      <w:pPr>
        <w:pStyle w:val="Heading9"/>
      </w:pPr>
      <w:bookmarkStart w:id="94" w:name="_Toc152088341"/>
      <w:r>
        <w:t>Table G.5 Wastewater management’s technical costs</w:t>
      </w:r>
      <w:bookmarkEnd w:id="94"/>
    </w:p>
    <w:tbl>
      <w:tblPr>
        <w:tblStyle w:val="TableGrid"/>
        <w:tblW w:w="5000" w:type="pct"/>
        <w:tblCellMar>
          <w:top w:w="86" w:type="dxa"/>
          <w:bottom w:w="86" w:type="dxa"/>
        </w:tblCellMar>
        <w:tblLook w:val="0620" w:firstRow="1" w:lastRow="0" w:firstColumn="0" w:lastColumn="0" w:noHBand="1" w:noVBand="1"/>
      </w:tblPr>
      <w:tblGrid>
        <w:gridCol w:w="3240"/>
        <w:gridCol w:w="2250"/>
        <w:gridCol w:w="3870"/>
      </w:tblGrid>
      <w:tr w:rsidR="0054398B" w:rsidRPr="00C114A8" w14:paraId="12F67583" w14:textId="77777777" w:rsidTr="7654BBD9">
        <w:trPr>
          <w:cnfStyle w:val="100000000000" w:firstRow="1" w:lastRow="0" w:firstColumn="0" w:lastColumn="0" w:oddVBand="0" w:evenVBand="0" w:oddHBand="0" w:evenHBand="0" w:firstRowFirstColumn="0" w:firstRowLastColumn="0" w:lastRowFirstColumn="0" w:lastRowLastColumn="0"/>
          <w:trHeight w:val="20"/>
        </w:trPr>
        <w:tc>
          <w:tcPr>
            <w:tcW w:w="3240" w:type="dxa"/>
            <w:tcMar>
              <w:top w:w="0" w:type="nil"/>
              <w:bottom w:w="0" w:type="nil"/>
              <w:right w:w="0" w:type="nil"/>
            </w:tcMar>
          </w:tcPr>
          <w:p w14:paraId="6FEA6758" w14:textId="72744254" w:rsidR="0054398B" w:rsidRPr="00C114A8" w:rsidRDefault="0CDBF178" w:rsidP="0CDBF178">
            <w:pPr>
              <w:pStyle w:val="TableColHeading"/>
              <w:jc w:val="left"/>
            </w:pPr>
            <w:r>
              <w:t>Wastewater management system</w:t>
            </w:r>
          </w:p>
        </w:tc>
        <w:tc>
          <w:tcPr>
            <w:tcW w:w="2250" w:type="dxa"/>
            <w:tcMar>
              <w:top w:w="0" w:type="nil"/>
              <w:bottom w:w="0" w:type="nil"/>
              <w:right w:w="0" w:type="nil"/>
            </w:tcMar>
          </w:tcPr>
          <w:p w14:paraId="095A33B0" w14:textId="43F8CCA1" w:rsidR="00DB0D88" w:rsidRDefault="0CDBF178">
            <w:pPr>
              <w:jc w:val="center"/>
              <w:rPr>
                <w:rFonts w:eastAsia="Arial" w:cs="Arial"/>
                <w:b/>
                <w:bCs/>
                <w:sz w:val="18"/>
                <w:szCs w:val="18"/>
              </w:rPr>
            </w:pPr>
            <w:r w:rsidRPr="0CDBF178">
              <w:rPr>
                <w:rFonts w:eastAsia="Arial" w:cs="Arial"/>
                <w:b/>
                <w:bCs/>
                <w:sz w:val="18"/>
                <w:szCs w:val="18"/>
              </w:rPr>
              <w:t>Technical costs</w:t>
            </w:r>
          </w:p>
          <w:p w14:paraId="0E8B8452" w14:textId="52A2BC7D" w:rsidR="0054398B" w:rsidRPr="00DB0D88" w:rsidRDefault="0CDBF178" w:rsidP="00DB0D88">
            <w:pPr>
              <w:jc w:val="center"/>
              <w:rPr>
                <w:rFonts w:eastAsia="Arial" w:cs="Arial"/>
                <w:b/>
                <w:bCs/>
                <w:sz w:val="18"/>
                <w:szCs w:val="18"/>
              </w:rPr>
            </w:pPr>
            <w:r w:rsidRPr="00667429">
              <w:rPr>
                <w:rFonts w:eastAsia="Arial" w:cs="Arial"/>
                <w:b/>
                <w:bCs/>
                <w:sz w:val="18"/>
                <w:szCs w:val="18"/>
              </w:rPr>
              <w:t>(LAC average in 2019 USD)</w:t>
            </w:r>
          </w:p>
        </w:tc>
        <w:tc>
          <w:tcPr>
            <w:tcW w:w="3870" w:type="dxa"/>
          </w:tcPr>
          <w:p w14:paraId="19600041" w14:textId="268EA4CA" w:rsidR="0054398B" w:rsidRDefault="0CDBF178" w:rsidP="0CDBF178">
            <w:pPr>
              <w:pStyle w:val="TableColHeading"/>
            </w:pPr>
            <w:r>
              <w:t>Notes and data sources</w:t>
            </w:r>
          </w:p>
        </w:tc>
      </w:tr>
      <w:tr w:rsidR="0054398B" w:rsidRPr="00795D6B" w14:paraId="6834BA7B" w14:textId="77777777" w:rsidTr="7654BBD9">
        <w:tc>
          <w:tcPr>
            <w:tcW w:w="9360" w:type="dxa"/>
            <w:gridSpan w:val="3"/>
            <w:tcMar>
              <w:top w:w="0" w:type="nil"/>
              <w:bottom w:w="0" w:type="nil"/>
              <w:right w:w="0" w:type="nil"/>
            </w:tcMar>
          </w:tcPr>
          <w:p w14:paraId="1406E966" w14:textId="0566B9BE" w:rsidR="0054398B" w:rsidRPr="00795D6B" w:rsidRDefault="0CDBF178" w:rsidP="0CDBF178">
            <w:pPr>
              <w:pStyle w:val="TableBody"/>
              <w:rPr>
                <w:b/>
                <w:bCs/>
                <w:vertAlign w:val="superscript"/>
              </w:rPr>
            </w:pPr>
            <w:r w:rsidRPr="00667429">
              <w:rPr>
                <w:i/>
                <w:iCs/>
              </w:rPr>
              <w:t>Domestic</w:t>
            </w:r>
            <w:r w:rsidRPr="0CDBF178">
              <w:rPr>
                <w:b/>
                <w:bCs/>
                <w:i/>
                <w:iCs/>
              </w:rPr>
              <w:t xml:space="preserve"> </w:t>
            </w:r>
            <w:r w:rsidRPr="0CDBF178">
              <w:rPr>
                <w:i/>
                <w:iCs/>
              </w:rPr>
              <w:t>r</w:t>
            </w:r>
            <w:r w:rsidRPr="00667429">
              <w:rPr>
                <w:i/>
                <w:iCs/>
              </w:rPr>
              <w:t>ura</w:t>
            </w:r>
            <w:r w:rsidRPr="0CDBF178">
              <w:rPr>
                <w:i/>
                <w:iCs/>
              </w:rPr>
              <w:t>l</w:t>
            </w:r>
            <w:r w:rsidRPr="0CDBF178">
              <w:rPr>
                <w:b/>
                <w:bCs/>
                <w:i/>
                <w:iCs/>
              </w:rPr>
              <w:t xml:space="preserve"> </w:t>
            </w:r>
            <w:r w:rsidRPr="00667429">
              <w:rPr>
                <w:i/>
                <w:iCs/>
              </w:rPr>
              <w:t xml:space="preserve">and </w:t>
            </w:r>
            <w:r w:rsidRPr="0CDBF178">
              <w:rPr>
                <w:i/>
                <w:iCs/>
              </w:rPr>
              <w:t>u</w:t>
            </w:r>
            <w:r w:rsidRPr="00667429">
              <w:rPr>
                <w:i/>
                <w:iCs/>
              </w:rPr>
              <w:t xml:space="preserve">rban </w:t>
            </w:r>
            <w:r w:rsidRPr="0CDBF178">
              <w:rPr>
                <w:i/>
                <w:iCs/>
              </w:rPr>
              <w:t>s</w:t>
            </w:r>
            <w:r w:rsidRPr="00667429">
              <w:rPr>
                <w:i/>
                <w:iCs/>
              </w:rPr>
              <w:t>anitation</w:t>
            </w:r>
          </w:p>
        </w:tc>
      </w:tr>
      <w:tr w:rsidR="0054398B" w:rsidRPr="00C114A8" w14:paraId="34820C9B" w14:textId="77777777" w:rsidTr="7654BBD9">
        <w:tc>
          <w:tcPr>
            <w:tcW w:w="3240" w:type="dxa"/>
            <w:tcMar>
              <w:top w:w="0" w:type="nil"/>
              <w:bottom w:w="0" w:type="nil"/>
              <w:right w:w="0" w:type="nil"/>
            </w:tcMar>
          </w:tcPr>
          <w:p w14:paraId="49E2E503" w14:textId="2B3AE867" w:rsidR="0054398B" w:rsidRPr="00C114A8" w:rsidRDefault="0CDBF178" w:rsidP="0CDBF178">
            <w:pPr>
              <w:pStyle w:val="TableBody"/>
            </w:pPr>
            <w:r>
              <w:t>Unimproved sanitation (rural)</w:t>
            </w:r>
          </w:p>
        </w:tc>
        <w:tc>
          <w:tcPr>
            <w:tcW w:w="2250" w:type="dxa"/>
            <w:tcMar>
              <w:top w:w="0" w:type="nil"/>
              <w:bottom w:w="0" w:type="nil"/>
              <w:right w:w="0" w:type="nil"/>
            </w:tcMar>
          </w:tcPr>
          <w:p w14:paraId="20788640" w14:textId="38840A3D" w:rsidR="0054398B" w:rsidRPr="00BB0076" w:rsidRDefault="0CDBF178" w:rsidP="0CDBF178">
            <w:pPr>
              <w:pStyle w:val="TableBody"/>
            </w:pPr>
            <w:r>
              <w:t>$6.5/capita/year</w:t>
            </w:r>
          </w:p>
        </w:tc>
        <w:tc>
          <w:tcPr>
            <w:tcW w:w="3870" w:type="dxa"/>
            <w:vMerge w:val="restart"/>
          </w:tcPr>
          <w:p w14:paraId="4AC2F6C7" w14:textId="2157A62F" w:rsidR="0054398B" w:rsidRDefault="7654BBD9" w:rsidP="006D2776">
            <w:pPr>
              <w:pStyle w:val="TableBody"/>
            </w:pPr>
            <w:r>
              <w:t xml:space="preserve">Domestic sanitation and wastewater treatment costs are based on Tables D.1 and E.1 in Hutton &amp; </w:t>
            </w:r>
            <w:r w:rsidRPr="00721D63">
              <w:t xml:space="preserve">Varughese (2016), Table A.4.1 in </w:t>
            </w:r>
            <w:proofErr w:type="spellStart"/>
            <w:r w:rsidRPr="00721D63">
              <w:t>Brichetti</w:t>
            </w:r>
            <w:proofErr w:type="spellEnd"/>
            <w:r w:rsidRPr="00721D63">
              <w:t xml:space="preserve"> et al. (2021), Table 1 in </w:t>
            </w:r>
            <w:proofErr w:type="spellStart"/>
            <w:r w:rsidRPr="00721D63">
              <w:t>Dodane</w:t>
            </w:r>
            <w:proofErr w:type="spellEnd"/>
            <w:r w:rsidRPr="00721D63">
              <w:t xml:space="preserve"> et al. (2012), and Daudey (2018). Average wastewater produced in LAC is based on Table 4 in Jones et al. (2021). We assume industrial wastewater treatment costs the same as domestic wastewater treatment per quantity of treated water. The full cost of safely managed sanitation in urban settings is the cost of the sanitation system (per capita) and the cost of treating the collected wastewater (per m</w:t>
            </w:r>
            <w:r w:rsidRPr="00721D63">
              <w:rPr>
                <w:vertAlign w:val="superscript"/>
              </w:rPr>
              <w:t>3</w:t>
            </w:r>
            <w:r w:rsidRPr="00721D63">
              <w:t>) using one of the wastewater</w:t>
            </w:r>
            <w:r>
              <w:t xml:space="preserve"> treatment systems.</w:t>
            </w:r>
          </w:p>
        </w:tc>
      </w:tr>
      <w:tr w:rsidR="0054398B" w:rsidRPr="00C114A8" w14:paraId="3093C561" w14:textId="77777777" w:rsidTr="7654BBD9">
        <w:tc>
          <w:tcPr>
            <w:tcW w:w="3240" w:type="dxa"/>
            <w:tcMar>
              <w:top w:w="0" w:type="nil"/>
              <w:bottom w:w="0" w:type="nil"/>
              <w:right w:w="0" w:type="nil"/>
            </w:tcMar>
          </w:tcPr>
          <w:p w14:paraId="7C2A67C1" w14:textId="5CC0A7DB" w:rsidR="0054398B" w:rsidRPr="00C114A8" w:rsidRDefault="0CDBF178" w:rsidP="0CDBF178">
            <w:pPr>
              <w:pStyle w:val="TableBody"/>
            </w:pPr>
            <w:r>
              <w:t>Improved sanitation (rural)</w:t>
            </w:r>
          </w:p>
        </w:tc>
        <w:tc>
          <w:tcPr>
            <w:tcW w:w="2250" w:type="dxa"/>
            <w:tcMar>
              <w:top w:w="0" w:type="nil"/>
              <w:bottom w:w="0" w:type="nil"/>
              <w:right w:w="0" w:type="nil"/>
            </w:tcMar>
          </w:tcPr>
          <w:p w14:paraId="01DB41F7" w14:textId="4971B474" w:rsidR="0054398B" w:rsidRPr="00BB0076" w:rsidRDefault="0CDBF178" w:rsidP="006D2776">
            <w:pPr>
              <w:pStyle w:val="TableBody"/>
            </w:pPr>
            <w:r>
              <w:t>$68.1/capita/year</w:t>
            </w:r>
          </w:p>
        </w:tc>
        <w:tc>
          <w:tcPr>
            <w:tcW w:w="3870" w:type="dxa"/>
            <w:vMerge/>
          </w:tcPr>
          <w:p w14:paraId="537E551B" w14:textId="77777777" w:rsidR="0054398B" w:rsidRDefault="0054398B" w:rsidP="006D2776">
            <w:pPr>
              <w:pStyle w:val="TableBody"/>
              <w:jc w:val="center"/>
              <w:rPr>
                <w:szCs w:val="18"/>
              </w:rPr>
            </w:pPr>
          </w:p>
        </w:tc>
      </w:tr>
      <w:tr w:rsidR="0054398B" w:rsidRPr="00C114A8" w14:paraId="797C2732" w14:textId="77777777" w:rsidTr="7654BBD9">
        <w:tc>
          <w:tcPr>
            <w:tcW w:w="3240" w:type="dxa"/>
            <w:tcMar>
              <w:top w:w="0" w:type="nil"/>
              <w:bottom w:w="0" w:type="nil"/>
              <w:right w:w="0" w:type="nil"/>
            </w:tcMar>
          </w:tcPr>
          <w:p w14:paraId="3007D92E" w14:textId="128D2B64" w:rsidR="0054398B" w:rsidRDefault="0CDBF178" w:rsidP="0CDBF178">
            <w:pPr>
              <w:pStyle w:val="TableBody"/>
            </w:pPr>
            <w:r>
              <w:t>Safely managed sanitation (rural)</w:t>
            </w:r>
          </w:p>
        </w:tc>
        <w:tc>
          <w:tcPr>
            <w:tcW w:w="2250" w:type="dxa"/>
            <w:tcMar>
              <w:top w:w="0" w:type="nil"/>
              <w:bottom w:w="0" w:type="nil"/>
              <w:right w:w="0" w:type="nil"/>
            </w:tcMar>
          </w:tcPr>
          <w:p w14:paraId="3823835E" w14:textId="4F1B1D01" w:rsidR="0054398B" w:rsidRPr="00BB0076" w:rsidRDefault="0CDBF178" w:rsidP="006D2776">
            <w:pPr>
              <w:pStyle w:val="TableBody"/>
            </w:pPr>
            <w:r>
              <w:t>$102.1/capita/year</w:t>
            </w:r>
          </w:p>
        </w:tc>
        <w:tc>
          <w:tcPr>
            <w:tcW w:w="3870" w:type="dxa"/>
            <w:vMerge/>
          </w:tcPr>
          <w:p w14:paraId="457375D4" w14:textId="77777777" w:rsidR="0054398B" w:rsidRDefault="0054398B" w:rsidP="006D2776">
            <w:pPr>
              <w:pStyle w:val="TableBody"/>
              <w:jc w:val="center"/>
              <w:rPr>
                <w:szCs w:val="18"/>
              </w:rPr>
            </w:pPr>
          </w:p>
        </w:tc>
      </w:tr>
      <w:tr w:rsidR="0054398B" w:rsidRPr="00C114A8" w14:paraId="39EDDFA7" w14:textId="77777777" w:rsidTr="7654BBD9">
        <w:tc>
          <w:tcPr>
            <w:tcW w:w="3240" w:type="dxa"/>
            <w:tcMar>
              <w:top w:w="0" w:type="nil"/>
              <w:bottom w:w="0" w:type="nil"/>
              <w:right w:w="0" w:type="nil"/>
            </w:tcMar>
          </w:tcPr>
          <w:p w14:paraId="2AF8998F" w14:textId="7BBCA515" w:rsidR="0054398B" w:rsidRDefault="0CDBF178" w:rsidP="0CDBF178">
            <w:pPr>
              <w:pStyle w:val="TableBody"/>
            </w:pPr>
            <w:r>
              <w:t>Unimproved sanitation (urban)</w:t>
            </w:r>
          </w:p>
        </w:tc>
        <w:tc>
          <w:tcPr>
            <w:tcW w:w="2250" w:type="dxa"/>
            <w:tcMar>
              <w:top w:w="0" w:type="nil"/>
              <w:bottom w:w="0" w:type="nil"/>
              <w:right w:w="0" w:type="nil"/>
            </w:tcMar>
          </w:tcPr>
          <w:p w14:paraId="1E27C81C" w14:textId="68A26E8B" w:rsidR="0054398B" w:rsidRPr="1D3FF739" w:rsidRDefault="0CDBF178" w:rsidP="006D2776">
            <w:pPr>
              <w:pStyle w:val="TableBody"/>
            </w:pPr>
            <w:r>
              <w:t>$6.5/capita/year</w:t>
            </w:r>
          </w:p>
        </w:tc>
        <w:tc>
          <w:tcPr>
            <w:tcW w:w="3870" w:type="dxa"/>
            <w:vMerge/>
          </w:tcPr>
          <w:p w14:paraId="7734A6BF" w14:textId="77777777" w:rsidR="0054398B" w:rsidRPr="1D3FF739" w:rsidRDefault="0054398B" w:rsidP="006D2776">
            <w:pPr>
              <w:pStyle w:val="TableBody"/>
              <w:jc w:val="center"/>
              <w:rPr>
                <w:szCs w:val="18"/>
              </w:rPr>
            </w:pPr>
          </w:p>
        </w:tc>
      </w:tr>
      <w:tr w:rsidR="0054398B" w:rsidRPr="00C114A8" w14:paraId="7EFADD8B" w14:textId="77777777" w:rsidTr="7654BBD9">
        <w:tc>
          <w:tcPr>
            <w:tcW w:w="3240" w:type="dxa"/>
            <w:tcMar>
              <w:top w:w="0" w:type="nil"/>
              <w:bottom w:w="0" w:type="nil"/>
              <w:right w:w="0" w:type="nil"/>
            </w:tcMar>
          </w:tcPr>
          <w:p w14:paraId="75A9E3A7" w14:textId="31B724AA" w:rsidR="0054398B" w:rsidRDefault="0CDBF178" w:rsidP="0CDBF178">
            <w:pPr>
              <w:pStyle w:val="TableBody"/>
            </w:pPr>
            <w:r>
              <w:t>Improved sanitation (urban)</w:t>
            </w:r>
          </w:p>
        </w:tc>
        <w:tc>
          <w:tcPr>
            <w:tcW w:w="2250" w:type="dxa"/>
            <w:tcMar>
              <w:top w:w="0" w:type="nil"/>
              <w:bottom w:w="0" w:type="nil"/>
              <w:right w:w="0" w:type="nil"/>
            </w:tcMar>
          </w:tcPr>
          <w:p w14:paraId="118F83A5" w14:textId="45823D03" w:rsidR="0054398B" w:rsidRPr="1D3FF739" w:rsidRDefault="0CDBF178" w:rsidP="006D2776">
            <w:pPr>
              <w:pStyle w:val="TableBody"/>
            </w:pPr>
            <w:r>
              <w:t>$34.1/capita/year</w:t>
            </w:r>
          </w:p>
        </w:tc>
        <w:tc>
          <w:tcPr>
            <w:tcW w:w="3870" w:type="dxa"/>
            <w:vMerge/>
          </w:tcPr>
          <w:p w14:paraId="49B9FBBA" w14:textId="77777777" w:rsidR="0054398B" w:rsidRPr="1D3FF739" w:rsidRDefault="0054398B" w:rsidP="006D2776">
            <w:pPr>
              <w:pStyle w:val="TableBody"/>
              <w:jc w:val="center"/>
            </w:pPr>
          </w:p>
        </w:tc>
      </w:tr>
      <w:tr w:rsidR="0054398B" w:rsidRPr="00C114A8" w14:paraId="057D98AE" w14:textId="77777777" w:rsidTr="7654BBD9">
        <w:tc>
          <w:tcPr>
            <w:tcW w:w="3240" w:type="dxa"/>
            <w:tcMar>
              <w:top w:w="0" w:type="nil"/>
              <w:bottom w:w="0" w:type="nil"/>
              <w:right w:w="0" w:type="nil"/>
            </w:tcMar>
          </w:tcPr>
          <w:p w14:paraId="79120891" w14:textId="4021B0C7" w:rsidR="0054398B" w:rsidRDefault="0CDBF178" w:rsidP="0CDBF178">
            <w:pPr>
              <w:pStyle w:val="TableBody"/>
              <w:rPr>
                <w:vertAlign w:val="superscript"/>
              </w:rPr>
            </w:pPr>
            <w:r>
              <w:t xml:space="preserve">Safely managed sanitation </w:t>
            </w:r>
            <w:r w:rsidR="0054398B">
              <w:br/>
            </w:r>
            <w:r>
              <w:t>(urban, sanitation only)</w:t>
            </w:r>
          </w:p>
        </w:tc>
        <w:tc>
          <w:tcPr>
            <w:tcW w:w="2250" w:type="dxa"/>
            <w:tcMar>
              <w:top w:w="0" w:type="nil"/>
              <w:bottom w:w="0" w:type="nil"/>
              <w:right w:w="0" w:type="nil"/>
            </w:tcMar>
          </w:tcPr>
          <w:p w14:paraId="43DF923E" w14:textId="712399A1" w:rsidR="0054398B" w:rsidRPr="1D3FF739" w:rsidRDefault="0CDBF178" w:rsidP="006D2776">
            <w:pPr>
              <w:pStyle w:val="TableBody"/>
            </w:pPr>
            <w:r>
              <w:t>$66.2/capita/year</w:t>
            </w:r>
          </w:p>
        </w:tc>
        <w:tc>
          <w:tcPr>
            <w:tcW w:w="3870" w:type="dxa"/>
            <w:vMerge/>
          </w:tcPr>
          <w:p w14:paraId="72FA4031" w14:textId="77777777" w:rsidR="0054398B" w:rsidRPr="1D3FF739" w:rsidRDefault="0054398B" w:rsidP="006D2776">
            <w:pPr>
              <w:pStyle w:val="TableBody"/>
              <w:jc w:val="center"/>
              <w:rPr>
                <w:szCs w:val="18"/>
              </w:rPr>
            </w:pPr>
          </w:p>
        </w:tc>
      </w:tr>
      <w:tr w:rsidR="0054398B" w:rsidRPr="00795D6B" w14:paraId="2CE25BAD" w14:textId="77777777" w:rsidTr="7654BBD9">
        <w:tc>
          <w:tcPr>
            <w:tcW w:w="9360" w:type="dxa"/>
            <w:gridSpan w:val="3"/>
            <w:tcMar>
              <w:top w:w="0" w:type="nil"/>
              <w:bottom w:w="0" w:type="nil"/>
              <w:right w:w="0" w:type="nil"/>
            </w:tcMar>
          </w:tcPr>
          <w:p w14:paraId="3E570EDF" w14:textId="6982E559" w:rsidR="0054398B" w:rsidRPr="00667429" w:rsidRDefault="0CDBF178" w:rsidP="0CDBF178">
            <w:pPr>
              <w:pStyle w:val="TableBody"/>
            </w:pPr>
            <w:r w:rsidRPr="00667429">
              <w:rPr>
                <w:i/>
                <w:iCs/>
              </w:rPr>
              <w:t xml:space="preserve">Industrial and </w:t>
            </w:r>
            <w:r w:rsidRPr="0CDBF178">
              <w:rPr>
                <w:i/>
                <w:iCs/>
              </w:rPr>
              <w:t>d</w:t>
            </w:r>
            <w:r w:rsidRPr="00667429">
              <w:rPr>
                <w:i/>
                <w:iCs/>
              </w:rPr>
              <w:t xml:space="preserve">omestic </w:t>
            </w:r>
            <w:r w:rsidRPr="0CDBF178">
              <w:rPr>
                <w:i/>
                <w:iCs/>
              </w:rPr>
              <w:t>u</w:t>
            </w:r>
            <w:r w:rsidRPr="00667429">
              <w:rPr>
                <w:i/>
                <w:iCs/>
              </w:rPr>
              <w:t xml:space="preserve">rban </w:t>
            </w:r>
            <w:r w:rsidRPr="0CDBF178">
              <w:rPr>
                <w:i/>
                <w:iCs/>
              </w:rPr>
              <w:t>w</w:t>
            </w:r>
            <w:r w:rsidRPr="00667429">
              <w:rPr>
                <w:i/>
                <w:iCs/>
              </w:rPr>
              <w:t xml:space="preserve">astewater </w:t>
            </w:r>
            <w:r w:rsidRPr="0CDBF178">
              <w:rPr>
                <w:i/>
                <w:iCs/>
              </w:rPr>
              <w:t>t</w:t>
            </w:r>
            <w:r w:rsidRPr="00667429">
              <w:rPr>
                <w:i/>
                <w:iCs/>
              </w:rPr>
              <w:t>reatment</w:t>
            </w:r>
          </w:p>
        </w:tc>
      </w:tr>
      <w:tr w:rsidR="0054398B" w:rsidRPr="00C114A8" w14:paraId="6B5645AA" w14:textId="77777777" w:rsidTr="7654BBD9">
        <w:tc>
          <w:tcPr>
            <w:tcW w:w="3240" w:type="dxa"/>
            <w:tcMar>
              <w:top w:w="0" w:type="nil"/>
              <w:bottom w:w="0" w:type="nil"/>
              <w:right w:w="0" w:type="nil"/>
            </w:tcMar>
          </w:tcPr>
          <w:p w14:paraId="02E3CD73" w14:textId="0179169B" w:rsidR="0054398B" w:rsidRDefault="0CDBF178">
            <w:pPr>
              <w:pStyle w:val="TableBody"/>
            </w:pPr>
            <w:r>
              <w:t>No treatment</w:t>
            </w:r>
          </w:p>
        </w:tc>
        <w:tc>
          <w:tcPr>
            <w:tcW w:w="2250" w:type="dxa"/>
            <w:tcMar>
              <w:top w:w="0" w:type="nil"/>
              <w:bottom w:w="0" w:type="nil"/>
              <w:right w:w="0" w:type="nil"/>
            </w:tcMar>
          </w:tcPr>
          <w:p w14:paraId="784D60D5" w14:textId="77777777" w:rsidR="0054398B" w:rsidRPr="00BB0076" w:rsidRDefault="0054398B" w:rsidP="006D2776">
            <w:pPr>
              <w:pStyle w:val="TableBody"/>
            </w:pPr>
            <w:r>
              <w:t xml:space="preserve">$[0.02, </w:t>
            </w:r>
            <w:r w:rsidRPr="2F1F016F">
              <w:rPr>
                <w:b/>
                <w:bCs/>
              </w:rPr>
              <w:t>0.</w:t>
            </w:r>
            <w:r>
              <w:rPr>
                <w:b/>
                <w:bCs/>
              </w:rPr>
              <w:t>06</w:t>
            </w:r>
            <w:r>
              <w:t>, 0.30]/m</w:t>
            </w:r>
            <w:r w:rsidRPr="00C67CF9">
              <w:rPr>
                <w:vertAlign w:val="superscript"/>
              </w:rPr>
              <w:t>3</w:t>
            </w:r>
          </w:p>
        </w:tc>
        <w:tc>
          <w:tcPr>
            <w:tcW w:w="3870" w:type="dxa"/>
            <w:vMerge w:val="restart"/>
          </w:tcPr>
          <w:p w14:paraId="4B88C417" w14:textId="672A33E3" w:rsidR="0054398B" w:rsidRDefault="0CDBF178" w:rsidP="006D2776">
            <w:pPr>
              <w:pStyle w:val="TableBody"/>
              <w:rPr>
                <w:rFonts w:eastAsia="Arial"/>
              </w:rPr>
            </w:pPr>
            <w:r>
              <w:t xml:space="preserve">Domestic sanitation and wastewater treatment costs are based on </w:t>
            </w:r>
            <w:r w:rsidRPr="0CDBF178">
              <w:rPr>
                <w:rFonts w:eastAsia="Arial"/>
              </w:rPr>
              <w:t xml:space="preserve">Tables D.1 and E.1 in Hutton &amp; Varughese (2016), Table A.4.1 in </w:t>
            </w:r>
            <w:proofErr w:type="spellStart"/>
            <w:r w:rsidRPr="0CDBF178">
              <w:rPr>
                <w:rFonts w:eastAsia="Arial"/>
              </w:rPr>
              <w:t>Brichetti</w:t>
            </w:r>
            <w:proofErr w:type="spellEnd"/>
            <w:r w:rsidRPr="0CDBF178">
              <w:rPr>
                <w:rFonts w:eastAsia="Arial"/>
              </w:rPr>
              <w:t xml:space="preserve"> et al. (2021), Table 1 in </w:t>
            </w:r>
            <w:proofErr w:type="spellStart"/>
            <w:r w:rsidRPr="0CDBF178">
              <w:rPr>
                <w:rFonts w:eastAsia="Arial"/>
              </w:rPr>
              <w:t>Dodane</w:t>
            </w:r>
            <w:proofErr w:type="spellEnd"/>
            <w:r w:rsidRPr="0CDBF178">
              <w:rPr>
                <w:rFonts w:eastAsia="Arial"/>
              </w:rPr>
              <w:t xml:space="preserve"> et al. (2012), and Daudey (2018). Average wastewater produced in LAC is based on Table 4 in Jones et al. (2021). Here, the costs are given for each treatment option in isolation. So, wastewater that receives tertiary treatment will also receive primary and secondary treatment and incur those costs. </w:t>
            </w:r>
          </w:p>
          <w:p w14:paraId="58D788BC" w14:textId="77777777" w:rsidR="0054398B" w:rsidRDefault="0054398B" w:rsidP="006D2776">
            <w:pPr>
              <w:pStyle w:val="TableBody"/>
              <w:rPr>
                <w:rFonts w:eastAsia="Arial"/>
              </w:rPr>
            </w:pPr>
          </w:p>
          <w:p w14:paraId="5FA58117" w14:textId="5FF94DEB" w:rsidR="0054398B" w:rsidRPr="1D3FF739" w:rsidRDefault="0CDBF178">
            <w:pPr>
              <w:pStyle w:val="TableBody"/>
            </w:pPr>
            <w:r w:rsidRPr="0CDBF178">
              <w:rPr>
                <w:rFonts w:eastAsia="Arial"/>
              </w:rPr>
              <w:t>We assume industrial wastewater treatment costs the same as domestic wastewater treatment per quantity of treated water. The cost of no treatment is the cost of collecting industrial wastewater and dumping it untreated into waterways. We estimated it as one-tenth the cost of sewerage (i.e., safely managed urban sanitation) on a per cubic meter basis.</w:t>
            </w:r>
          </w:p>
        </w:tc>
      </w:tr>
      <w:tr w:rsidR="0054398B" w:rsidRPr="00C114A8" w14:paraId="0ECB9285" w14:textId="77777777" w:rsidTr="7654BBD9">
        <w:tc>
          <w:tcPr>
            <w:tcW w:w="3240" w:type="dxa"/>
            <w:tcMar>
              <w:top w:w="0" w:type="nil"/>
              <w:bottom w:w="0" w:type="nil"/>
              <w:right w:w="0" w:type="nil"/>
            </w:tcMar>
          </w:tcPr>
          <w:p w14:paraId="67BB83B1" w14:textId="77777777" w:rsidR="0054398B" w:rsidRDefault="0054398B" w:rsidP="006D2776">
            <w:pPr>
              <w:pStyle w:val="TableBody"/>
            </w:pPr>
          </w:p>
        </w:tc>
        <w:tc>
          <w:tcPr>
            <w:tcW w:w="2250" w:type="dxa"/>
            <w:tcMar>
              <w:top w:w="0" w:type="nil"/>
              <w:bottom w:w="0" w:type="nil"/>
              <w:right w:w="0" w:type="nil"/>
            </w:tcMar>
          </w:tcPr>
          <w:p w14:paraId="1FB7FDBC" w14:textId="77777777" w:rsidR="0054398B" w:rsidRDefault="0054398B" w:rsidP="006D2776">
            <w:pPr>
              <w:pStyle w:val="TableBody"/>
            </w:pPr>
          </w:p>
        </w:tc>
        <w:tc>
          <w:tcPr>
            <w:tcW w:w="3870" w:type="dxa"/>
            <w:vMerge/>
          </w:tcPr>
          <w:p w14:paraId="708DE65E" w14:textId="77777777" w:rsidR="0054398B" w:rsidRDefault="0054398B" w:rsidP="006D2776">
            <w:pPr>
              <w:pStyle w:val="TableBody"/>
            </w:pPr>
          </w:p>
        </w:tc>
      </w:tr>
      <w:tr w:rsidR="0054398B" w:rsidRPr="00250F0F" w14:paraId="25B9C88F" w14:textId="77777777" w:rsidTr="7654BBD9">
        <w:tc>
          <w:tcPr>
            <w:tcW w:w="3240" w:type="dxa"/>
            <w:tcMar>
              <w:top w:w="0" w:type="nil"/>
              <w:bottom w:w="0" w:type="nil"/>
              <w:right w:w="0" w:type="nil"/>
            </w:tcMar>
          </w:tcPr>
          <w:p w14:paraId="32C0C139" w14:textId="77777777" w:rsidR="0054398B" w:rsidRDefault="0054398B" w:rsidP="006D2776">
            <w:pPr>
              <w:pStyle w:val="TableBody"/>
            </w:pPr>
            <w:r>
              <w:t>Primary</w:t>
            </w:r>
          </w:p>
        </w:tc>
        <w:tc>
          <w:tcPr>
            <w:tcW w:w="2250" w:type="dxa"/>
            <w:tcMar>
              <w:top w:w="0" w:type="nil"/>
              <w:bottom w:w="0" w:type="nil"/>
              <w:right w:w="0" w:type="nil"/>
            </w:tcMar>
          </w:tcPr>
          <w:p w14:paraId="27C1776F" w14:textId="77777777" w:rsidR="0054398B" w:rsidRPr="00BB0076" w:rsidRDefault="0054398B" w:rsidP="006D2776">
            <w:pPr>
              <w:pStyle w:val="TableBody"/>
            </w:pPr>
            <w:r>
              <w:t>$[0.24, 0</w:t>
            </w:r>
            <w:r w:rsidRPr="1F3E5F2A">
              <w:rPr>
                <w:b/>
                <w:bCs/>
              </w:rPr>
              <w:t>.64</w:t>
            </w:r>
            <w:r>
              <w:t>, 3.10]/m</w:t>
            </w:r>
            <w:r w:rsidRPr="00C67CF9">
              <w:rPr>
                <w:vertAlign w:val="superscript"/>
              </w:rPr>
              <w:t>3</w:t>
            </w:r>
          </w:p>
        </w:tc>
        <w:tc>
          <w:tcPr>
            <w:tcW w:w="3870" w:type="dxa"/>
            <w:vMerge/>
          </w:tcPr>
          <w:p w14:paraId="440F9AFE" w14:textId="77777777" w:rsidR="0054398B" w:rsidRPr="0036080B" w:rsidRDefault="0054398B" w:rsidP="006D2776">
            <w:pPr>
              <w:pStyle w:val="TableBody"/>
              <w:jc w:val="center"/>
              <w:rPr>
                <w:rFonts w:eastAsia="Arial"/>
                <w:lang w:val="fr-FR"/>
              </w:rPr>
            </w:pPr>
          </w:p>
        </w:tc>
      </w:tr>
      <w:tr w:rsidR="0054398B" w:rsidRPr="00250F0F" w14:paraId="7085D145" w14:textId="77777777" w:rsidTr="7654BBD9">
        <w:tc>
          <w:tcPr>
            <w:tcW w:w="3240" w:type="dxa"/>
            <w:tcMar>
              <w:top w:w="0" w:type="nil"/>
              <w:bottom w:w="0" w:type="nil"/>
              <w:right w:w="0" w:type="nil"/>
            </w:tcMar>
          </w:tcPr>
          <w:p w14:paraId="634FD7F6" w14:textId="13549367" w:rsidR="0054398B" w:rsidRDefault="0CDBF178">
            <w:pPr>
              <w:pStyle w:val="TableBody"/>
            </w:pPr>
            <w:r>
              <w:t>Secondary (aerobic)</w:t>
            </w:r>
          </w:p>
        </w:tc>
        <w:tc>
          <w:tcPr>
            <w:tcW w:w="2250" w:type="dxa"/>
            <w:tcMar>
              <w:top w:w="0" w:type="nil"/>
              <w:bottom w:w="0" w:type="nil"/>
              <w:right w:w="0" w:type="nil"/>
            </w:tcMar>
          </w:tcPr>
          <w:p w14:paraId="091CD32F" w14:textId="77777777" w:rsidR="0054398B" w:rsidRDefault="0054398B" w:rsidP="006D2776">
            <w:pPr>
              <w:pStyle w:val="TableBody"/>
            </w:pPr>
            <w:r>
              <w:t xml:space="preserve">$[0.40, </w:t>
            </w:r>
            <w:r w:rsidRPr="05841BA1">
              <w:rPr>
                <w:b/>
                <w:bCs/>
              </w:rPr>
              <w:t>0.80</w:t>
            </w:r>
            <w:r>
              <w:t>, 3.27]/m</w:t>
            </w:r>
            <w:r w:rsidRPr="00C67CF9">
              <w:rPr>
                <w:vertAlign w:val="superscript"/>
              </w:rPr>
              <w:t>3</w:t>
            </w:r>
          </w:p>
          <w:p w14:paraId="31DE6B3F" w14:textId="77777777" w:rsidR="0054398B" w:rsidRDefault="0054398B" w:rsidP="006D2776">
            <w:pPr>
              <w:pStyle w:val="TableBody"/>
              <w:rPr>
                <w:szCs w:val="18"/>
              </w:rPr>
            </w:pPr>
          </w:p>
        </w:tc>
        <w:tc>
          <w:tcPr>
            <w:tcW w:w="3870" w:type="dxa"/>
            <w:vMerge/>
          </w:tcPr>
          <w:p w14:paraId="3CC51A11" w14:textId="77777777" w:rsidR="0054398B" w:rsidRPr="0036080B" w:rsidRDefault="0054398B" w:rsidP="006D2776">
            <w:pPr>
              <w:pStyle w:val="TableBody"/>
              <w:jc w:val="center"/>
              <w:rPr>
                <w:lang w:val="fr-FR"/>
              </w:rPr>
            </w:pPr>
          </w:p>
        </w:tc>
      </w:tr>
      <w:tr w:rsidR="0054398B" w:rsidRPr="00250F0F" w14:paraId="36B21ADF" w14:textId="77777777" w:rsidTr="7654BBD9">
        <w:tc>
          <w:tcPr>
            <w:tcW w:w="3240" w:type="dxa"/>
            <w:tcMar>
              <w:top w:w="0" w:type="nil"/>
              <w:bottom w:w="0" w:type="nil"/>
              <w:right w:w="0" w:type="nil"/>
            </w:tcMar>
          </w:tcPr>
          <w:p w14:paraId="58BA2EC3" w14:textId="285B01DB" w:rsidR="0054398B" w:rsidRDefault="0CDBF178">
            <w:pPr>
              <w:pStyle w:val="TableBody"/>
            </w:pPr>
            <w:r>
              <w:t>Secondary (anaerobic)</w:t>
            </w:r>
          </w:p>
        </w:tc>
        <w:tc>
          <w:tcPr>
            <w:tcW w:w="2250" w:type="dxa"/>
            <w:tcMar>
              <w:top w:w="0" w:type="nil"/>
              <w:bottom w:w="0" w:type="nil"/>
              <w:right w:w="0" w:type="nil"/>
            </w:tcMar>
          </w:tcPr>
          <w:p w14:paraId="79A0E1DA" w14:textId="77777777" w:rsidR="0054398B" w:rsidRDefault="0054398B" w:rsidP="006D2776">
            <w:pPr>
              <w:pStyle w:val="TableBody"/>
            </w:pPr>
            <w:r>
              <w:t xml:space="preserve">$[0.40, </w:t>
            </w:r>
            <w:r w:rsidRPr="05841BA1">
              <w:rPr>
                <w:b/>
                <w:bCs/>
              </w:rPr>
              <w:t>0.80</w:t>
            </w:r>
            <w:r>
              <w:t>, 3.27]/m</w:t>
            </w:r>
            <w:r w:rsidRPr="00C67CF9">
              <w:rPr>
                <w:vertAlign w:val="superscript"/>
              </w:rPr>
              <w:t>3</w:t>
            </w:r>
          </w:p>
          <w:p w14:paraId="2C05616E" w14:textId="77777777" w:rsidR="0054398B" w:rsidRDefault="0054398B" w:rsidP="006D2776">
            <w:pPr>
              <w:pStyle w:val="TableBody"/>
            </w:pPr>
          </w:p>
        </w:tc>
        <w:tc>
          <w:tcPr>
            <w:tcW w:w="3870" w:type="dxa"/>
            <w:vMerge/>
          </w:tcPr>
          <w:p w14:paraId="65778EE7" w14:textId="77777777" w:rsidR="0054398B" w:rsidRPr="0036080B" w:rsidRDefault="0054398B" w:rsidP="006D2776">
            <w:pPr>
              <w:pStyle w:val="TableBody"/>
              <w:jc w:val="center"/>
              <w:rPr>
                <w:lang w:val="fr-FR"/>
              </w:rPr>
            </w:pPr>
          </w:p>
        </w:tc>
      </w:tr>
      <w:tr w:rsidR="0054398B" w:rsidRPr="00250F0F" w14:paraId="3C6DD1A8" w14:textId="77777777" w:rsidTr="7654BBD9">
        <w:tc>
          <w:tcPr>
            <w:tcW w:w="3240" w:type="dxa"/>
            <w:tcMar>
              <w:top w:w="0" w:type="nil"/>
              <w:bottom w:w="0" w:type="nil"/>
              <w:right w:w="0" w:type="nil"/>
            </w:tcMar>
          </w:tcPr>
          <w:p w14:paraId="69BDA684" w14:textId="058BB5EE" w:rsidR="0054398B" w:rsidRDefault="0CDBF178">
            <w:pPr>
              <w:pStyle w:val="TableBody"/>
            </w:pPr>
            <w:r>
              <w:t>Tertiary (aerobic)</w:t>
            </w:r>
          </w:p>
        </w:tc>
        <w:tc>
          <w:tcPr>
            <w:tcW w:w="2250" w:type="dxa"/>
            <w:tcMar>
              <w:top w:w="0" w:type="nil"/>
              <w:bottom w:w="0" w:type="nil"/>
              <w:right w:w="0" w:type="nil"/>
            </w:tcMar>
          </w:tcPr>
          <w:p w14:paraId="2BA9F710" w14:textId="77777777" w:rsidR="0054398B" w:rsidRDefault="0054398B" w:rsidP="006D2776">
            <w:pPr>
              <w:pStyle w:val="TableBody"/>
            </w:pPr>
            <w:r>
              <w:t xml:space="preserve">$[0.80, </w:t>
            </w:r>
            <w:r w:rsidRPr="000E62E0">
              <w:rPr>
                <w:b/>
                <w:bCs/>
              </w:rPr>
              <w:t>1.60</w:t>
            </w:r>
            <w:r>
              <w:t>, 6.54]/m</w:t>
            </w:r>
            <w:r w:rsidRPr="003D40FB">
              <w:rPr>
                <w:vertAlign w:val="superscript"/>
              </w:rPr>
              <w:t>3</w:t>
            </w:r>
          </w:p>
        </w:tc>
        <w:tc>
          <w:tcPr>
            <w:tcW w:w="3870" w:type="dxa"/>
            <w:vMerge/>
          </w:tcPr>
          <w:p w14:paraId="3277E3E0" w14:textId="77777777" w:rsidR="0054398B" w:rsidRPr="0036080B" w:rsidRDefault="0054398B" w:rsidP="006D2776">
            <w:pPr>
              <w:pStyle w:val="TableBody"/>
              <w:jc w:val="center"/>
              <w:rPr>
                <w:lang w:val="fr-FR"/>
              </w:rPr>
            </w:pPr>
          </w:p>
        </w:tc>
      </w:tr>
      <w:tr w:rsidR="0054398B" w:rsidRPr="00250F0F" w14:paraId="7D94320C" w14:textId="77777777" w:rsidTr="7654BBD9">
        <w:tc>
          <w:tcPr>
            <w:tcW w:w="3240" w:type="dxa"/>
            <w:tcBorders>
              <w:bottom w:val="nil"/>
            </w:tcBorders>
            <w:tcMar>
              <w:top w:w="0" w:type="nil"/>
              <w:bottom w:w="0" w:type="nil"/>
              <w:right w:w="0" w:type="nil"/>
            </w:tcMar>
          </w:tcPr>
          <w:p w14:paraId="5C10E63B" w14:textId="3559EA33" w:rsidR="0054398B" w:rsidRDefault="0CDBF178">
            <w:pPr>
              <w:pStyle w:val="TableBody"/>
            </w:pPr>
            <w:r>
              <w:t>Tertiary (anaerobic)</w:t>
            </w:r>
          </w:p>
        </w:tc>
        <w:tc>
          <w:tcPr>
            <w:tcW w:w="2250" w:type="dxa"/>
            <w:tcBorders>
              <w:bottom w:val="nil"/>
            </w:tcBorders>
            <w:tcMar>
              <w:top w:w="0" w:type="nil"/>
              <w:bottom w:w="0" w:type="nil"/>
              <w:right w:w="0" w:type="nil"/>
            </w:tcMar>
          </w:tcPr>
          <w:p w14:paraId="0F5D5B39" w14:textId="77777777" w:rsidR="0054398B" w:rsidRDefault="0054398B" w:rsidP="006D2776">
            <w:pPr>
              <w:pStyle w:val="TableBody"/>
            </w:pPr>
            <w:r>
              <w:t xml:space="preserve">$[0.80, </w:t>
            </w:r>
            <w:r w:rsidRPr="000E62E0">
              <w:rPr>
                <w:b/>
                <w:bCs/>
              </w:rPr>
              <w:t>1.60</w:t>
            </w:r>
            <w:r>
              <w:t>, 6.54]/m</w:t>
            </w:r>
            <w:r w:rsidRPr="003D40FB">
              <w:rPr>
                <w:vertAlign w:val="superscript"/>
              </w:rPr>
              <w:t>3</w:t>
            </w:r>
          </w:p>
        </w:tc>
        <w:tc>
          <w:tcPr>
            <w:tcW w:w="3870" w:type="dxa"/>
            <w:vMerge/>
          </w:tcPr>
          <w:p w14:paraId="0B8161DE" w14:textId="77777777" w:rsidR="0054398B" w:rsidRPr="0036080B" w:rsidRDefault="0054398B" w:rsidP="006D2776">
            <w:pPr>
              <w:pStyle w:val="TableBody"/>
              <w:jc w:val="center"/>
              <w:rPr>
                <w:lang w:val="fr-FR"/>
              </w:rPr>
            </w:pPr>
          </w:p>
        </w:tc>
      </w:tr>
      <w:tr w:rsidR="0054398B" w:rsidRPr="00250F0F" w14:paraId="5A377995" w14:textId="77777777" w:rsidTr="7654BBD9">
        <w:tc>
          <w:tcPr>
            <w:tcW w:w="3240" w:type="dxa"/>
            <w:tcBorders>
              <w:top w:val="nil"/>
              <w:bottom w:val="single" w:sz="4" w:space="0" w:color="auto"/>
            </w:tcBorders>
            <w:tcMar>
              <w:top w:w="0" w:type="nil"/>
              <w:bottom w:w="0" w:type="nil"/>
              <w:right w:w="0" w:type="nil"/>
            </w:tcMar>
          </w:tcPr>
          <w:p w14:paraId="3951039A" w14:textId="7F5B9F45" w:rsidR="0054398B" w:rsidRDefault="0CDBF178">
            <w:pPr>
              <w:pStyle w:val="TableBody"/>
            </w:pPr>
            <w:r>
              <w:t>Biogas capture</w:t>
            </w:r>
          </w:p>
        </w:tc>
        <w:tc>
          <w:tcPr>
            <w:tcW w:w="2250" w:type="dxa"/>
            <w:tcBorders>
              <w:top w:val="nil"/>
              <w:bottom w:val="single" w:sz="4" w:space="0" w:color="auto"/>
            </w:tcBorders>
            <w:tcMar>
              <w:top w:w="0" w:type="nil"/>
              <w:bottom w:w="0" w:type="nil"/>
              <w:right w:w="0" w:type="nil"/>
            </w:tcMar>
          </w:tcPr>
          <w:p w14:paraId="7403ED8E" w14:textId="639782E5" w:rsidR="0054398B" w:rsidRDefault="48B0C125" w:rsidP="006D2776">
            <w:pPr>
              <w:pStyle w:val="TableBody"/>
            </w:pPr>
            <w:r>
              <w:t>$17</w:t>
            </w:r>
            <w:r w:rsidRPr="00721D63">
              <w:t>/million British thermal units (</w:t>
            </w:r>
            <w:proofErr w:type="spellStart"/>
            <w:r w:rsidRPr="00721D63">
              <w:t>MBtu</w:t>
            </w:r>
            <w:proofErr w:type="spellEnd"/>
            <w:r w:rsidRPr="00721D63">
              <w:t>) of biogas</w:t>
            </w:r>
          </w:p>
        </w:tc>
        <w:tc>
          <w:tcPr>
            <w:tcW w:w="3870" w:type="dxa"/>
            <w:tcBorders>
              <w:top w:val="nil"/>
              <w:bottom w:val="single" w:sz="4" w:space="0" w:color="auto"/>
            </w:tcBorders>
          </w:tcPr>
          <w:p w14:paraId="55BD4CC8" w14:textId="09ECD40D" w:rsidR="0054398B" w:rsidRPr="009672C9" w:rsidRDefault="0CDBF178" w:rsidP="0CDBF178">
            <w:pPr>
              <w:pStyle w:val="TableBody"/>
            </w:pPr>
            <w:r>
              <w:t xml:space="preserve">IEA (2020f) provides a global average cost of biogas capture at wastewater treatment facilities of $10.30/MBTU in capex and $4.30/MBTU in </w:t>
            </w:r>
            <w:proofErr w:type="spellStart"/>
            <w:r>
              <w:t>opex</w:t>
            </w:r>
            <w:proofErr w:type="spellEnd"/>
            <w:r>
              <w:t>, which we convert to 2019 dollars in LAC.</w:t>
            </w:r>
          </w:p>
        </w:tc>
      </w:tr>
      <w:bookmarkEnd w:id="93"/>
    </w:tbl>
    <w:p w14:paraId="3BB04986" w14:textId="77777777" w:rsidR="00DB0D88" w:rsidRDefault="00DB0D88" w:rsidP="0054398B">
      <w:pPr>
        <w:jc w:val="both"/>
      </w:pPr>
    </w:p>
    <w:p w14:paraId="57256771" w14:textId="61B3EF49" w:rsidR="0054398B" w:rsidRDefault="0CDBF178" w:rsidP="0CDBF178">
      <w:r>
        <w:t>The non-GHG co-benefits of better wastewater management largely involve avoiding social and environmental costs from poor wastewater management practices, listed in Table G.6. The first group of benefits are associated with improving household sanitation services, consistent with SDG 6.2.1a, the proportion of the population using safely managed sanitation services. For this study, we quantify the benefits of moving households from unimproved and basic sanitation to safely managed sanitation. Benefits of this transformation include seeking less healthcare, avoiding productive time losses from disease, reducing premature mortality, and time savings (Hutton, 2013).</w:t>
      </w:r>
    </w:p>
    <w:p w14:paraId="50FE4460" w14:textId="7044BC3E" w:rsidR="0054398B" w:rsidRDefault="48B0C125" w:rsidP="0CDBF178">
      <w:r>
        <w:t>The second group of benefits are associated with treating wastewater, consistent with SDG 6.3.1, the proportion of wastewater safely treated. These benefits are avoiding health, environmental, and productivity costs associated with contaminated water. For this study, we quantify the benefits of wastewater treatment by the amounts of key contaminants for chemical oxygen demand (COD), biological oxygen demand (BOD</w:t>
      </w:r>
      <w:r w:rsidRPr="00667429">
        <w:t>)</w:t>
      </w:r>
      <w:r>
        <w:t>, N, and phosphorous (P) removed by each wastewater treatment system and applying shadow prices to those quantities as Table G.5 shows (Hernández-Sancho et al., 2010; 2015). This does not include the benefits of removing other contaminants (Hernández-Sancho et al., 2015).</w:t>
      </w:r>
    </w:p>
    <w:p w14:paraId="4591E70C" w14:textId="11CAEB3C" w:rsidR="0054398B" w:rsidRDefault="00DB0D88" w:rsidP="00AC6AF2">
      <w:r>
        <w:t>The</w:t>
      </w:r>
      <w:r w:rsidR="0054398B">
        <w:t xml:space="preserve"> other </w:t>
      </w:r>
      <w:r w:rsidR="00AC6AF2">
        <w:t>benefit</w:t>
      </w:r>
      <w:r w:rsidR="0054398B">
        <w:t xml:space="preserve"> </w:t>
      </w:r>
      <w:r>
        <w:t>is the</w:t>
      </w:r>
      <w:r w:rsidR="0054398B">
        <w:t xml:space="preserve"> value of methane captured and reused for energy (addressed in the energy sector).</w:t>
      </w:r>
    </w:p>
    <w:p w14:paraId="66878831" w14:textId="28D71E88" w:rsidR="00DB0D88" w:rsidRPr="005D7B19" w:rsidRDefault="0CDBF178" w:rsidP="0CDBF178">
      <w:pPr>
        <w:pStyle w:val="Heading9"/>
        <w:rPr>
          <w:rFonts w:ascii="Times New Roman" w:hAnsi="Times New Roman"/>
          <w:sz w:val="24"/>
          <w:szCs w:val="24"/>
        </w:rPr>
      </w:pPr>
      <w:bookmarkStart w:id="95" w:name="_Toc152088342"/>
      <w:r w:rsidRPr="0CDBF178">
        <w:rPr>
          <w:rFonts w:eastAsia="Arial"/>
        </w:rPr>
        <w:t xml:space="preserve">Table G.6 </w:t>
      </w:r>
      <w:proofErr w:type="gramStart"/>
      <w:r w:rsidRPr="0CDBF178">
        <w:rPr>
          <w:rFonts w:eastAsia="Arial"/>
        </w:rPr>
        <w:t>Non-technical</w:t>
      </w:r>
      <w:proofErr w:type="gramEnd"/>
      <w:r w:rsidRPr="0CDBF178">
        <w:rPr>
          <w:rFonts w:eastAsia="Arial"/>
        </w:rPr>
        <w:t xml:space="preserve"> benefits and costs of transforming wastewater</w:t>
      </w:r>
      <w:bookmarkEnd w:id="95"/>
    </w:p>
    <w:tbl>
      <w:tblPr>
        <w:tblStyle w:val="TableGrid"/>
        <w:tblW w:w="5000" w:type="pct"/>
        <w:tblCellMar>
          <w:top w:w="86" w:type="dxa"/>
          <w:bottom w:w="86" w:type="dxa"/>
        </w:tblCellMar>
        <w:tblLook w:val="0620" w:firstRow="1" w:lastRow="0" w:firstColumn="0" w:lastColumn="0" w:noHBand="1" w:noVBand="1"/>
      </w:tblPr>
      <w:tblGrid>
        <w:gridCol w:w="2245"/>
        <w:gridCol w:w="2615"/>
        <w:gridCol w:w="4500"/>
      </w:tblGrid>
      <w:tr w:rsidR="0054398B" w:rsidRPr="00C114A8" w14:paraId="0A187B7F" w14:textId="77777777" w:rsidTr="48B0C125">
        <w:trPr>
          <w:cnfStyle w:val="100000000000" w:firstRow="1" w:lastRow="0" w:firstColumn="0" w:lastColumn="0" w:oddVBand="0" w:evenVBand="0" w:oddHBand="0" w:evenHBand="0" w:firstRowFirstColumn="0" w:firstRowLastColumn="0" w:lastRowFirstColumn="0" w:lastRowLastColumn="0"/>
          <w:trHeight w:val="20"/>
        </w:trPr>
        <w:tc>
          <w:tcPr>
            <w:tcW w:w="2245" w:type="dxa"/>
          </w:tcPr>
          <w:p w14:paraId="4E2F4BA9" w14:textId="77777777" w:rsidR="0054398B" w:rsidRDefault="0054398B" w:rsidP="006D2776">
            <w:pPr>
              <w:pStyle w:val="TableColHeading"/>
              <w:jc w:val="left"/>
            </w:pPr>
            <w:r>
              <w:t>Benefit</w:t>
            </w:r>
          </w:p>
        </w:tc>
        <w:tc>
          <w:tcPr>
            <w:tcW w:w="2615" w:type="dxa"/>
          </w:tcPr>
          <w:p w14:paraId="07767D05" w14:textId="77777777" w:rsidR="0054398B" w:rsidRDefault="0054398B" w:rsidP="006D2776">
            <w:pPr>
              <w:pStyle w:val="TableColHeading"/>
            </w:pPr>
            <w:r>
              <w:t xml:space="preserve">Value </w:t>
            </w:r>
          </w:p>
        </w:tc>
        <w:tc>
          <w:tcPr>
            <w:tcW w:w="4500" w:type="dxa"/>
          </w:tcPr>
          <w:p w14:paraId="67A6EE7F" w14:textId="61428E9D" w:rsidR="0054398B" w:rsidRDefault="0CDBF178">
            <w:pPr>
              <w:pStyle w:val="TableColHeading"/>
            </w:pPr>
            <w:r>
              <w:t>Data source</w:t>
            </w:r>
          </w:p>
        </w:tc>
      </w:tr>
      <w:tr w:rsidR="0054398B" w:rsidRPr="00C114A8" w14:paraId="5BA87CDA" w14:textId="77777777" w:rsidTr="48B0C125">
        <w:tc>
          <w:tcPr>
            <w:tcW w:w="2245" w:type="dxa"/>
          </w:tcPr>
          <w:p w14:paraId="68466631" w14:textId="77777777" w:rsidR="0054398B" w:rsidRDefault="0054398B" w:rsidP="006D2776">
            <w:pPr>
              <w:pStyle w:val="TableBody"/>
            </w:pPr>
            <w:r>
              <w:t>Improvements in health and productivity from better household sanitation</w:t>
            </w:r>
          </w:p>
        </w:tc>
        <w:tc>
          <w:tcPr>
            <w:tcW w:w="2615" w:type="dxa"/>
          </w:tcPr>
          <w:p w14:paraId="6FCB4256" w14:textId="112BED01" w:rsidR="0054398B" w:rsidRPr="00640339" w:rsidRDefault="0CDBF178" w:rsidP="0CDBF178">
            <w:pPr>
              <w:pStyle w:val="TableBody"/>
            </w:pPr>
            <w:r>
              <w:t>$200/year/person transitioned to safe sanitation</w:t>
            </w:r>
          </w:p>
        </w:tc>
        <w:tc>
          <w:tcPr>
            <w:tcW w:w="4500" w:type="dxa"/>
          </w:tcPr>
          <w:p w14:paraId="63BCC398" w14:textId="56900A77" w:rsidR="0054398B" w:rsidRDefault="0CDBF178" w:rsidP="006D2776">
            <w:pPr>
              <w:pStyle w:val="TableBody"/>
            </w:pPr>
            <w:r>
              <w:t>The per capita benefits were calculated by dividing the total annual benefit of transitioning from unimproved to improved sanitation in LAC (Table 9) by the total population receiving improved sanitation interventions in LAC (Table 1) in Hutton (2012), adjusted from 2010 to 2019 dollars. The sanitation ladder in Hutton (2012) calculates the benefits of moving from unimproved to improved sanitation, but where the latter term could be extended to include (i.e., safely managed) sanitation options of septic tanks and sewerage with wastewater treatment without affecting the value of benefits. We therefore assume that the benefits roughly apply to transitions from unimproved to safely managed sanitation and improved to safely managed sanitation.</w:t>
            </w:r>
          </w:p>
        </w:tc>
      </w:tr>
      <w:tr w:rsidR="0054398B" w:rsidRPr="00C114A8" w14:paraId="66C86451" w14:textId="77777777" w:rsidTr="48B0C125">
        <w:tc>
          <w:tcPr>
            <w:tcW w:w="2245" w:type="dxa"/>
            <w:tcBorders>
              <w:bottom w:val="nil"/>
            </w:tcBorders>
          </w:tcPr>
          <w:p w14:paraId="69CAA0D8" w14:textId="77777777" w:rsidR="0054398B" w:rsidRDefault="0054398B" w:rsidP="006D2776">
            <w:pPr>
              <w:pStyle w:val="TableBody"/>
            </w:pPr>
            <w:r>
              <w:t>Health, environment, and productivity benefits of improved water quality from more and better wastewater treatment</w:t>
            </w:r>
          </w:p>
        </w:tc>
        <w:tc>
          <w:tcPr>
            <w:tcW w:w="2615" w:type="dxa"/>
            <w:tcBorders>
              <w:bottom w:val="nil"/>
            </w:tcBorders>
          </w:tcPr>
          <w:p w14:paraId="1D895CA8" w14:textId="77777777" w:rsidR="0054398B" w:rsidRDefault="0054398B" w:rsidP="006D2776">
            <w:pPr>
              <w:pStyle w:val="TableBody"/>
            </w:pPr>
            <w:r>
              <w:t>$51/kg P</w:t>
            </w:r>
          </w:p>
          <w:p w14:paraId="39B458DF" w14:textId="77777777" w:rsidR="0054398B" w:rsidRDefault="0054398B" w:rsidP="006D2776">
            <w:pPr>
              <w:pStyle w:val="TableBody"/>
            </w:pPr>
            <w:r>
              <w:t>$20/kg N</w:t>
            </w:r>
          </w:p>
          <w:p w14:paraId="56C2338F" w14:textId="0CA8B4F0" w:rsidR="0054398B" w:rsidRDefault="48B0C125" w:rsidP="006D2776">
            <w:pPr>
              <w:pStyle w:val="TableBody"/>
            </w:pPr>
            <w:r>
              <w:t>$0.13/kg of chemical oxygen demand (COD</w:t>
            </w:r>
            <w:r w:rsidRPr="00667429">
              <w:t>)</w:t>
            </w:r>
          </w:p>
          <w:p w14:paraId="7340D8E7" w14:textId="43A2D724" w:rsidR="0054398B" w:rsidRPr="00667429" w:rsidRDefault="48B0C125" w:rsidP="48B0C125">
            <w:pPr>
              <w:pStyle w:val="TableBody"/>
            </w:pPr>
            <w:r>
              <w:t>$0.06/kg of biological oxygen demand (BOD</w:t>
            </w:r>
            <w:r w:rsidRPr="00667429">
              <w:t>)</w:t>
            </w:r>
          </w:p>
          <w:p w14:paraId="19CDFB99" w14:textId="77777777" w:rsidR="0054398B" w:rsidRDefault="0054398B" w:rsidP="006D2776">
            <w:pPr>
              <w:pStyle w:val="TableBody"/>
            </w:pPr>
          </w:p>
        </w:tc>
        <w:tc>
          <w:tcPr>
            <w:tcW w:w="4500" w:type="dxa"/>
            <w:tcBorders>
              <w:bottom w:val="nil"/>
            </w:tcBorders>
          </w:tcPr>
          <w:p w14:paraId="0E39E2CB" w14:textId="77067587" w:rsidR="0054398B" w:rsidRDefault="0CDBF178" w:rsidP="006D2776">
            <w:pPr>
              <w:pStyle w:val="TableBody"/>
            </w:pPr>
            <w:r>
              <w:t>Several studies (</w:t>
            </w:r>
            <w:proofErr w:type="spellStart"/>
            <w:r w:rsidRPr="0CDBF178">
              <w:rPr>
                <w:rFonts w:cs="Arial"/>
              </w:rPr>
              <w:t>Hernández-Sancho</w:t>
            </w:r>
            <w:proofErr w:type="spellEnd"/>
            <w:r w:rsidRPr="0CDBF178">
              <w:rPr>
                <w:rFonts w:cs="Arial"/>
              </w:rPr>
              <w:t xml:space="preserve"> et al. (2010, 2015) and </w:t>
            </w:r>
            <w:proofErr w:type="spellStart"/>
            <w:r w:rsidRPr="0CDBF178">
              <w:rPr>
                <w:rFonts w:cs="Arial"/>
              </w:rPr>
              <w:t>Antalová</w:t>
            </w:r>
            <w:proofErr w:type="spellEnd"/>
            <w:r w:rsidRPr="0CDBF178">
              <w:rPr>
                <w:rFonts w:cs="Arial"/>
              </w:rPr>
              <w:t xml:space="preserve"> and </w:t>
            </w:r>
            <w:proofErr w:type="spellStart"/>
            <w:r w:rsidRPr="0CDBF178">
              <w:rPr>
                <w:rFonts w:cs="Arial"/>
              </w:rPr>
              <w:t>Halus</w:t>
            </w:r>
            <w:proofErr w:type="spellEnd"/>
            <w:r w:rsidRPr="0CDBF178">
              <w:rPr>
                <w:rFonts w:cs="Arial"/>
              </w:rPr>
              <w:t>̌ (2020)</w:t>
            </w:r>
            <w:r>
              <w:t xml:space="preserve"> calculate the value of BOD, COD, N, and phosphorous (P</w:t>
            </w:r>
            <w:r w:rsidRPr="00667429">
              <w:t>)</w:t>
            </w:r>
            <w:r>
              <w:t xml:space="preserve"> removed from wastewater effluent. We use average values and adjust to LAC in 2019.</w:t>
            </w:r>
          </w:p>
          <w:p w14:paraId="5DBE40CA" w14:textId="77777777" w:rsidR="0054398B" w:rsidRDefault="0054398B" w:rsidP="006D2776">
            <w:pPr>
              <w:pStyle w:val="TableBody"/>
            </w:pPr>
          </w:p>
        </w:tc>
      </w:tr>
      <w:tr w:rsidR="0054398B" w:rsidRPr="00C114A8" w14:paraId="1CE4C987" w14:textId="77777777" w:rsidTr="48B0C125">
        <w:tc>
          <w:tcPr>
            <w:tcW w:w="2245" w:type="dxa"/>
            <w:tcBorders>
              <w:top w:val="nil"/>
              <w:bottom w:val="single" w:sz="4" w:space="0" w:color="auto"/>
            </w:tcBorders>
          </w:tcPr>
          <w:p w14:paraId="17B1BE6A" w14:textId="77777777" w:rsidR="0054398B" w:rsidRDefault="0054398B" w:rsidP="006D2776">
            <w:pPr>
              <w:pStyle w:val="TableBody"/>
            </w:pPr>
            <w:r>
              <w:t>Value of CH4 captured and used for energy</w:t>
            </w:r>
          </w:p>
        </w:tc>
        <w:tc>
          <w:tcPr>
            <w:tcW w:w="2615" w:type="dxa"/>
            <w:tcBorders>
              <w:top w:val="nil"/>
              <w:bottom w:val="single" w:sz="4" w:space="0" w:color="auto"/>
            </w:tcBorders>
          </w:tcPr>
          <w:p w14:paraId="18E2AF51" w14:textId="77777777" w:rsidR="0054398B" w:rsidRDefault="0054398B" w:rsidP="006D2776">
            <w:pPr>
              <w:pStyle w:val="TableBody"/>
            </w:pPr>
            <w:r>
              <w:t>Endogenously valued in the energy sector model</w:t>
            </w:r>
          </w:p>
        </w:tc>
        <w:tc>
          <w:tcPr>
            <w:tcW w:w="4500" w:type="dxa"/>
            <w:tcBorders>
              <w:top w:val="nil"/>
              <w:bottom w:val="single" w:sz="4" w:space="0" w:color="auto"/>
            </w:tcBorders>
          </w:tcPr>
          <w:p w14:paraId="4B6C82DA" w14:textId="77777777" w:rsidR="0054398B" w:rsidRPr="00FE67B4" w:rsidRDefault="0054398B" w:rsidP="006D2776">
            <w:pPr>
              <w:pStyle w:val="TableBody"/>
            </w:pPr>
          </w:p>
        </w:tc>
      </w:tr>
    </w:tbl>
    <w:p w14:paraId="1013FBD7" w14:textId="77777777" w:rsidR="0054398B" w:rsidRDefault="0CDBF178" w:rsidP="0054398B">
      <w:pPr>
        <w:pStyle w:val="Heading2"/>
        <w:ind w:left="0" w:firstLine="0"/>
      </w:pPr>
      <w:bookmarkStart w:id="96" w:name="_Toc152088264"/>
      <w:r>
        <w:t>Solid Waste</w:t>
      </w:r>
      <w:bookmarkEnd w:id="96"/>
    </w:p>
    <w:p w14:paraId="69B118A1" w14:textId="3D634A92" w:rsidR="0054398B" w:rsidRDefault="0CDBF178" w:rsidP="0054398B">
      <w:pPr>
        <w:pStyle w:val="Heading3"/>
        <w:ind w:left="0" w:firstLine="0"/>
        <w:jc w:val="both"/>
      </w:pPr>
      <w:bookmarkStart w:id="97" w:name="_Toc152088265"/>
      <w:r>
        <w:t>Modeling solid waste</w:t>
      </w:r>
      <w:bookmarkEnd w:id="97"/>
    </w:p>
    <w:p w14:paraId="1D86ABB5" w14:textId="080B3A2D" w:rsidR="0054398B" w:rsidRDefault="68F647D8" w:rsidP="68F647D8">
      <w:r>
        <w:t xml:space="preserve">Solid waste is generated by consumption. Growth in domestic consumption is driven by GDP per capita, while growth in industrial consumption is driven by production (represented by value added). Solid waste streams are disaggregated by subtype—such as wood, paper, or food—and can be managed in several pathways (see Table G.7), consistent with the systems and discharge pathways described in the waste chapters IPCC’s </w:t>
      </w:r>
      <w:r w:rsidRPr="00667429">
        <w:rPr>
          <w:i/>
          <w:iCs/>
        </w:rPr>
        <w:t>2006 Guidelines for National Greenhouse Gas Inventories</w:t>
      </w:r>
      <w:r>
        <w:t xml:space="preserve"> and the subsequent 2019 refinement. Emissions are calculated using specific emissions factors for each waste stream subtype managed in each system, consistent with the methodology and factors in the IPCC Guidelines. </w:t>
      </w:r>
    </w:p>
    <w:p w14:paraId="5276033D" w14:textId="22B8C100" w:rsidR="0054398B" w:rsidRDefault="0CDBF178" w:rsidP="0CDBF178">
      <w:pPr>
        <w:pStyle w:val="Heading9"/>
      </w:pPr>
      <w:bookmarkStart w:id="98" w:name="_Toc152088343"/>
      <w:r>
        <w:t>Table G.7 Solid waste management systems</w:t>
      </w:r>
      <w:bookmarkEnd w:id="98"/>
    </w:p>
    <w:tbl>
      <w:tblPr>
        <w:tblStyle w:val="TableGrid"/>
        <w:tblW w:w="0" w:type="auto"/>
        <w:tblCellMar>
          <w:top w:w="86" w:type="dxa"/>
          <w:bottom w:w="86" w:type="dxa"/>
        </w:tblCellMar>
        <w:tblLook w:val="0620" w:firstRow="1" w:lastRow="0" w:firstColumn="0" w:lastColumn="0" w:noHBand="1" w:noVBand="1"/>
      </w:tblPr>
      <w:tblGrid>
        <w:gridCol w:w="1620"/>
        <w:gridCol w:w="1530"/>
        <w:gridCol w:w="6210"/>
      </w:tblGrid>
      <w:tr w:rsidR="0054398B" w:rsidRPr="00C114A8" w14:paraId="3493C6A1"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1620" w:type="dxa"/>
            <w:tcMar>
              <w:top w:w="0" w:type="nil"/>
              <w:bottom w:w="0" w:type="nil"/>
              <w:right w:w="0" w:type="nil"/>
            </w:tcMar>
            <w:vAlign w:val="bottom"/>
          </w:tcPr>
          <w:p w14:paraId="146715C0" w14:textId="52DED208" w:rsidR="0054398B" w:rsidRPr="00C114A8" w:rsidRDefault="0CDBF178" w:rsidP="0CDBF178">
            <w:pPr>
              <w:pStyle w:val="TableColHeading"/>
              <w:jc w:val="left"/>
            </w:pPr>
            <w:r>
              <w:t>Solid waste management</w:t>
            </w:r>
          </w:p>
        </w:tc>
        <w:tc>
          <w:tcPr>
            <w:tcW w:w="1530" w:type="dxa"/>
          </w:tcPr>
          <w:p w14:paraId="51BA3161" w14:textId="77777777" w:rsidR="0054398B" w:rsidRDefault="0054398B" w:rsidP="006D2776">
            <w:pPr>
              <w:pStyle w:val="TableColHeading"/>
            </w:pPr>
            <w:r>
              <w:t>Category</w:t>
            </w:r>
          </w:p>
        </w:tc>
        <w:tc>
          <w:tcPr>
            <w:tcW w:w="6210" w:type="dxa"/>
            <w:tcMar>
              <w:top w:w="0" w:type="nil"/>
              <w:bottom w:w="0" w:type="nil"/>
              <w:right w:w="0" w:type="nil"/>
            </w:tcMar>
            <w:vAlign w:val="bottom"/>
          </w:tcPr>
          <w:p w14:paraId="6F052CC7" w14:textId="77777777" w:rsidR="0054398B" w:rsidRPr="00C114A8" w:rsidRDefault="0054398B" w:rsidP="006D2776">
            <w:pPr>
              <w:pStyle w:val="TableColHeading"/>
            </w:pPr>
            <w:r>
              <w:t>Description</w:t>
            </w:r>
          </w:p>
        </w:tc>
      </w:tr>
      <w:tr w:rsidR="0054398B" w:rsidRPr="00C114A8" w14:paraId="4B15480B" w14:textId="77777777" w:rsidTr="0CDBF178">
        <w:tc>
          <w:tcPr>
            <w:tcW w:w="1620" w:type="dxa"/>
            <w:tcMar>
              <w:top w:w="0" w:type="nil"/>
              <w:bottom w:w="0" w:type="nil"/>
              <w:right w:w="0" w:type="nil"/>
            </w:tcMar>
          </w:tcPr>
          <w:p w14:paraId="2437DD8A" w14:textId="2AA014CB" w:rsidR="0054398B" w:rsidRPr="00C114A8" w:rsidRDefault="0CDBF178">
            <w:pPr>
              <w:pStyle w:val="TableBody"/>
            </w:pPr>
            <w:r>
              <w:t xml:space="preserve">Open dump </w:t>
            </w:r>
          </w:p>
        </w:tc>
        <w:tc>
          <w:tcPr>
            <w:tcW w:w="1530" w:type="dxa"/>
          </w:tcPr>
          <w:p w14:paraId="0E3AC2D0" w14:textId="77777777" w:rsidR="0054398B" w:rsidRDefault="0054398B" w:rsidP="006D2776">
            <w:pPr>
              <w:pStyle w:val="TableBody"/>
            </w:pPr>
            <w:r>
              <w:t>Unmanaged</w:t>
            </w:r>
          </w:p>
        </w:tc>
        <w:tc>
          <w:tcPr>
            <w:tcW w:w="6210" w:type="dxa"/>
            <w:tcMar>
              <w:top w:w="0" w:type="nil"/>
              <w:bottom w:w="0" w:type="nil"/>
              <w:right w:w="0" w:type="nil"/>
            </w:tcMar>
          </w:tcPr>
          <w:p w14:paraId="7F506A91" w14:textId="3D36A341" w:rsidR="0054398B" w:rsidRPr="00C114A8" w:rsidRDefault="0CDBF178" w:rsidP="006D2776">
            <w:pPr>
              <w:pStyle w:val="TableBody"/>
            </w:pPr>
            <w:r>
              <w:t>Unmanaged discharge of solid waste (e.g., into above-ground piles, holes in the ground, or dumping into natural features such as ravines)</w:t>
            </w:r>
          </w:p>
        </w:tc>
      </w:tr>
      <w:tr w:rsidR="0054398B" w:rsidRPr="00C114A8" w14:paraId="7866E371" w14:textId="77777777" w:rsidTr="0CDBF178">
        <w:tc>
          <w:tcPr>
            <w:tcW w:w="1620" w:type="dxa"/>
            <w:tcMar>
              <w:top w:w="0" w:type="nil"/>
              <w:bottom w:w="0" w:type="nil"/>
              <w:right w:w="0" w:type="nil"/>
            </w:tcMar>
          </w:tcPr>
          <w:p w14:paraId="0A79A225" w14:textId="43DCF100" w:rsidR="0054398B" w:rsidRPr="00C114A8" w:rsidRDefault="0CDBF178">
            <w:pPr>
              <w:pStyle w:val="TableBody"/>
            </w:pPr>
            <w:r>
              <w:t>Open burning</w:t>
            </w:r>
          </w:p>
        </w:tc>
        <w:tc>
          <w:tcPr>
            <w:tcW w:w="1530" w:type="dxa"/>
          </w:tcPr>
          <w:p w14:paraId="774E183D" w14:textId="77777777" w:rsidR="0054398B" w:rsidRDefault="0054398B" w:rsidP="006D2776">
            <w:pPr>
              <w:pStyle w:val="TableBody"/>
            </w:pPr>
            <w:r>
              <w:t>Unmanaged</w:t>
            </w:r>
          </w:p>
        </w:tc>
        <w:tc>
          <w:tcPr>
            <w:tcW w:w="6210" w:type="dxa"/>
            <w:tcMar>
              <w:top w:w="0" w:type="nil"/>
              <w:bottom w:w="0" w:type="nil"/>
              <w:right w:w="0" w:type="nil"/>
            </w:tcMar>
          </w:tcPr>
          <w:p w14:paraId="0A04E236" w14:textId="000E6D31" w:rsidR="0054398B" w:rsidRPr="00C114A8" w:rsidRDefault="0CDBF178" w:rsidP="006D2776">
            <w:pPr>
              <w:pStyle w:val="TableBody"/>
            </w:pPr>
            <w:r>
              <w:t>Unmanaged combustion of waste (e.g., in open air or open dumps, where emissions are directly released into the air)</w:t>
            </w:r>
          </w:p>
        </w:tc>
      </w:tr>
      <w:tr w:rsidR="0054398B" w:rsidRPr="00C114A8" w14:paraId="2FAF7D2D" w14:textId="77777777" w:rsidTr="0CDBF178">
        <w:tc>
          <w:tcPr>
            <w:tcW w:w="1620" w:type="dxa"/>
            <w:tcMar>
              <w:top w:w="0" w:type="nil"/>
              <w:bottom w:w="0" w:type="nil"/>
              <w:right w:w="0" w:type="nil"/>
            </w:tcMar>
          </w:tcPr>
          <w:p w14:paraId="1E305E3D" w14:textId="5F38FE4D" w:rsidR="0054398B" w:rsidRDefault="0CDBF178" w:rsidP="0CDBF178">
            <w:pPr>
              <w:pStyle w:val="TableBody"/>
            </w:pPr>
            <w:r>
              <w:t>Landfilling, with methane capture and flaring or reuse</w:t>
            </w:r>
          </w:p>
        </w:tc>
        <w:tc>
          <w:tcPr>
            <w:tcW w:w="1530" w:type="dxa"/>
          </w:tcPr>
          <w:p w14:paraId="409C0B20" w14:textId="5C2ACA05" w:rsidR="0054398B" w:rsidRDefault="0CDBF178">
            <w:pPr>
              <w:pStyle w:val="TableBody"/>
            </w:pPr>
            <w:r>
              <w:t>Managed landfill</w:t>
            </w:r>
          </w:p>
        </w:tc>
        <w:tc>
          <w:tcPr>
            <w:tcW w:w="6210" w:type="dxa"/>
            <w:tcMar>
              <w:top w:w="0" w:type="nil"/>
              <w:bottom w:w="0" w:type="nil"/>
              <w:right w:w="0" w:type="nil"/>
            </w:tcMar>
          </w:tcPr>
          <w:p w14:paraId="3D63909C" w14:textId="77777777" w:rsidR="0054398B" w:rsidRPr="00C114A8" w:rsidRDefault="0054398B" w:rsidP="006D2776">
            <w:pPr>
              <w:pStyle w:val="TableBody"/>
            </w:pPr>
            <w:r>
              <w:t>Solid waste collected and deposited in managed sites. This category includes different levels of methane and capture and flaring or reuse, the latter of which is an input into the energy sector.</w:t>
            </w:r>
          </w:p>
        </w:tc>
      </w:tr>
      <w:tr w:rsidR="0054398B" w:rsidRPr="00C114A8" w14:paraId="6D6C38D6" w14:textId="77777777" w:rsidTr="0CDBF178">
        <w:tc>
          <w:tcPr>
            <w:tcW w:w="1620" w:type="dxa"/>
            <w:tcMar>
              <w:top w:w="0" w:type="nil"/>
              <w:bottom w:w="0" w:type="nil"/>
              <w:right w:w="0" w:type="nil"/>
            </w:tcMar>
          </w:tcPr>
          <w:p w14:paraId="7A61EC47" w14:textId="1C584623" w:rsidR="0054398B" w:rsidRDefault="0CDBF178">
            <w:pPr>
              <w:pStyle w:val="TableBody"/>
            </w:pPr>
            <w:r>
              <w:t>composting</w:t>
            </w:r>
          </w:p>
        </w:tc>
        <w:tc>
          <w:tcPr>
            <w:tcW w:w="1530" w:type="dxa"/>
          </w:tcPr>
          <w:p w14:paraId="19B26432" w14:textId="3B8874F6" w:rsidR="0054398B" w:rsidRDefault="0CDBF178" w:rsidP="0CDBF178">
            <w:pPr>
              <w:pStyle w:val="TableBody"/>
            </w:pPr>
            <w:r>
              <w:t>Managed biological treatment</w:t>
            </w:r>
          </w:p>
        </w:tc>
        <w:tc>
          <w:tcPr>
            <w:tcW w:w="6210" w:type="dxa"/>
            <w:tcMar>
              <w:top w:w="0" w:type="nil"/>
              <w:bottom w:w="0" w:type="nil"/>
              <w:right w:w="0" w:type="nil"/>
            </w:tcMar>
          </w:tcPr>
          <w:p w14:paraId="6BBA8424" w14:textId="3B302E4D" w:rsidR="0054398B" w:rsidRPr="00C114A8" w:rsidRDefault="0CDBF178" w:rsidP="0CDBF178">
            <w:pPr>
              <w:pStyle w:val="TableBody"/>
            </w:pPr>
            <w:r>
              <w:t xml:space="preserve">Diverting organic matter for biological treatment, where degradable organic carbon largely is converted to CO2. </w:t>
            </w:r>
          </w:p>
        </w:tc>
      </w:tr>
      <w:tr w:rsidR="0054398B" w:rsidRPr="00C114A8" w14:paraId="3D08BB01" w14:textId="77777777" w:rsidTr="0CDBF178">
        <w:tc>
          <w:tcPr>
            <w:tcW w:w="1620" w:type="dxa"/>
            <w:tcMar>
              <w:top w:w="0" w:type="nil"/>
              <w:bottom w:w="0" w:type="nil"/>
              <w:right w:w="0" w:type="nil"/>
            </w:tcMar>
          </w:tcPr>
          <w:p w14:paraId="6BCD48F9" w14:textId="62AF73A6" w:rsidR="0054398B" w:rsidRDefault="0CDBF178">
            <w:pPr>
              <w:pStyle w:val="TableBody"/>
            </w:pPr>
            <w:r>
              <w:t>Anaerobic biogas</w:t>
            </w:r>
          </w:p>
        </w:tc>
        <w:tc>
          <w:tcPr>
            <w:tcW w:w="1530" w:type="dxa"/>
          </w:tcPr>
          <w:p w14:paraId="3D757391" w14:textId="2B3CA46F" w:rsidR="0054398B" w:rsidRDefault="0CDBF178" w:rsidP="0CDBF178">
            <w:pPr>
              <w:pStyle w:val="TableBody"/>
            </w:pPr>
            <w:r>
              <w:t>Managed biological treatment</w:t>
            </w:r>
          </w:p>
        </w:tc>
        <w:tc>
          <w:tcPr>
            <w:tcW w:w="6210" w:type="dxa"/>
            <w:tcMar>
              <w:top w:w="0" w:type="nil"/>
              <w:bottom w:w="0" w:type="nil"/>
              <w:right w:w="0" w:type="nil"/>
            </w:tcMar>
          </w:tcPr>
          <w:p w14:paraId="5DDF45EF" w14:textId="05C21A88" w:rsidR="0054398B" w:rsidRPr="00C114A8" w:rsidRDefault="0CDBF178">
            <w:pPr>
              <w:pStyle w:val="TableBody"/>
            </w:pPr>
            <w:r>
              <w:t>Diverting organic matter to anaerobic biogas facilities, which expedites the natural decomposition of organic material without oxygen to generate CH4, which can be recovered for energy and is an input into the energy sector.</w:t>
            </w:r>
          </w:p>
          <w:p w14:paraId="598ACDDF" w14:textId="77777777" w:rsidR="0054398B" w:rsidRPr="00C114A8" w:rsidRDefault="0054398B" w:rsidP="006D2776">
            <w:pPr>
              <w:pStyle w:val="TableBody"/>
            </w:pPr>
          </w:p>
        </w:tc>
      </w:tr>
      <w:tr w:rsidR="0054398B" w:rsidRPr="00C114A8" w14:paraId="153A0BA8" w14:textId="77777777" w:rsidTr="0CDBF178">
        <w:tc>
          <w:tcPr>
            <w:tcW w:w="1620" w:type="dxa"/>
            <w:tcMar>
              <w:top w:w="0" w:type="nil"/>
              <w:bottom w:w="0" w:type="nil"/>
              <w:right w:w="0" w:type="nil"/>
            </w:tcMar>
          </w:tcPr>
          <w:p w14:paraId="12FAEAC9" w14:textId="77777777" w:rsidR="0054398B" w:rsidRDefault="0054398B" w:rsidP="006D2776">
            <w:pPr>
              <w:pStyle w:val="TableBody"/>
            </w:pPr>
            <w:r>
              <w:t>Recycling</w:t>
            </w:r>
          </w:p>
        </w:tc>
        <w:tc>
          <w:tcPr>
            <w:tcW w:w="1530" w:type="dxa"/>
          </w:tcPr>
          <w:p w14:paraId="3F0DD731" w14:textId="77777777" w:rsidR="0054398B" w:rsidRDefault="0054398B" w:rsidP="006D2776">
            <w:pPr>
              <w:pStyle w:val="TableBody"/>
            </w:pPr>
            <w:r>
              <w:t>Diversion</w:t>
            </w:r>
          </w:p>
        </w:tc>
        <w:tc>
          <w:tcPr>
            <w:tcW w:w="6210" w:type="dxa"/>
            <w:tcMar>
              <w:top w:w="0" w:type="nil"/>
              <w:bottom w:w="0" w:type="nil"/>
              <w:right w:w="0" w:type="nil"/>
            </w:tcMar>
          </w:tcPr>
          <w:p w14:paraId="11055928" w14:textId="1A6B54E0" w:rsidR="0054398B" w:rsidRPr="00C114A8" w:rsidRDefault="0CDBF178">
            <w:pPr>
              <w:pStyle w:val="TableBody"/>
            </w:pPr>
            <w:r>
              <w:t>Diverting paper, plastics, and other waste materials to reuse in industrial processes.</w:t>
            </w:r>
          </w:p>
        </w:tc>
      </w:tr>
      <w:tr w:rsidR="0054398B" w:rsidRPr="00A61DF4" w14:paraId="79BCDE13" w14:textId="77777777" w:rsidTr="0CDBF178">
        <w:trPr>
          <w:trHeight w:val="1109"/>
        </w:trPr>
        <w:tc>
          <w:tcPr>
            <w:tcW w:w="9360" w:type="dxa"/>
            <w:gridSpan w:val="3"/>
            <w:tcBorders>
              <w:top w:val="single" w:sz="8" w:space="0" w:color="auto"/>
            </w:tcBorders>
          </w:tcPr>
          <w:p w14:paraId="40EA5B49" w14:textId="4F8993FF" w:rsidR="0054398B" w:rsidRPr="00A61DF4" w:rsidRDefault="0054398B" w:rsidP="006D2776">
            <w:pPr>
              <w:pStyle w:val="TableNote"/>
              <w:jc w:val="both"/>
            </w:pPr>
          </w:p>
        </w:tc>
      </w:tr>
    </w:tbl>
    <w:p w14:paraId="728C314B" w14:textId="4BAEBD49" w:rsidR="0054398B" w:rsidRDefault="0CDBF178" w:rsidP="0054398B">
      <w:pPr>
        <w:pStyle w:val="Heading3"/>
      </w:pPr>
      <w:bookmarkStart w:id="99" w:name="_Toc152088266"/>
      <w:r>
        <w:t>Projecting solid waste emissions</w:t>
      </w:r>
      <w:bookmarkEnd w:id="99"/>
    </w:p>
    <w:p w14:paraId="71B0C063" w14:textId="542188A0" w:rsidR="00364D14" w:rsidRDefault="68F647D8" w:rsidP="68F647D8">
      <w:r>
        <w:t>Solid waste is estimated to increase under baseline conditions because of projected population and industrial activity increases. Table G.8 lists data sources we used to project solid waste emissions in addition to the 2006 and 2019 IPCC guidelines for national GHG inventories on which the solid waste model is based. A new dataset, the Hub Waste and Circular Economy from the Inter-American Development Bank (</w:t>
      </w:r>
      <w:hyperlink r:id="rId28" w:history="1">
        <w:r w:rsidRPr="68F647D8">
          <w:rPr>
            <w:rStyle w:val="Hyperlink"/>
          </w:rPr>
          <w:t>https://hubresiduoscirculares.org/en/</w:t>
        </w:r>
      </w:hyperlink>
      <w:proofErr w:type="gramStart"/>
      <w:r>
        <w:t>) ,</w:t>
      </w:r>
      <w:proofErr w:type="gramEnd"/>
      <w:r>
        <w:t xml:space="preserve"> may be useful in future updates, but was not available in time for the current analysis. </w:t>
      </w:r>
    </w:p>
    <w:p w14:paraId="2A66BE41" w14:textId="654C2E9D" w:rsidR="00364D14" w:rsidRDefault="0CDBF178" w:rsidP="0CDBF178">
      <w:pPr>
        <w:pStyle w:val="Heading9"/>
        <w:rPr>
          <w:rFonts w:eastAsia="Arial"/>
        </w:rPr>
      </w:pPr>
      <w:bookmarkStart w:id="100" w:name="_Toc152088344"/>
      <w:r w:rsidRPr="0CDBF178">
        <w:rPr>
          <w:rFonts w:eastAsia="Arial"/>
        </w:rPr>
        <w:t>Table G.8 Data and methods for historical and baseline projection results</w:t>
      </w:r>
      <w:bookmarkEnd w:id="100"/>
    </w:p>
    <w:tbl>
      <w:tblPr>
        <w:tblStyle w:val="TableGrid"/>
        <w:tblW w:w="0" w:type="auto"/>
        <w:tblLayout w:type="fixed"/>
        <w:tblLook w:val="0620" w:firstRow="1" w:lastRow="0" w:firstColumn="0" w:lastColumn="0" w:noHBand="1" w:noVBand="1"/>
      </w:tblPr>
      <w:tblGrid>
        <w:gridCol w:w="2250"/>
        <w:gridCol w:w="3510"/>
        <w:gridCol w:w="3600"/>
      </w:tblGrid>
      <w:tr w:rsidR="00B01824" w:rsidRPr="004D2221" w14:paraId="7ACB1BD2"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2250" w:type="dxa"/>
            <w:tcBorders>
              <w:left w:val="nil"/>
              <w:right w:val="nil"/>
            </w:tcBorders>
            <w:vAlign w:val="bottom"/>
          </w:tcPr>
          <w:p w14:paraId="379864E8" w14:textId="77777777" w:rsidR="00B01824" w:rsidRPr="004D2221" w:rsidRDefault="00B01824" w:rsidP="00243246">
            <w:r w:rsidRPr="004D2221">
              <w:rPr>
                <w:rFonts w:eastAsia="Arial" w:cs="Arial"/>
                <w:b/>
                <w:bCs/>
                <w:sz w:val="18"/>
                <w:szCs w:val="18"/>
              </w:rPr>
              <w:t>Data</w:t>
            </w:r>
          </w:p>
        </w:tc>
        <w:tc>
          <w:tcPr>
            <w:tcW w:w="3510" w:type="dxa"/>
            <w:tcBorders>
              <w:left w:val="nil"/>
              <w:right w:val="nil"/>
            </w:tcBorders>
          </w:tcPr>
          <w:p w14:paraId="6C63D9C4" w14:textId="28EBC42C" w:rsidR="00B01824" w:rsidRPr="004D2221" w:rsidRDefault="0CDBF178" w:rsidP="0CDBF178">
            <w:pPr>
              <w:jc w:val="center"/>
            </w:pPr>
            <w:r w:rsidRPr="0CDBF178">
              <w:rPr>
                <w:rFonts w:eastAsia="Arial" w:cs="Arial"/>
                <w:b/>
                <w:bCs/>
                <w:sz w:val="18"/>
                <w:szCs w:val="18"/>
              </w:rPr>
              <w:t>Method for historical data</w:t>
            </w:r>
          </w:p>
        </w:tc>
        <w:tc>
          <w:tcPr>
            <w:tcW w:w="3600" w:type="dxa"/>
            <w:tcBorders>
              <w:left w:val="nil"/>
              <w:right w:val="nil"/>
            </w:tcBorders>
          </w:tcPr>
          <w:p w14:paraId="4DA62AF7" w14:textId="2A64452A" w:rsidR="00B01824" w:rsidRPr="004D2221" w:rsidRDefault="0CDBF178" w:rsidP="0CDBF178">
            <w:pPr>
              <w:jc w:val="center"/>
            </w:pPr>
            <w:r w:rsidRPr="0CDBF178">
              <w:rPr>
                <w:rFonts w:eastAsia="Arial" w:cs="Arial"/>
                <w:b/>
                <w:bCs/>
                <w:sz w:val="18"/>
                <w:szCs w:val="18"/>
              </w:rPr>
              <w:t>Method for baseline projection</w:t>
            </w:r>
          </w:p>
        </w:tc>
      </w:tr>
      <w:tr w:rsidR="00B01824" w:rsidRPr="004D2221" w14:paraId="39B2C272" w14:textId="77777777" w:rsidTr="7654BBD9">
        <w:tc>
          <w:tcPr>
            <w:tcW w:w="2250" w:type="dxa"/>
            <w:tcBorders>
              <w:top w:val="nil"/>
              <w:left w:val="nil"/>
              <w:bottom w:val="nil"/>
              <w:right w:val="nil"/>
            </w:tcBorders>
          </w:tcPr>
          <w:p w14:paraId="5CF73C2D" w14:textId="0354A28C" w:rsidR="00B01824" w:rsidRPr="004D2221" w:rsidRDefault="00B01824" w:rsidP="00243246">
            <w:pPr>
              <w:pStyle w:val="TableBody"/>
            </w:pPr>
            <w:r w:rsidRPr="004D2221">
              <w:rPr>
                <w:rFonts w:eastAsia="Arial"/>
              </w:rPr>
              <w:t xml:space="preserve">Production of </w:t>
            </w:r>
            <w:r w:rsidR="0080299D">
              <w:rPr>
                <w:rFonts w:eastAsia="Arial"/>
              </w:rPr>
              <w:t>solid waste</w:t>
            </w:r>
          </w:p>
        </w:tc>
        <w:tc>
          <w:tcPr>
            <w:tcW w:w="3510" w:type="dxa"/>
            <w:tcBorders>
              <w:top w:val="nil"/>
              <w:left w:val="nil"/>
              <w:bottom w:val="nil"/>
              <w:right w:val="nil"/>
            </w:tcBorders>
          </w:tcPr>
          <w:p w14:paraId="1CFC0998" w14:textId="58ABFD93" w:rsidR="00A509B7" w:rsidRDefault="7654BBD9" w:rsidP="7654BBD9">
            <w:pPr>
              <w:pStyle w:val="TableBody"/>
            </w:pPr>
            <w:r>
              <w:t xml:space="preserve">Waste production rates per inhabitant; </w:t>
            </w:r>
            <w:r w:rsidRPr="00721D63">
              <w:t xml:space="preserve">volumes of waste and recycling rates of </w:t>
            </w:r>
            <w:r w:rsidRPr="00721D63">
              <w:rPr>
                <w:rFonts w:eastAsia="Arial"/>
              </w:rPr>
              <w:t>waste</w:t>
            </w:r>
            <w:r w:rsidRPr="00721D63">
              <w:t xml:space="preserve"> are obtained from World Bank’s What a Waste database (2023).</w:t>
            </w:r>
            <w:r>
              <w:t xml:space="preserve"> </w:t>
            </w:r>
          </w:p>
          <w:p w14:paraId="74C4F657" w14:textId="77777777" w:rsidR="00254902" w:rsidRDefault="00254902" w:rsidP="00243246">
            <w:pPr>
              <w:pStyle w:val="TableBody"/>
            </w:pPr>
          </w:p>
          <w:p w14:paraId="13CC71FA" w14:textId="60A17165" w:rsidR="00B01824" w:rsidRPr="004D2221" w:rsidRDefault="00B01824" w:rsidP="00243246">
            <w:pPr>
              <w:pStyle w:val="TableBody"/>
            </w:pPr>
          </w:p>
        </w:tc>
        <w:tc>
          <w:tcPr>
            <w:tcW w:w="3600" w:type="dxa"/>
            <w:tcBorders>
              <w:top w:val="nil"/>
              <w:left w:val="nil"/>
              <w:bottom w:val="nil"/>
              <w:right w:val="nil"/>
            </w:tcBorders>
          </w:tcPr>
          <w:p w14:paraId="253D3F51" w14:textId="219D7AB9" w:rsidR="00B01824" w:rsidRPr="004D2221" w:rsidRDefault="00254902" w:rsidP="00243246">
            <w:pPr>
              <w:pStyle w:val="TableBody"/>
            </w:pPr>
            <w:r>
              <w:t>Solid w</w:t>
            </w:r>
            <w:r w:rsidR="00B01824">
              <w:t xml:space="preserve">aste production volumes are projected in the future using GDP per capita </w:t>
            </w:r>
          </w:p>
        </w:tc>
      </w:tr>
      <w:tr w:rsidR="00B01824" w:rsidRPr="004D2221" w14:paraId="47E37F32" w14:textId="77777777" w:rsidTr="7654BBD9">
        <w:tc>
          <w:tcPr>
            <w:tcW w:w="2250" w:type="dxa"/>
            <w:tcBorders>
              <w:top w:val="nil"/>
              <w:left w:val="nil"/>
              <w:bottom w:val="nil"/>
              <w:right w:val="nil"/>
            </w:tcBorders>
          </w:tcPr>
          <w:p w14:paraId="19DA55D9" w14:textId="219A1E9E" w:rsidR="00B01824" w:rsidRPr="004D2221" w:rsidRDefault="0CDBF178" w:rsidP="00243246">
            <w:pPr>
              <w:pStyle w:val="TableBody"/>
              <w:rPr>
                <w:rFonts w:eastAsia="Arial"/>
              </w:rPr>
            </w:pPr>
            <w:r w:rsidRPr="0CDBF178">
              <w:rPr>
                <w:rFonts w:eastAsia="Arial"/>
              </w:rPr>
              <w:t>Treatment pathways for solid waste</w:t>
            </w:r>
          </w:p>
        </w:tc>
        <w:tc>
          <w:tcPr>
            <w:tcW w:w="3510" w:type="dxa"/>
            <w:tcBorders>
              <w:top w:val="nil"/>
              <w:left w:val="nil"/>
              <w:bottom w:val="nil"/>
              <w:right w:val="nil"/>
            </w:tcBorders>
          </w:tcPr>
          <w:p w14:paraId="681C35C7" w14:textId="2AE6D404" w:rsidR="00B01824" w:rsidRPr="006D74B7" w:rsidRDefault="0CDBF178">
            <w:pPr>
              <w:pStyle w:val="TableBody"/>
              <w:rPr>
                <w:rFonts w:eastAsia="Arial"/>
              </w:rPr>
            </w:pPr>
            <w:r w:rsidRPr="0CDBF178">
              <w:rPr>
                <w:rFonts w:eastAsia="Arial"/>
              </w:rPr>
              <w:t xml:space="preserve">Treatment pathways for different solid waste types are estimated using </w:t>
            </w:r>
            <w:r>
              <w:t>World Bank’s What a Waste database (2023).</w:t>
            </w:r>
          </w:p>
          <w:p w14:paraId="1D480C3B" w14:textId="77777777" w:rsidR="00B01824" w:rsidRPr="004D2221" w:rsidRDefault="00B01824" w:rsidP="00243246">
            <w:pPr>
              <w:pStyle w:val="TableBody"/>
              <w:rPr>
                <w:rFonts w:eastAsia="Arial"/>
                <w:vertAlign w:val="superscript"/>
              </w:rPr>
            </w:pPr>
          </w:p>
        </w:tc>
        <w:tc>
          <w:tcPr>
            <w:tcW w:w="3600" w:type="dxa"/>
            <w:tcBorders>
              <w:top w:val="nil"/>
              <w:left w:val="nil"/>
              <w:bottom w:val="nil"/>
              <w:right w:val="nil"/>
            </w:tcBorders>
          </w:tcPr>
          <w:p w14:paraId="7009ED5A" w14:textId="13E3AA76" w:rsidR="00B01824" w:rsidRPr="004D2221" w:rsidRDefault="0CDBF178">
            <w:pPr>
              <w:pStyle w:val="TableBody"/>
              <w:rPr>
                <w:rFonts w:eastAsia="Arial"/>
              </w:rPr>
            </w:pPr>
            <w:r w:rsidRPr="0CDBF178">
              <w:rPr>
                <w:rFonts w:eastAsia="Arial"/>
              </w:rPr>
              <w:t xml:space="preserve">At baseline (i.e., no transformations) shares of treatment across pathways are assumed to remain constant. These shares are modified when transformations are activated in the simulation. </w:t>
            </w:r>
          </w:p>
        </w:tc>
      </w:tr>
      <w:tr w:rsidR="00B01824" w:rsidRPr="004D2221" w14:paraId="109E7D18" w14:textId="77777777" w:rsidTr="7654BBD9">
        <w:tc>
          <w:tcPr>
            <w:tcW w:w="2250" w:type="dxa"/>
            <w:tcBorders>
              <w:top w:val="nil"/>
              <w:left w:val="nil"/>
              <w:bottom w:val="nil"/>
              <w:right w:val="nil"/>
            </w:tcBorders>
          </w:tcPr>
          <w:p w14:paraId="7D937169" w14:textId="77777777" w:rsidR="00B01824" w:rsidRPr="004D2221" w:rsidRDefault="00B01824" w:rsidP="00243246">
            <w:pPr>
              <w:pStyle w:val="TableBody"/>
            </w:pPr>
            <w:r w:rsidRPr="004D2221">
              <w:rPr>
                <w:rFonts w:eastAsia="Arial"/>
              </w:rPr>
              <w:t>Emissions intensity (emissions per unit of wastewater, by pathway)</w:t>
            </w:r>
          </w:p>
        </w:tc>
        <w:tc>
          <w:tcPr>
            <w:tcW w:w="3510" w:type="dxa"/>
            <w:tcBorders>
              <w:top w:val="nil"/>
              <w:left w:val="nil"/>
              <w:bottom w:val="nil"/>
              <w:right w:val="nil"/>
            </w:tcBorders>
          </w:tcPr>
          <w:p w14:paraId="561E4A18" w14:textId="77777777" w:rsidR="00B01824" w:rsidRPr="00370E3E" w:rsidRDefault="00B01824" w:rsidP="00254902">
            <w:pPr>
              <w:pStyle w:val="TableBody"/>
              <w:rPr>
                <w:szCs w:val="18"/>
              </w:rPr>
            </w:pPr>
          </w:p>
        </w:tc>
        <w:tc>
          <w:tcPr>
            <w:tcW w:w="3600" w:type="dxa"/>
            <w:tcBorders>
              <w:top w:val="nil"/>
              <w:left w:val="nil"/>
              <w:bottom w:val="nil"/>
              <w:right w:val="nil"/>
            </w:tcBorders>
          </w:tcPr>
          <w:p w14:paraId="630D4F0C" w14:textId="0CF01C29" w:rsidR="00B01824" w:rsidRPr="004D2221" w:rsidRDefault="0CDBF178" w:rsidP="00243246">
            <w:pPr>
              <w:pStyle w:val="TableBody"/>
              <w:rPr>
                <w:rFonts w:eastAsia="Arial"/>
              </w:rPr>
            </w:pPr>
            <w:r w:rsidRPr="0CDBF178">
              <w:rPr>
                <w:rFonts w:eastAsia="Arial"/>
              </w:rPr>
              <w:t xml:space="preserve">Emission factors are assumed constant in projections. </w:t>
            </w:r>
          </w:p>
        </w:tc>
      </w:tr>
      <w:tr w:rsidR="00B01824" w:rsidRPr="004D2221" w14:paraId="5651A015" w14:textId="77777777" w:rsidTr="7654BBD9">
        <w:tc>
          <w:tcPr>
            <w:tcW w:w="2250" w:type="dxa"/>
            <w:tcBorders>
              <w:top w:val="nil"/>
              <w:left w:val="nil"/>
              <w:bottom w:val="nil"/>
              <w:right w:val="nil"/>
            </w:tcBorders>
          </w:tcPr>
          <w:p w14:paraId="2B31AD41" w14:textId="77777777" w:rsidR="00B01824" w:rsidRPr="004D2221" w:rsidRDefault="00B01824" w:rsidP="00243246">
            <w:pPr>
              <w:pStyle w:val="TableBody"/>
              <w:rPr>
                <w:rFonts w:eastAsia="Arial"/>
              </w:rPr>
            </w:pPr>
            <w:r w:rsidRPr="004D2221">
              <w:rPr>
                <w:rFonts w:eastAsia="Arial"/>
              </w:rPr>
              <w:t>Total emissions</w:t>
            </w:r>
          </w:p>
        </w:tc>
        <w:tc>
          <w:tcPr>
            <w:tcW w:w="3510" w:type="dxa"/>
            <w:tcBorders>
              <w:top w:val="nil"/>
              <w:left w:val="nil"/>
              <w:bottom w:val="nil"/>
              <w:right w:val="nil"/>
            </w:tcBorders>
          </w:tcPr>
          <w:p w14:paraId="2BD05E8C" w14:textId="557F0544" w:rsidR="00B01824" w:rsidRPr="004D2221" w:rsidRDefault="0CDBF178">
            <w:pPr>
              <w:pStyle w:val="TableBody"/>
              <w:rPr>
                <w:rFonts w:eastAsia="Arial"/>
              </w:rPr>
            </w:pPr>
            <w:r w:rsidRPr="0CDBF178">
              <w:rPr>
                <w:rFonts w:eastAsia="Arial"/>
              </w:rPr>
              <w:t>Historical sector emissions are used in the calibration process. Emissions data for calibration are obtained from Climate Watch (2022).</w:t>
            </w:r>
          </w:p>
        </w:tc>
        <w:tc>
          <w:tcPr>
            <w:tcW w:w="3600" w:type="dxa"/>
            <w:tcBorders>
              <w:top w:val="nil"/>
              <w:left w:val="nil"/>
              <w:bottom w:val="nil"/>
              <w:right w:val="nil"/>
            </w:tcBorders>
          </w:tcPr>
          <w:p w14:paraId="73C7E2B8" w14:textId="77777777" w:rsidR="00B01824" w:rsidRPr="004D2221" w:rsidRDefault="00B01824" w:rsidP="00243246">
            <w:pPr>
              <w:pStyle w:val="TableBody"/>
              <w:rPr>
                <w:rFonts w:eastAsia="Arial"/>
              </w:rPr>
            </w:pPr>
          </w:p>
        </w:tc>
      </w:tr>
      <w:tr w:rsidR="00B01824" w:rsidRPr="00126325" w14:paraId="27D59D8A" w14:textId="77777777" w:rsidTr="7654BBD9">
        <w:tc>
          <w:tcPr>
            <w:tcW w:w="9360" w:type="dxa"/>
            <w:gridSpan w:val="3"/>
            <w:tcBorders>
              <w:top w:val="single" w:sz="4" w:space="0" w:color="auto"/>
              <w:left w:val="nil"/>
              <w:bottom w:val="nil"/>
              <w:right w:val="nil"/>
            </w:tcBorders>
          </w:tcPr>
          <w:p w14:paraId="14772D8F" w14:textId="5B748DC6" w:rsidR="00B01824" w:rsidRPr="009D1040" w:rsidRDefault="0CDBF178" w:rsidP="00243246">
            <w:pPr>
              <w:pStyle w:val="TableNote"/>
              <w:rPr>
                <w:rFonts w:eastAsia="Arial"/>
              </w:rPr>
            </w:pPr>
            <w:r w:rsidRPr="0CDBF178">
              <w:rPr>
                <w:rFonts w:eastAsia="Arial"/>
              </w:rPr>
              <w:t xml:space="preserve">Notes: For countries not included in the World Bank database, a statistical imputation model was trained using observations of countries in the database. This model uses GDP, urban, and rural population shares of countries to estimate imputed values. A data crosswalk between </w:t>
            </w:r>
            <w:proofErr w:type="spellStart"/>
            <w:r>
              <w:t>SiSePuede</w:t>
            </w:r>
            <w:proofErr w:type="spellEnd"/>
            <w:r w:rsidRPr="0CDBF178">
              <w:rPr>
                <w:rFonts w:eastAsia="Arial"/>
              </w:rPr>
              <w:t xml:space="preserve"> categories and World Bank’s categories was used to be able to map data inputs.</w:t>
            </w:r>
          </w:p>
          <w:p w14:paraId="3B1B77F4" w14:textId="77777777" w:rsidR="00B01824" w:rsidRPr="00C264BE" w:rsidRDefault="00B01824" w:rsidP="00243246">
            <w:pPr>
              <w:pStyle w:val="TableNote"/>
              <w:rPr>
                <w:rFonts w:eastAsia="Arial"/>
              </w:rPr>
            </w:pPr>
          </w:p>
        </w:tc>
      </w:tr>
    </w:tbl>
    <w:p w14:paraId="1883B607" w14:textId="77777777" w:rsidR="00364D14" w:rsidRPr="00FF03FB" w:rsidRDefault="00364D14" w:rsidP="0054398B">
      <w:pPr>
        <w:rPr>
          <w:highlight w:val="yellow"/>
        </w:rPr>
      </w:pPr>
    </w:p>
    <w:p w14:paraId="0B1E1496" w14:textId="25E44000" w:rsidR="0054398B" w:rsidRPr="00741C0E" w:rsidRDefault="0CDBF178" w:rsidP="0054398B">
      <w:pPr>
        <w:pStyle w:val="Heading3"/>
      </w:pPr>
      <w:bookmarkStart w:id="101" w:name="_Toc152088267"/>
      <w:r>
        <w:t>Transforming solid waste</w:t>
      </w:r>
      <w:bookmarkEnd w:id="101"/>
    </w:p>
    <w:p w14:paraId="1C0862E9" w14:textId="7EB58559" w:rsidR="0054398B" w:rsidRDefault="0CDBF178" w:rsidP="0054398B">
      <w:pPr>
        <w:pStyle w:val="Heading4"/>
      </w:pPr>
      <w:r>
        <w:t>Defining solid waste transformations</w:t>
      </w:r>
    </w:p>
    <w:p w14:paraId="08C742C4" w14:textId="2279DD24" w:rsidR="0054398B" w:rsidRDefault="0CDBF178" w:rsidP="0CDBF178">
      <w:r>
        <w:t xml:space="preserve"> Table G.9 shows transformations for reducing solid waste GHGs. They include reducing how much solid waste is produced; reducing emissions from waste management vehicles (included in the transportation sector); diverting recyclable and organic material; and improving methane management at landfills.</w:t>
      </w:r>
    </w:p>
    <w:p w14:paraId="5F58FC91" w14:textId="0077F261" w:rsidR="0054398B" w:rsidRDefault="0CDBF178" w:rsidP="0CDBF178">
      <w:r>
        <w:t>The most aggressive solid waste management transformation entails ending unmanaged waste disposal (i.e., open dumping and open burning) by 2030 and then by 2050; diverting 100% of organic waste to biological treatments; diverting 100% of recyclable materials to recycling facilities; and capturing and achieving 85% methane recovery and reuse in landfills. We define less aggressive transformations as the fraction of these targets reached by the specified year and, in the case of unmanaged solid waste disposal, we extrapolate the rate of change out to the year 2050.</w:t>
      </w:r>
    </w:p>
    <w:p w14:paraId="73DE3CAF" w14:textId="6405E8DB" w:rsidR="0054398B" w:rsidRDefault="0CDBF178" w:rsidP="0CDBF178">
      <w:pPr>
        <w:pStyle w:val="Heading9"/>
      </w:pPr>
      <w:bookmarkStart w:id="102" w:name="_Toc152088345"/>
      <w:r>
        <w:t xml:space="preserve">Table G.9 Transformations affecting solid </w:t>
      </w:r>
      <w:proofErr w:type="gramStart"/>
      <w:r>
        <w:t>waste</w:t>
      </w:r>
      <w:bookmarkEnd w:id="102"/>
      <w:proofErr w:type="gramEnd"/>
    </w:p>
    <w:tbl>
      <w:tblPr>
        <w:tblStyle w:val="TableGrid"/>
        <w:tblW w:w="0" w:type="auto"/>
        <w:tblCellMar>
          <w:top w:w="86" w:type="dxa"/>
          <w:bottom w:w="86" w:type="dxa"/>
        </w:tblCellMar>
        <w:tblLook w:val="0620" w:firstRow="1" w:lastRow="0" w:firstColumn="0" w:lastColumn="0" w:noHBand="1" w:noVBand="1"/>
      </w:tblPr>
      <w:tblGrid>
        <w:gridCol w:w="1546"/>
        <w:gridCol w:w="1106"/>
        <w:gridCol w:w="2748"/>
        <w:gridCol w:w="3960"/>
      </w:tblGrid>
      <w:tr w:rsidR="0054398B" w:rsidRPr="00C114A8" w14:paraId="630B1CFC"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1546" w:type="dxa"/>
            <w:tcMar>
              <w:top w:w="0" w:type="nil"/>
              <w:bottom w:w="0" w:type="nil"/>
              <w:right w:w="0" w:type="nil"/>
            </w:tcMar>
            <w:vAlign w:val="bottom"/>
          </w:tcPr>
          <w:p w14:paraId="2FCB0900" w14:textId="77777777" w:rsidR="0054398B" w:rsidRPr="00C114A8" w:rsidRDefault="0054398B" w:rsidP="006D2776">
            <w:pPr>
              <w:pStyle w:val="TableColHeading"/>
              <w:jc w:val="left"/>
            </w:pPr>
            <w:r>
              <w:t>Transformation</w:t>
            </w:r>
          </w:p>
        </w:tc>
        <w:tc>
          <w:tcPr>
            <w:tcW w:w="3854" w:type="dxa"/>
            <w:gridSpan w:val="2"/>
          </w:tcPr>
          <w:p w14:paraId="1B250F8E" w14:textId="77777777" w:rsidR="0054398B" w:rsidRPr="00C114A8" w:rsidRDefault="0054398B" w:rsidP="006D2776">
            <w:pPr>
              <w:pStyle w:val="TableColHeading"/>
            </w:pPr>
            <w:r>
              <w:t>Description</w:t>
            </w:r>
          </w:p>
        </w:tc>
        <w:tc>
          <w:tcPr>
            <w:tcW w:w="3960" w:type="dxa"/>
          </w:tcPr>
          <w:p w14:paraId="77D28A28" w14:textId="77777777" w:rsidR="0054398B" w:rsidRDefault="0054398B" w:rsidP="006D2776">
            <w:pPr>
              <w:pStyle w:val="TableColHeading"/>
            </w:pPr>
            <w:r>
              <w:t>Implementation</w:t>
            </w:r>
          </w:p>
        </w:tc>
      </w:tr>
      <w:tr w:rsidR="0054398B" w:rsidRPr="00C114A8" w14:paraId="43F7EBEF" w14:textId="77777777" w:rsidTr="0CDBF178">
        <w:tc>
          <w:tcPr>
            <w:tcW w:w="1546" w:type="dxa"/>
            <w:tcMar>
              <w:top w:w="0" w:type="nil"/>
              <w:bottom w:w="0" w:type="nil"/>
              <w:right w:w="0" w:type="nil"/>
            </w:tcMar>
          </w:tcPr>
          <w:p w14:paraId="3C63E483" w14:textId="77777777" w:rsidR="0054398B" w:rsidRDefault="0054398B" w:rsidP="006D2776">
            <w:pPr>
              <w:pStyle w:val="TableBody"/>
            </w:pPr>
            <w:r>
              <w:t>Reducing how much waste is produced</w:t>
            </w:r>
          </w:p>
        </w:tc>
        <w:tc>
          <w:tcPr>
            <w:tcW w:w="3854" w:type="dxa"/>
            <w:gridSpan w:val="2"/>
          </w:tcPr>
          <w:p w14:paraId="5F423DD2" w14:textId="77777777" w:rsidR="0054398B" w:rsidRDefault="0054398B" w:rsidP="006D2776">
            <w:pPr>
              <w:pStyle w:val="TableBody"/>
            </w:pPr>
            <w:r>
              <w:t>Households’ food waste and other waste is reduced. Domestic demand for food also decreases as a result and affects agricultural production and exports in the AFOLU sector.</w:t>
            </w:r>
          </w:p>
        </w:tc>
        <w:tc>
          <w:tcPr>
            <w:tcW w:w="3960" w:type="dxa"/>
          </w:tcPr>
          <w:p w14:paraId="0B4A7F07" w14:textId="009968B3" w:rsidR="0054398B" w:rsidRDefault="0054398B" w:rsidP="0CDBF178">
            <w:pPr>
              <w:pStyle w:val="TableBody"/>
            </w:pPr>
            <w:r w:rsidRPr="00D85C3D">
              <w:t xml:space="preserve">The </w:t>
            </w:r>
            <w:r>
              <w:t>maximum implementation</w:t>
            </w:r>
            <w:r w:rsidRPr="00D85C3D">
              <w:t xml:space="preserve"> of waste reduction involve</w:t>
            </w:r>
            <w:r>
              <w:t>s</w:t>
            </w:r>
            <w:r w:rsidRPr="00D85C3D">
              <w:t xml:space="preserve"> reducing consumers’ food waste by 50% by 2030 and by 75% by 2050,</w:t>
            </w:r>
            <w:r w:rsidRPr="223EE9A8">
              <w:rPr>
                <w:vertAlign w:val="superscript"/>
              </w:rPr>
              <w:footnoteReference w:id="3"/>
            </w:r>
            <w:r w:rsidRPr="00D85C3D">
              <w:t xml:space="preserve"> and reducing other waste by 10% by 2030 and 25% by 2050.</w:t>
            </w:r>
            <w:r>
              <w:t xml:space="preserve"> Lower implementation </w:t>
            </w:r>
            <w:r w:rsidR="0CDBF178">
              <w:t>levels</w:t>
            </w:r>
            <w:r>
              <w:t xml:space="preserve"> </w:t>
            </w:r>
            <w:r w:rsidR="0CDBF178">
              <w:t>yield</w:t>
            </w:r>
            <w:r>
              <w:t xml:space="preserve"> smaller reductions in these time frames</w:t>
            </w:r>
            <w:r w:rsidR="0CDBF178">
              <w:t>.</w:t>
            </w:r>
          </w:p>
        </w:tc>
      </w:tr>
      <w:tr w:rsidR="0054398B" w:rsidRPr="00C114A8" w14:paraId="36096BE1" w14:textId="77777777" w:rsidTr="0CDBF178">
        <w:tc>
          <w:tcPr>
            <w:tcW w:w="1546" w:type="dxa"/>
            <w:tcMar>
              <w:top w:w="0" w:type="nil"/>
              <w:bottom w:w="0" w:type="nil"/>
              <w:right w:w="0" w:type="nil"/>
            </w:tcMar>
          </w:tcPr>
          <w:p w14:paraId="0E82C660" w14:textId="77777777" w:rsidR="0054398B" w:rsidRDefault="0054398B" w:rsidP="006D2776">
            <w:pPr>
              <w:pStyle w:val="TableBody"/>
            </w:pPr>
            <w:r>
              <w:t>Increasing waste collection</w:t>
            </w:r>
          </w:p>
        </w:tc>
        <w:tc>
          <w:tcPr>
            <w:tcW w:w="3854" w:type="dxa"/>
            <w:gridSpan w:val="2"/>
          </w:tcPr>
          <w:p w14:paraId="4A010001" w14:textId="77777777" w:rsidR="0054398B" w:rsidRPr="001F6B73" w:rsidRDefault="0054398B" w:rsidP="006D2776">
            <w:pPr>
              <w:pStyle w:val="TableBody"/>
            </w:pPr>
            <w:r>
              <w:t>Increasing the amount of solid waste that is collected and safely managed, with the aim of ending open dumping and open burning</w:t>
            </w:r>
          </w:p>
        </w:tc>
        <w:tc>
          <w:tcPr>
            <w:tcW w:w="3960" w:type="dxa"/>
          </w:tcPr>
          <w:p w14:paraId="236A09DF" w14:textId="75EDDD5E" w:rsidR="0054398B" w:rsidRDefault="0CDBF178" w:rsidP="0CDBF178">
            <w:pPr>
              <w:pStyle w:val="TableBody"/>
            </w:pPr>
            <w:r>
              <w:t>The maximum implementation of this transformation involves collecting 100% of waste (i.e., ending open dumping and open burning) by 2030. Lower implementation levels yield less collection by 2030.</w:t>
            </w:r>
          </w:p>
        </w:tc>
      </w:tr>
      <w:tr w:rsidR="0054398B" w:rsidRPr="00C114A8" w14:paraId="51840C13" w14:textId="77777777" w:rsidTr="0CDBF178">
        <w:tc>
          <w:tcPr>
            <w:tcW w:w="1546" w:type="dxa"/>
            <w:tcMar>
              <w:top w:w="0" w:type="nil"/>
              <w:bottom w:w="0" w:type="nil"/>
              <w:right w:w="0" w:type="nil"/>
            </w:tcMar>
          </w:tcPr>
          <w:p w14:paraId="227C759A" w14:textId="77777777" w:rsidR="0054398B" w:rsidRDefault="0054398B" w:rsidP="006D2776">
            <w:pPr>
              <w:pStyle w:val="TableBody"/>
            </w:pPr>
            <w:r>
              <w:t>Diverting more recyclables</w:t>
            </w:r>
          </w:p>
        </w:tc>
        <w:tc>
          <w:tcPr>
            <w:tcW w:w="3854" w:type="dxa"/>
            <w:gridSpan w:val="2"/>
          </w:tcPr>
          <w:p w14:paraId="1BB846C6" w14:textId="4B846CE5" w:rsidR="0054398B" w:rsidRDefault="0CDBF178">
            <w:pPr>
              <w:pStyle w:val="TableBody"/>
            </w:pPr>
            <w:r>
              <w:t>Increasing the fraction of recyclable material that is diverted from the waste stream, recycled, and used in IPPU where it offsets producing virgin materials.</w:t>
            </w:r>
          </w:p>
        </w:tc>
        <w:tc>
          <w:tcPr>
            <w:tcW w:w="3960" w:type="dxa"/>
          </w:tcPr>
          <w:p w14:paraId="077FEBC1" w14:textId="77777777" w:rsidR="0054398B" w:rsidRDefault="0054398B" w:rsidP="006D2776">
            <w:pPr>
              <w:pStyle w:val="TableBody"/>
            </w:pPr>
            <w:r w:rsidRPr="00D85C3D">
              <w:t xml:space="preserve">The </w:t>
            </w:r>
            <w:r>
              <w:t>maximum</w:t>
            </w:r>
            <w:r w:rsidRPr="00D85C3D">
              <w:t xml:space="preserve"> </w:t>
            </w:r>
            <w:r>
              <w:t>implementation involves diverting 100% of recyclable materials by 2050. Lower levels of implementation involve less diversion by 2050.</w:t>
            </w:r>
          </w:p>
        </w:tc>
      </w:tr>
      <w:tr w:rsidR="0054398B" w:rsidRPr="00C114A8" w14:paraId="37FD5765" w14:textId="77777777" w:rsidTr="0CDBF178">
        <w:tc>
          <w:tcPr>
            <w:tcW w:w="1546" w:type="dxa"/>
            <w:tcMar>
              <w:top w:w="0" w:type="nil"/>
              <w:bottom w:w="0" w:type="nil"/>
              <w:right w:w="0" w:type="nil"/>
            </w:tcMar>
          </w:tcPr>
          <w:p w14:paraId="51D0213F" w14:textId="77777777" w:rsidR="0054398B" w:rsidRDefault="0054398B" w:rsidP="006D2776">
            <w:pPr>
              <w:pStyle w:val="TableBody"/>
            </w:pPr>
            <w:r>
              <w:t>Diverting more organic waste</w:t>
            </w:r>
          </w:p>
        </w:tc>
        <w:tc>
          <w:tcPr>
            <w:tcW w:w="3854" w:type="dxa"/>
            <w:gridSpan w:val="2"/>
          </w:tcPr>
          <w:p w14:paraId="389860C1" w14:textId="77777777" w:rsidR="0054398B" w:rsidRDefault="0054398B" w:rsidP="006D2776">
            <w:pPr>
              <w:pStyle w:val="TableBody"/>
            </w:pPr>
            <w:r>
              <w:t>Increasing the fraction of organic material that is diverted from the traditional waste stream to managed biological treatment.</w:t>
            </w:r>
          </w:p>
        </w:tc>
        <w:tc>
          <w:tcPr>
            <w:tcW w:w="3960" w:type="dxa"/>
          </w:tcPr>
          <w:p w14:paraId="48C4910C" w14:textId="77777777" w:rsidR="0054398B" w:rsidRDefault="0054398B" w:rsidP="006D2776">
            <w:pPr>
              <w:pStyle w:val="TableBody"/>
            </w:pPr>
            <w:r w:rsidRPr="00D85C3D">
              <w:t xml:space="preserve">The </w:t>
            </w:r>
            <w:r>
              <w:t>maximum</w:t>
            </w:r>
            <w:r w:rsidRPr="00D85C3D">
              <w:t xml:space="preserve"> </w:t>
            </w:r>
            <w:r>
              <w:t>implementation involves diverting 100% of organic waste by 2050. Lower levels of implementation have less diversion by 2050.</w:t>
            </w:r>
          </w:p>
        </w:tc>
      </w:tr>
      <w:tr w:rsidR="0054398B" w:rsidRPr="00C114A8" w14:paraId="7DADDCFF" w14:textId="77777777" w:rsidTr="0CDBF178">
        <w:tc>
          <w:tcPr>
            <w:tcW w:w="1546" w:type="dxa"/>
            <w:tcMar>
              <w:top w:w="0" w:type="nil"/>
              <w:bottom w:w="0" w:type="nil"/>
              <w:right w:w="0" w:type="nil"/>
            </w:tcMar>
          </w:tcPr>
          <w:p w14:paraId="0D0E95F6" w14:textId="77777777" w:rsidR="0054398B" w:rsidRDefault="0054398B" w:rsidP="006D2776">
            <w:pPr>
              <w:pStyle w:val="TableBody"/>
            </w:pPr>
            <w:r>
              <w:t>Improving landfills gas capture and flaring or reuse</w:t>
            </w:r>
          </w:p>
        </w:tc>
        <w:tc>
          <w:tcPr>
            <w:tcW w:w="3854" w:type="dxa"/>
            <w:gridSpan w:val="2"/>
          </w:tcPr>
          <w:p w14:paraId="039BB0CC" w14:textId="77777777" w:rsidR="0054398B" w:rsidRDefault="0054398B" w:rsidP="006D2776">
            <w:pPr>
              <w:pStyle w:val="TableBody"/>
            </w:pPr>
            <w:r>
              <w:t xml:space="preserve">Increasing the fraction of methane captured and flaring or reuse. Captured energy is input into the energy sector. </w:t>
            </w:r>
          </w:p>
        </w:tc>
        <w:tc>
          <w:tcPr>
            <w:tcW w:w="3960" w:type="dxa"/>
          </w:tcPr>
          <w:p w14:paraId="06DA3EF4" w14:textId="75F57D1C" w:rsidR="0054398B" w:rsidRDefault="0CDBF178">
            <w:pPr>
              <w:pStyle w:val="TableBody"/>
            </w:pPr>
            <w:r>
              <w:t>The most aggressive implementation involves capturing and achieving 85% methane recovery and reuse in landfills. Lower implementation levels yield less capture by 2050.</w:t>
            </w:r>
          </w:p>
        </w:tc>
      </w:tr>
      <w:tr w:rsidR="0054398B" w:rsidRPr="00A61DF4" w14:paraId="2D2937F6" w14:textId="77777777" w:rsidTr="0CDBF178">
        <w:trPr>
          <w:trHeight w:val="21"/>
        </w:trPr>
        <w:tc>
          <w:tcPr>
            <w:tcW w:w="2652" w:type="dxa"/>
            <w:gridSpan w:val="2"/>
            <w:tcBorders>
              <w:top w:val="single" w:sz="8" w:space="0" w:color="auto"/>
            </w:tcBorders>
          </w:tcPr>
          <w:p w14:paraId="120411FC" w14:textId="77777777" w:rsidR="0054398B" w:rsidRPr="00A61DF4" w:rsidRDefault="0054398B" w:rsidP="006D2776">
            <w:pPr>
              <w:pStyle w:val="TableNote"/>
            </w:pPr>
          </w:p>
        </w:tc>
        <w:tc>
          <w:tcPr>
            <w:tcW w:w="2748" w:type="dxa"/>
            <w:tcBorders>
              <w:top w:val="single" w:sz="8" w:space="0" w:color="auto"/>
            </w:tcBorders>
            <w:tcMar>
              <w:top w:w="0" w:type="nil"/>
              <w:bottom w:w="0" w:type="nil"/>
              <w:right w:w="0" w:type="nil"/>
            </w:tcMar>
          </w:tcPr>
          <w:p w14:paraId="4132A107" w14:textId="77777777" w:rsidR="0054398B" w:rsidRPr="00A61DF4" w:rsidRDefault="0054398B" w:rsidP="006D2776">
            <w:pPr>
              <w:pStyle w:val="TableNote"/>
            </w:pPr>
          </w:p>
        </w:tc>
        <w:tc>
          <w:tcPr>
            <w:tcW w:w="3960" w:type="dxa"/>
            <w:tcBorders>
              <w:top w:val="single" w:sz="8" w:space="0" w:color="auto"/>
            </w:tcBorders>
          </w:tcPr>
          <w:p w14:paraId="4E585106" w14:textId="77777777" w:rsidR="0054398B" w:rsidRPr="00A61DF4" w:rsidRDefault="0054398B" w:rsidP="006D2776">
            <w:pPr>
              <w:pStyle w:val="TableNote"/>
            </w:pPr>
          </w:p>
        </w:tc>
      </w:tr>
    </w:tbl>
    <w:p w14:paraId="2154979C" w14:textId="71162904" w:rsidR="0054398B" w:rsidRDefault="7654BBD9">
      <w:pPr>
        <w:jc w:val="both"/>
      </w:pPr>
      <w:r>
        <w:t xml:space="preserve">These transformations are consistent with the </w:t>
      </w:r>
      <w:r w:rsidRPr="00667429">
        <w:t>United Nations Environmental Program</w:t>
      </w:r>
      <w:r>
        <w:t xml:space="preserve"> </w:t>
      </w:r>
      <w:r w:rsidRPr="00D368AD">
        <w:t xml:space="preserve">(UNEP’s) </w:t>
      </w:r>
      <w:r w:rsidR="00EE2E79" w:rsidRPr="00D368AD">
        <w:t>Latin America Waste</w:t>
      </w:r>
      <w:r w:rsidRPr="00D368AD">
        <w:t xml:space="preserve"> Outlook (Table 6.8, 2015), which identifies several global solid waste management goals and describes how they relate to SDGs:</w:t>
      </w:r>
    </w:p>
    <w:p w14:paraId="4548FAD6" w14:textId="77777777" w:rsidR="0054398B" w:rsidRDefault="0054398B" w:rsidP="0054398B">
      <w:pPr>
        <w:jc w:val="both"/>
      </w:pPr>
    </w:p>
    <w:p w14:paraId="1BCBC24E" w14:textId="39ABEF37" w:rsidR="0054398B" w:rsidRDefault="48B0C125" w:rsidP="0054398B">
      <w:pPr>
        <w:pStyle w:val="ListParagraph"/>
        <w:numPr>
          <w:ilvl w:val="0"/>
          <w:numId w:val="13"/>
        </w:numPr>
        <w:jc w:val="both"/>
      </w:pPr>
      <w:r>
        <w:t>Ensure access for all to adequate, safe, and affordable solid waste collection services.</w:t>
      </w:r>
    </w:p>
    <w:p w14:paraId="72E9E6A7" w14:textId="0788283D" w:rsidR="0054398B" w:rsidRDefault="48B0C125" w:rsidP="0054398B">
      <w:pPr>
        <w:pStyle w:val="ListParagraph"/>
        <w:numPr>
          <w:ilvl w:val="0"/>
          <w:numId w:val="13"/>
        </w:numPr>
        <w:jc w:val="both"/>
      </w:pPr>
      <w:r>
        <w:t xml:space="preserve">Eliminate uncontrolled dumping and open burning. </w:t>
      </w:r>
    </w:p>
    <w:p w14:paraId="124276FA" w14:textId="34628B84" w:rsidR="0054398B" w:rsidRPr="008709CA" w:rsidRDefault="48B0C125" w:rsidP="0054398B">
      <w:pPr>
        <w:pStyle w:val="ListParagraph"/>
        <w:numPr>
          <w:ilvl w:val="0"/>
          <w:numId w:val="13"/>
        </w:numPr>
        <w:jc w:val="both"/>
      </w:pPr>
      <w:r>
        <w:t xml:space="preserve">Ensure the sustainable and environmentally sound management of all waste, particularly hazardous wastes. </w:t>
      </w:r>
    </w:p>
    <w:p w14:paraId="1ADB144A" w14:textId="3205D577" w:rsidR="0054398B" w:rsidRPr="008709CA" w:rsidRDefault="48B0C125">
      <w:pPr>
        <w:pStyle w:val="ListParagraph"/>
        <w:numPr>
          <w:ilvl w:val="0"/>
          <w:numId w:val="13"/>
        </w:numPr>
        <w:jc w:val="both"/>
      </w:pPr>
      <w:r>
        <w:t xml:space="preserve">Substantially reduce waste generation through prevention and the 3Rs (reduce, reuse, and recycle), thereby creating green jobs. </w:t>
      </w:r>
    </w:p>
    <w:p w14:paraId="39A45B0D" w14:textId="10A49A83" w:rsidR="0054398B" w:rsidRDefault="48B0C125" w:rsidP="006102F0">
      <w:pPr>
        <w:pStyle w:val="ListParagraph"/>
        <w:numPr>
          <w:ilvl w:val="0"/>
          <w:numId w:val="13"/>
        </w:numPr>
        <w:jc w:val="both"/>
      </w:pPr>
      <w:r>
        <w:t xml:space="preserve">Halve global per capita food waste at the retail and consumer levels and reduce food losses in the supply chain. </w:t>
      </w:r>
    </w:p>
    <w:p w14:paraId="7145E586" w14:textId="54F2D38E" w:rsidR="0054398B" w:rsidRDefault="0CDBF178" w:rsidP="0054398B">
      <w:pPr>
        <w:pStyle w:val="Heading4"/>
      </w:pPr>
      <w:r>
        <w:t>Costs of solid waste transformations</w:t>
      </w:r>
    </w:p>
    <w:p w14:paraId="218343C9" w14:textId="6936C451" w:rsidR="0054398B" w:rsidRDefault="0CDBF178" w:rsidP="0CDBF178">
      <w:r>
        <w:t>The cost of waste minimization is calculated per ton of waste avoided (see Table G.10 for costs on different types of waste).  Table G.10 also shows transformations to reduce solid waste GHGs. These transformations include reducing how much solid waste is produced; reducing emissions from waste management vehicles (included in the transportation sector); diverting recyclable and organic material; and improving methane management at landfills.</w:t>
      </w:r>
    </w:p>
    <w:p w14:paraId="56ED1B4A" w14:textId="43E4AFC4" w:rsidR="0054398B" w:rsidRDefault="0CDBF178" w:rsidP="0CDBF178">
      <w:r>
        <w:t>The most aggressive transformation of solid waste management involves ending unmanaged waste disposal (i.e., open dumping and open burning) by 2030 and then by 2050; additionally diverting 100% of organic waste to biological treatments; diverting 100% of recyclable materials to recycling facilities; and capturing and achieving 85% methane recovery and reuse in landfills. We define less aggressive transformations as the fraction of these targets reached by the specified year and, in the case of unmanaged solid waste disposal, extrapolate the rate of change out to the year 2050.  Table G.11 shows each system’s technical costs.</w:t>
      </w:r>
    </w:p>
    <w:p w14:paraId="613CB84D" w14:textId="4E757BB6" w:rsidR="0054398B" w:rsidRPr="00E00DC9" w:rsidRDefault="0CDBF178" w:rsidP="0CDBF178">
      <w:pPr>
        <w:pStyle w:val="Heading9"/>
      </w:pPr>
      <w:bookmarkStart w:id="103" w:name="_Toc152088346"/>
      <w:r>
        <w:t xml:space="preserve">Table </w:t>
      </w:r>
      <w:proofErr w:type="gramStart"/>
      <w:r>
        <w:t>G.10  Waste</w:t>
      </w:r>
      <w:proofErr w:type="gramEnd"/>
      <w:r>
        <w:t xml:space="preserve"> reduction’s technical costs</w:t>
      </w:r>
      <w:bookmarkEnd w:id="103"/>
    </w:p>
    <w:tbl>
      <w:tblPr>
        <w:tblStyle w:val="TableGrid"/>
        <w:tblW w:w="0" w:type="auto"/>
        <w:tblCellMar>
          <w:top w:w="86" w:type="dxa"/>
          <w:bottom w:w="86" w:type="dxa"/>
        </w:tblCellMar>
        <w:tblLook w:val="0620" w:firstRow="1" w:lastRow="0" w:firstColumn="0" w:lastColumn="0" w:noHBand="1" w:noVBand="1"/>
      </w:tblPr>
      <w:tblGrid>
        <w:gridCol w:w="2250"/>
        <w:gridCol w:w="3420"/>
        <w:gridCol w:w="3690"/>
      </w:tblGrid>
      <w:tr w:rsidR="0054398B" w:rsidRPr="00E00DC9" w14:paraId="0F82B9F2"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2250" w:type="dxa"/>
            <w:tcMar>
              <w:top w:w="0" w:type="nil"/>
              <w:bottom w:w="0" w:type="nil"/>
              <w:right w:w="0" w:type="nil"/>
            </w:tcMar>
            <w:vAlign w:val="bottom"/>
          </w:tcPr>
          <w:p w14:paraId="71775AAE" w14:textId="19CE343A" w:rsidR="0054398B" w:rsidRPr="00E00DC9" w:rsidRDefault="0CDBF178" w:rsidP="00667429">
            <w:pPr>
              <w:pStyle w:val="TableColHeading"/>
              <w:jc w:val="left"/>
            </w:pPr>
            <w:r>
              <w:t>Waste reduction</w:t>
            </w:r>
          </w:p>
        </w:tc>
        <w:tc>
          <w:tcPr>
            <w:tcW w:w="3420" w:type="dxa"/>
            <w:tcMar>
              <w:top w:w="0" w:type="nil"/>
              <w:bottom w:w="0" w:type="nil"/>
              <w:right w:w="0" w:type="nil"/>
            </w:tcMar>
            <w:vAlign w:val="bottom"/>
          </w:tcPr>
          <w:p w14:paraId="0ADEB6F5" w14:textId="1F00C061" w:rsidR="0054398B" w:rsidRPr="00E00DC9" w:rsidRDefault="0CDBF178" w:rsidP="0CDBF178">
            <w:pPr>
              <w:pStyle w:val="TableColHeading"/>
            </w:pPr>
            <w:r>
              <w:t>Annualized technical costs</w:t>
            </w:r>
          </w:p>
        </w:tc>
        <w:tc>
          <w:tcPr>
            <w:tcW w:w="3690" w:type="dxa"/>
          </w:tcPr>
          <w:p w14:paraId="1D1D7E4B" w14:textId="5DB5B238" w:rsidR="0054398B" w:rsidRPr="00E00DC9" w:rsidRDefault="0CDBF178" w:rsidP="0CDBF178">
            <w:pPr>
              <w:pStyle w:val="TableColHeading"/>
            </w:pPr>
            <w:r>
              <w:t>Data sources and notes</w:t>
            </w:r>
          </w:p>
        </w:tc>
      </w:tr>
      <w:tr w:rsidR="0054398B" w:rsidRPr="00E00DC9" w14:paraId="0A3417AE" w14:textId="77777777" w:rsidTr="0CDBF178">
        <w:tc>
          <w:tcPr>
            <w:tcW w:w="2250" w:type="dxa"/>
            <w:tcBorders>
              <w:top w:val="single" w:sz="8" w:space="0" w:color="auto"/>
              <w:bottom w:val="single" w:sz="4" w:space="0" w:color="auto"/>
            </w:tcBorders>
            <w:tcMar>
              <w:top w:w="0" w:type="nil"/>
              <w:bottom w:w="0" w:type="nil"/>
              <w:right w:w="0" w:type="nil"/>
            </w:tcMar>
          </w:tcPr>
          <w:p w14:paraId="25244352" w14:textId="16DAC12F" w:rsidR="0054398B" w:rsidRPr="00E00DC9" w:rsidRDefault="0CDBF178" w:rsidP="0CDBF178">
            <w:pPr>
              <w:pStyle w:val="TableBody"/>
            </w:pPr>
            <w:r>
              <w:t>Retail and consumer food Waste reduction</w:t>
            </w:r>
          </w:p>
        </w:tc>
        <w:tc>
          <w:tcPr>
            <w:tcW w:w="3420" w:type="dxa"/>
            <w:tcBorders>
              <w:top w:val="single" w:sz="8" w:space="0" w:color="auto"/>
              <w:bottom w:val="single" w:sz="4" w:space="0" w:color="auto"/>
            </w:tcBorders>
            <w:tcMar>
              <w:top w:w="0" w:type="nil"/>
              <w:bottom w:w="0" w:type="nil"/>
              <w:right w:w="0" w:type="nil"/>
            </w:tcMar>
          </w:tcPr>
          <w:p w14:paraId="7B37626C" w14:textId="77777777" w:rsidR="0054398B" w:rsidRDefault="0054398B" w:rsidP="006D2776">
            <w:pPr>
              <w:pStyle w:val="TableBody"/>
            </w:pPr>
            <w:r>
              <w:t>$100/ton of food waste avoided</w:t>
            </w:r>
          </w:p>
        </w:tc>
        <w:tc>
          <w:tcPr>
            <w:tcW w:w="3690" w:type="dxa"/>
            <w:tcBorders>
              <w:top w:val="single" w:sz="8" w:space="0" w:color="auto"/>
              <w:bottom w:val="single" w:sz="4" w:space="0" w:color="auto"/>
            </w:tcBorders>
          </w:tcPr>
          <w:p w14:paraId="16C7CDEF" w14:textId="7C6DE679" w:rsidR="0054398B" w:rsidRDefault="0CDBF178">
            <w:pPr>
              <w:pStyle w:val="TableBody"/>
            </w:pPr>
            <w:r w:rsidRPr="0CDBF178">
              <w:rPr>
                <w:rFonts w:ascii="Helvetica Neue" w:hAnsi="Helvetica Neue" w:cs="Helvetica Neue"/>
                <w:color w:val="000000" w:themeColor="text1"/>
              </w:rPr>
              <w:t xml:space="preserve">Costs are based on the average per-ton costs of consumer-facing actions to reduce food waste in the US found in the appendix of </w:t>
            </w:r>
            <w:proofErr w:type="spellStart"/>
            <w:r w:rsidRPr="0CDBF178">
              <w:rPr>
                <w:rFonts w:ascii="Helvetica Neue" w:hAnsi="Helvetica Neue" w:cs="Helvetica Neue"/>
                <w:color w:val="000000" w:themeColor="text1"/>
              </w:rPr>
              <w:t>ReFED</w:t>
            </w:r>
            <w:proofErr w:type="spellEnd"/>
            <w:r w:rsidRPr="0CDBF178">
              <w:rPr>
                <w:rFonts w:ascii="Helvetica Neue" w:hAnsi="Helvetica Neue" w:cs="Helvetica Neue"/>
                <w:color w:val="000000" w:themeColor="text1"/>
              </w:rPr>
              <w:t xml:space="preserve"> (2016), adjusted to LAC.</w:t>
            </w:r>
          </w:p>
        </w:tc>
      </w:tr>
    </w:tbl>
    <w:p w14:paraId="4174005B" w14:textId="77777777" w:rsidR="0054398B" w:rsidRDefault="0054398B" w:rsidP="0054398B">
      <w:pPr>
        <w:jc w:val="both"/>
      </w:pPr>
    </w:p>
    <w:p w14:paraId="1A3E8B23" w14:textId="76A69290" w:rsidR="0054398B" w:rsidRPr="00E00DC9" w:rsidRDefault="0CDBF178" w:rsidP="0CDBF178">
      <w:pPr>
        <w:pStyle w:val="Heading9"/>
      </w:pPr>
      <w:bookmarkStart w:id="104" w:name="_Toc152088347"/>
      <w:r>
        <w:t>Table G.11 Solid waste management’s technical costs</w:t>
      </w:r>
      <w:bookmarkEnd w:id="104"/>
    </w:p>
    <w:tbl>
      <w:tblPr>
        <w:tblStyle w:val="TableGrid"/>
        <w:tblW w:w="0" w:type="auto"/>
        <w:tblLayout w:type="fixed"/>
        <w:tblLook w:val="0620" w:firstRow="1" w:lastRow="0" w:firstColumn="0" w:lastColumn="0" w:noHBand="1" w:noVBand="1"/>
      </w:tblPr>
      <w:tblGrid>
        <w:gridCol w:w="3120"/>
        <w:gridCol w:w="3120"/>
        <w:gridCol w:w="3120"/>
      </w:tblGrid>
      <w:tr w:rsidR="1F9E299B" w14:paraId="0DDBEC60" w14:textId="77777777" w:rsidTr="7654BBD9">
        <w:trPr>
          <w:cnfStyle w:val="100000000000" w:firstRow="1" w:lastRow="0" w:firstColumn="0" w:lastColumn="0" w:oddVBand="0" w:evenVBand="0" w:oddHBand="0" w:evenHBand="0" w:firstRowFirstColumn="0" w:firstRowLastColumn="0" w:lastRowFirstColumn="0" w:lastRowLastColumn="0"/>
          <w:trHeight w:val="15"/>
        </w:trPr>
        <w:tc>
          <w:tcPr>
            <w:tcW w:w="3120" w:type="dxa"/>
            <w:tcBorders>
              <w:left w:val="nil"/>
              <w:right w:val="nil"/>
            </w:tcBorders>
            <w:tcMar>
              <w:top w:w="86" w:type="dxa"/>
              <w:bottom w:w="86" w:type="dxa"/>
            </w:tcMar>
            <w:vAlign w:val="bottom"/>
          </w:tcPr>
          <w:p w14:paraId="419E55BD" w14:textId="63429AAD" w:rsidR="1F9E299B" w:rsidRDefault="0CDBF178">
            <w:r w:rsidRPr="0CDBF178">
              <w:rPr>
                <w:rFonts w:eastAsia="Arial" w:cs="Arial"/>
                <w:b/>
                <w:bCs/>
                <w:sz w:val="18"/>
                <w:szCs w:val="18"/>
              </w:rPr>
              <w:t>Waste management</w:t>
            </w:r>
          </w:p>
        </w:tc>
        <w:tc>
          <w:tcPr>
            <w:tcW w:w="3120" w:type="dxa"/>
            <w:tcBorders>
              <w:left w:val="nil"/>
              <w:right w:val="nil"/>
            </w:tcBorders>
            <w:tcMar>
              <w:top w:w="86" w:type="dxa"/>
              <w:bottom w:w="86" w:type="dxa"/>
            </w:tcMar>
            <w:vAlign w:val="bottom"/>
          </w:tcPr>
          <w:p w14:paraId="2A3F2FD3" w14:textId="7EDBE8EE" w:rsidR="1F9E299B" w:rsidRDefault="0CDBF178">
            <w:pPr>
              <w:jc w:val="center"/>
            </w:pPr>
            <w:r w:rsidRPr="0CDBF178">
              <w:rPr>
                <w:rFonts w:eastAsia="Arial" w:cs="Arial"/>
                <w:b/>
                <w:bCs/>
                <w:sz w:val="18"/>
                <w:szCs w:val="18"/>
              </w:rPr>
              <w:t>Technical costs</w:t>
            </w:r>
          </w:p>
        </w:tc>
        <w:tc>
          <w:tcPr>
            <w:tcW w:w="3120" w:type="dxa"/>
            <w:tcBorders>
              <w:left w:val="nil"/>
              <w:right w:val="nil"/>
            </w:tcBorders>
          </w:tcPr>
          <w:p w14:paraId="1BE16222" w14:textId="7741D7A8" w:rsidR="1F9E299B" w:rsidRDefault="0CDBF178">
            <w:pPr>
              <w:jc w:val="center"/>
            </w:pPr>
            <w:r w:rsidRPr="0CDBF178">
              <w:rPr>
                <w:rFonts w:eastAsia="Arial" w:cs="Arial"/>
                <w:b/>
                <w:bCs/>
                <w:sz w:val="18"/>
                <w:szCs w:val="18"/>
              </w:rPr>
              <w:t>Data source</w:t>
            </w:r>
          </w:p>
        </w:tc>
      </w:tr>
      <w:tr w:rsidR="1F9E299B" w14:paraId="1817B1A5" w14:textId="77777777" w:rsidTr="7654BBD9">
        <w:trPr>
          <w:trHeight w:val="300"/>
        </w:trPr>
        <w:tc>
          <w:tcPr>
            <w:tcW w:w="3120" w:type="dxa"/>
            <w:tcBorders>
              <w:top w:val="single" w:sz="8" w:space="0" w:color="auto"/>
              <w:left w:val="nil"/>
              <w:bottom w:val="nil"/>
              <w:right w:val="nil"/>
            </w:tcBorders>
            <w:tcMar>
              <w:top w:w="86" w:type="dxa"/>
              <w:bottom w:w="86" w:type="dxa"/>
            </w:tcMar>
          </w:tcPr>
          <w:p w14:paraId="604B078E" w14:textId="5449ABE8" w:rsidR="1F9E299B" w:rsidRDefault="1F9E299B" w:rsidP="1F9E299B">
            <w:r w:rsidRPr="1F9E299B">
              <w:rPr>
                <w:rFonts w:eastAsia="Arial" w:cs="Arial"/>
                <w:sz w:val="18"/>
                <w:szCs w:val="18"/>
              </w:rPr>
              <w:t>Collection</w:t>
            </w:r>
          </w:p>
        </w:tc>
        <w:tc>
          <w:tcPr>
            <w:tcW w:w="3120" w:type="dxa"/>
            <w:tcBorders>
              <w:top w:val="single" w:sz="8" w:space="0" w:color="auto"/>
              <w:left w:val="nil"/>
              <w:bottom w:val="nil"/>
              <w:right w:val="nil"/>
            </w:tcBorders>
            <w:tcMar>
              <w:top w:w="86" w:type="dxa"/>
              <w:bottom w:w="86" w:type="dxa"/>
            </w:tcMar>
          </w:tcPr>
          <w:p w14:paraId="5F587C28" w14:textId="1B58E87D" w:rsidR="1F9E299B" w:rsidRDefault="1F9E299B" w:rsidP="1F9E299B">
            <w:r w:rsidRPr="1F9E299B">
              <w:rPr>
                <w:rFonts w:eastAsia="Arial" w:cs="Arial"/>
                <w:sz w:val="18"/>
                <w:szCs w:val="18"/>
              </w:rPr>
              <w:t>$86/ton of waste</w:t>
            </w:r>
          </w:p>
        </w:tc>
        <w:tc>
          <w:tcPr>
            <w:tcW w:w="3120" w:type="dxa"/>
            <w:vMerge w:val="restart"/>
            <w:tcBorders>
              <w:top w:val="single" w:sz="8" w:space="0" w:color="auto"/>
              <w:left w:val="nil"/>
              <w:bottom w:val="nil"/>
              <w:right w:val="nil"/>
            </w:tcBorders>
          </w:tcPr>
          <w:p w14:paraId="406630F9" w14:textId="2DDD93B3" w:rsidR="1F9E299B" w:rsidRDefault="7654BBD9">
            <w:pPr>
              <w:tabs>
                <w:tab w:val="left" w:pos="2012"/>
              </w:tabs>
            </w:pPr>
            <w:r w:rsidRPr="00D368AD">
              <w:rPr>
                <w:rFonts w:eastAsia="Arial" w:cs="Arial"/>
                <w:sz w:val="18"/>
                <w:szCs w:val="18"/>
              </w:rPr>
              <w:t>World Bank (2012) provides costs for collecting and managing waste for countries of different</w:t>
            </w:r>
            <w:r w:rsidRPr="7654BBD9">
              <w:rPr>
                <w:rFonts w:eastAsia="Arial" w:cs="Arial"/>
                <w:sz w:val="18"/>
                <w:szCs w:val="18"/>
              </w:rPr>
              <w:t xml:space="preserve"> income groups. We use a LAC average to average costs between lower-middle and upper-middle income countries. We assume 70% of recycled and open dumped waste in LAC is collected, and 100% of waste in other management systems is collected. </w:t>
            </w:r>
          </w:p>
          <w:p w14:paraId="57FA3533" w14:textId="05DEE16B" w:rsidR="1F9E299B" w:rsidRDefault="1F9E299B" w:rsidP="1F9E299B">
            <w:pPr>
              <w:tabs>
                <w:tab w:val="left" w:pos="2012"/>
              </w:tabs>
            </w:pPr>
            <w:r w:rsidRPr="1F9E299B">
              <w:rPr>
                <w:rFonts w:eastAsia="Arial" w:cs="Arial"/>
                <w:sz w:val="18"/>
                <w:szCs w:val="18"/>
              </w:rPr>
              <w:t xml:space="preserve"> </w:t>
            </w:r>
          </w:p>
          <w:p w14:paraId="02BBB910" w14:textId="521FA9B2" w:rsidR="1F9E299B" w:rsidRDefault="0CDBF178" w:rsidP="1F9E299B">
            <w:pPr>
              <w:tabs>
                <w:tab w:val="left" w:pos="2012"/>
              </w:tabs>
              <w:ind w:firstLine="0"/>
            </w:pPr>
            <w:r w:rsidRPr="0CDBF178">
              <w:rPr>
                <w:rFonts w:eastAsia="Arial" w:cs="Arial"/>
                <w:sz w:val="18"/>
                <w:szCs w:val="18"/>
              </w:rPr>
              <w:t>For management without energy recovery, we use average costs across the lower-middle and upper-middle income tiers. The recycling cost includes the cost of separation and materials recovery. The processing and manufacturing costs are included in the value of recyclables (discussed in benefits) and estimated from the EPA’s documentation of paper recycling costs (EPA, 2019).</w:t>
            </w:r>
          </w:p>
          <w:p w14:paraId="28DFE8DA" w14:textId="07DF4396" w:rsidR="1F9E299B" w:rsidRDefault="1F9E299B" w:rsidP="1F9E299B">
            <w:pPr>
              <w:tabs>
                <w:tab w:val="left" w:pos="2012"/>
              </w:tabs>
            </w:pPr>
            <w:r w:rsidRPr="1F9E299B">
              <w:rPr>
                <w:rFonts w:eastAsia="Arial" w:cs="Arial"/>
                <w:sz w:val="18"/>
                <w:szCs w:val="18"/>
              </w:rPr>
              <w:t xml:space="preserve"> </w:t>
            </w:r>
          </w:p>
          <w:p w14:paraId="5F3BD4F7" w14:textId="6E04B32B" w:rsidR="1F9E299B" w:rsidRDefault="0CDBF178" w:rsidP="00667429">
            <w:pPr>
              <w:tabs>
                <w:tab w:val="left" w:pos="2012"/>
              </w:tabs>
              <w:ind w:firstLine="0"/>
            </w:pPr>
            <w:r w:rsidRPr="0CDBF178">
              <w:rPr>
                <w:rFonts w:eastAsia="Arial" w:cs="Arial"/>
                <w:sz w:val="18"/>
                <w:szCs w:val="18"/>
              </w:rPr>
              <w:t>Cost for energy recovery is based on IEA estimates (2020f).</w:t>
            </w:r>
          </w:p>
        </w:tc>
      </w:tr>
      <w:tr w:rsidR="1F9E299B" w:rsidRPr="00667429" w14:paraId="67C63FE4" w14:textId="77777777" w:rsidTr="7654BBD9">
        <w:trPr>
          <w:trHeight w:val="300"/>
        </w:trPr>
        <w:tc>
          <w:tcPr>
            <w:tcW w:w="3120" w:type="dxa"/>
            <w:tcBorders>
              <w:top w:val="nil"/>
              <w:left w:val="nil"/>
              <w:bottom w:val="nil"/>
              <w:right w:val="nil"/>
            </w:tcBorders>
            <w:tcMar>
              <w:top w:w="86" w:type="dxa"/>
              <w:bottom w:w="86" w:type="dxa"/>
            </w:tcMar>
          </w:tcPr>
          <w:p w14:paraId="7EE37F70" w14:textId="23BEE388" w:rsidR="1F9E299B" w:rsidRDefault="1F9E299B" w:rsidP="1F9E299B">
            <w:r w:rsidRPr="1F9E299B">
              <w:rPr>
                <w:rFonts w:eastAsia="Arial" w:cs="Arial"/>
                <w:sz w:val="18"/>
                <w:szCs w:val="18"/>
              </w:rPr>
              <w:t>Management</w:t>
            </w:r>
          </w:p>
        </w:tc>
        <w:tc>
          <w:tcPr>
            <w:tcW w:w="3120" w:type="dxa"/>
            <w:tcBorders>
              <w:top w:val="nil"/>
              <w:left w:val="nil"/>
              <w:bottom w:val="nil"/>
              <w:right w:val="nil"/>
            </w:tcBorders>
            <w:tcMar>
              <w:top w:w="86" w:type="dxa"/>
              <w:bottom w:w="86" w:type="dxa"/>
            </w:tcMar>
          </w:tcPr>
          <w:p w14:paraId="14FF2C46" w14:textId="0025703C" w:rsidR="1F9E299B" w:rsidRDefault="0CDBF178" w:rsidP="1F9E299B">
            <w:r w:rsidRPr="0CDBF178">
              <w:rPr>
                <w:rFonts w:eastAsia="Arial" w:cs="Arial"/>
                <w:sz w:val="18"/>
                <w:szCs w:val="18"/>
              </w:rPr>
              <w:t>$10/ton—open dumping</w:t>
            </w:r>
          </w:p>
          <w:p w14:paraId="3398134C" w14:textId="27828070" w:rsidR="1F9E299B" w:rsidRDefault="0CDBF178" w:rsidP="0CDBF178">
            <w:r w:rsidRPr="0CDBF178">
              <w:rPr>
                <w:rFonts w:eastAsia="Arial" w:cs="Arial"/>
                <w:sz w:val="18"/>
                <w:szCs w:val="18"/>
              </w:rPr>
              <w:t>$57/ton—managed landfill</w:t>
            </w:r>
          </w:p>
          <w:p w14:paraId="0FA003F4" w14:textId="0C421792" w:rsidR="1F9E299B" w:rsidRPr="00667429" w:rsidRDefault="0CDBF178" w:rsidP="0CDBF178">
            <w:pPr>
              <w:rPr>
                <w:lang w:val="fr-FR"/>
              </w:rPr>
            </w:pPr>
            <w:r w:rsidRPr="00667429">
              <w:rPr>
                <w:rFonts w:eastAsia="Arial" w:cs="Arial"/>
                <w:sz w:val="18"/>
                <w:szCs w:val="18"/>
                <w:lang w:val="fr-FR"/>
              </w:rPr>
              <w:t>$61/ton—composting</w:t>
            </w:r>
          </w:p>
          <w:p w14:paraId="7E803740" w14:textId="1E23D87D" w:rsidR="1F9E299B" w:rsidRPr="00CB6B06" w:rsidRDefault="0CDBF178" w:rsidP="1F9E299B">
            <w:pPr>
              <w:rPr>
                <w:lang w:val="fr-FR"/>
              </w:rPr>
            </w:pPr>
            <w:r w:rsidRPr="0CDBF178">
              <w:rPr>
                <w:rFonts w:eastAsia="Arial" w:cs="Arial"/>
                <w:sz w:val="18"/>
                <w:szCs w:val="18"/>
                <w:lang w:val="fr"/>
              </w:rPr>
              <w:t>$86/ton—</w:t>
            </w:r>
            <w:proofErr w:type="spellStart"/>
            <w:r w:rsidRPr="0CDBF178">
              <w:rPr>
                <w:rFonts w:eastAsia="Arial" w:cs="Arial"/>
                <w:sz w:val="18"/>
                <w:szCs w:val="18"/>
                <w:lang w:val="fr"/>
              </w:rPr>
              <w:t>anaerobic</w:t>
            </w:r>
            <w:proofErr w:type="spellEnd"/>
            <w:r w:rsidRPr="0CDBF178">
              <w:rPr>
                <w:rFonts w:eastAsia="Arial" w:cs="Arial"/>
                <w:sz w:val="18"/>
                <w:szCs w:val="18"/>
                <w:lang w:val="fr"/>
              </w:rPr>
              <w:t xml:space="preserve"> </w:t>
            </w:r>
            <w:proofErr w:type="spellStart"/>
            <w:r w:rsidRPr="0CDBF178">
              <w:rPr>
                <w:rFonts w:eastAsia="Arial" w:cs="Arial"/>
                <w:sz w:val="18"/>
                <w:szCs w:val="18"/>
                <w:lang w:val="fr"/>
              </w:rPr>
              <w:t>biogas</w:t>
            </w:r>
            <w:proofErr w:type="spellEnd"/>
          </w:p>
          <w:p w14:paraId="2C435341" w14:textId="2C377000" w:rsidR="1F9E299B" w:rsidRPr="00CB6B06" w:rsidRDefault="0CDBF178" w:rsidP="1F9E299B">
            <w:pPr>
              <w:rPr>
                <w:lang w:val="fr-FR"/>
              </w:rPr>
            </w:pPr>
            <w:r w:rsidRPr="0CDBF178">
              <w:rPr>
                <w:rFonts w:eastAsia="Arial" w:cs="Arial"/>
                <w:sz w:val="18"/>
                <w:szCs w:val="18"/>
                <w:lang w:val="fr"/>
              </w:rPr>
              <w:t>$72/ton—</w:t>
            </w:r>
            <w:proofErr w:type="spellStart"/>
            <w:r w:rsidRPr="0CDBF178">
              <w:rPr>
                <w:rFonts w:eastAsia="Arial" w:cs="Arial"/>
                <w:sz w:val="18"/>
                <w:szCs w:val="18"/>
                <w:lang w:val="fr"/>
              </w:rPr>
              <w:t>recycling</w:t>
            </w:r>
            <w:proofErr w:type="spellEnd"/>
          </w:p>
          <w:p w14:paraId="43B79067" w14:textId="341FD6F1" w:rsidR="1F9E299B" w:rsidRPr="00667429" w:rsidRDefault="0CDBF178" w:rsidP="1F9E299B">
            <w:pPr>
              <w:rPr>
                <w:lang w:val="fr-FR"/>
              </w:rPr>
            </w:pPr>
            <w:r w:rsidRPr="00667429">
              <w:rPr>
                <w:rFonts w:eastAsia="Arial" w:cs="Arial"/>
                <w:sz w:val="18"/>
                <w:szCs w:val="18"/>
                <w:lang w:val="fr-FR"/>
              </w:rPr>
              <w:t>$70/ton—</w:t>
            </w:r>
            <w:proofErr w:type="spellStart"/>
            <w:r w:rsidRPr="00667429">
              <w:rPr>
                <w:rFonts w:eastAsia="Arial" w:cs="Arial"/>
                <w:sz w:val="18"/>
                <w:szCs w:val="18"/>
                <w:lang w:val="fr-FR"/>
              </w:rPr>
              <w:t>incineration</w:t>
            </w:r>
            <w:proofErr w:type="spellEnd"/>
          </w:p>
        </w:tc>
        <w:tc>
          <w:tcPr>
            <w:tcW w:w="3120" w:type="dxa"/>
            <w:vMerge/>
            <w:vAlign w:val="center"/>
          </w:tcPr>
          <w:p w14:paraId="0E1C245D" w14:textId="77777777" w:rsidR="00163941" w:rsidRPr="00667429" w:rsidRDefault="00163941">
            <w:pPr>
              <w:rPr>
                <w:lang w:val="fr-FR"/>
              </w:rPr>
            </w:pPr>
          </w:p>
        </w:tc>
      </w:tr>
      <w:tr w:rsidR="1F9E299B" w14:paraId="00024500" w14:textId="77777777" w:rsidTr="7654BBD9">
        <w:trPr>
          <w:trHeight w:val="300"/>
        </w:trPr>
        <w:tc>
          <w:tcPr>
            <w:tcW w:w="3120" w:type="dxa"/>
            <w:tcBorders>
              <w:top w:val="nil"/>
              <w:left w:val="nil"/>
              <w:bottom w:val="nil"/>
              <w:right w:val="nil"/>
            </w:tcBorders>
            <w:tcMar>
              <w:top w:w="86" w:type="dxa"/>
              <w:bottom w:w="86" w:type="dxa"/>
            </w:tcMar>
          </w:tcPr>
          <w:p w14:paraId="1D76604F" w14:textId="5B1DA17A" w:rsidR="1F9E299B" w:rsidRDefault="0CDBF178">
            <w:r w:rsidRPr="0CDBF178">
              <w:rPr>
                <w:rFonts w:eastAsia="Arial" w:cs="Arial"/>
                <w:sz w:val="18"/>
                <w:szCs w:val="18"/>
              </w:rPr>
              <w:t>Energy recovery</w:t>
            </w:r>
          </w:p>
        </w:tc>
        <w:tc>
          <w:tcPr>
            <w:tcW w:w="3120" w:type="dxa"/>
            <w:tcBorders>
              <w:top w:val="nil"/>
              <w:left w:val="nil"/>
              <w:bottom w:val="nil"/>
              <w:right w:val="nil"/>
            </w:tcBorders>
            <w:tcMar>
              <w:top w:w="86" w:type="dxa"/>
              <w:bottom w:w="86" w:type="dxa"/>
            </w:tcMar>
          </w:tcPr>
          <w:p w14:paraId="060635B6" w14:textId="7142EC96" w:rsidR="1F9E299B" w:rsidRDefault="1F9E299B" w:rsidP="1F9E299B">
            <w:r w:rsidRPr="1F9E299B">
              <w:rPr>
                <w:rFonts w:eastAsia="Arial" w:cs="Arial"/>
                <w:sz w:val="18"/>
                <w:szCs w:val="18"/>
              </w:rPr>
              <w:t>$170/ton waste feedstock (incineration)</w:t>
            </w:r>
          </w:p>
          <w:p w14:paraId="3FC74BBD" w14:textId="64905264" w:rsidR="1F9E299B" w:rsidRDefault="1F9E299B" w:rsidP="1F9E299B">
            <w:r w:rsidRPr="1F9E299B">
              <w:rPr>
                <w:rFonts w:eastAsia="Arial" w:cs="Arial"/>
                <w:sz w:val="18"/>
                <w:szCs w:val="18"/>
              </w:rPr>
              <w:t>$500/ton of gas recovered (landfills, anaerobic digesters)</w:t>
            </w:r>
          </w:p>
          <w:p w14:paraId="5B3F7C96" w14:textId="002796A5" w:rsidR="1F9E299B" w:rsidRDefault="1F9E299B" w:rsidP="1F9E299B">
            <w:r w:rsidRPr="1F9E299B">
              <w:rPr>
                <w:rFonts w:eastAsia="Arial" w:cs="Arial"/>
                <w:sz w:val="18"/>
                <w:szCs w:val="18"/>
              </w:rPr>
              <w:t xml:space="preserve"> </w:t>
            </w:r>
          </w:p>
        </w:tc>
        <w:tc>
          <w:tcPr>
            <w:tcW w:w="3120" w:type="dxa"/>
            <w:vMerge/>
            <w:vAlign w:val="center"/>
          </w:tcPr>
          <w:p w14:paraId="6EBD9E6D" w14:textId="77777777" w:rsidR="00163941" w:rsidRDefault="00163941"/>
        </w:tc>
      </w:tr>
      <w:tr w:rsidR="1F9E299B" w14:paraId="3E8923B3" w14:textId="77777777" w:rsidTr="7654BBD9">
        <w:trPr>
          <w:trHeight w:val="300"/>
        </w:trPr>
        <w:tc>
          <w:tcPr>
            <w:tcW w:w="9360" w:type="dxa"/>
            <w:gridSpan w:val="3"/>
            <w:tcBorders>
              <w:top w:val="nil"/>
              <w:left w:val="nil"/>
              <w:bottom w:val="single" w:sz="8" w:space="0" w:color="000000" w:themeColor="text1"/>
              <w:right w:val="nil"/>
            </w:tcBorders>
            <w:tcMar>
              <w:top w:w="86" w:type="dxa"/>
              <w:bottom w:w="86" w:type="dxa"/>
            </w:tcMar>
          </w:tcPr>
          <w:p w14:paraId="4A814F27" w14:textId="0BB70A61" w:rsidR="1F9E299B" w:rsidRDefault="1F9E299B" w:rsidP="1F9E299B">
            <w:pPr>
              <w:ind w:firstLine="0"/>
            </w:pPr>
          </w:p>
        </w:tc>
      </w:tr>
    </w:tbl>
    <w:p w14:paraId="2903B95E" w14:textId="4DF2A159" w:rsidR="0054398B" w:rsidRDefault="0CDBF178" w:rsidP="006102F0">
      <w:pPr>
        <w:pStyle w:val="TableNote"/>
      </w:pPr>
      <w:r w:rsidRPr="0CDBF178">
        <w:rPr>
          <w:rFonts w:eastAsia="Arial"/>
        </w:rPr>
        <w:t xml:space="preserve">Note: The technical costs and baseline service coverage in our study broadly align with the findings in Correal et al. (2023), which provides comprehensive data on municipal solid waste generation, collection, and </w:t>
      </w:r>
      <w:proofErr w:type="gramStart"/>
      <w:r w:rsidRPr="0CDBF178">
        <w:rPr>
          <w:rFonts w:eastAsia="Arial"/>
        </w:rPr>
        <w:t>final destination</w:t>
      </w:r>
      <w:proofErr w:type="gramEnd"/>
      <w:r w:rsidRPr="0CDBF178">
        <w:rPr>
          <w:rFonts w:eastAsia="Arial"/>
        </w:rPr>
        <w:t xml:space="preserve"> in LAC countries, as well as an assessment of the resource gap needed to fulfill SDGs related to the region’s solid waste management by 2030.</w:t>
      </w:r>
    </w:p>
    <w:p w14:paraId="0EEB20CB" w14:textId="19338553" w:rsidR="0054398B" w:rsidRDefault="0CDBF178" w:rsidP="0054398B">
      <w:pPr>
        <w:pStyle w:val="Heading4"/>
      </w:pPr>
      <w:r>
        <w:t>Benefits of solid waste transformations</w:t>
      </w:r>
    </w:p>
    <w:p w14:paraId="6D55D6D2" w14:textId="1D96FB60" w:rsidR="0054398B" w:rsidRDefault="0CDBF178" w:rsidP="0CDBF178">
      <w:r>
        <w:t>The GHG benefits from improving solid waste management are calculated endogenously in the model based on the amount of waste produced and fraction of waste handled by each management system in a baseline versus alternative future. Avoided emissions are valued by the social cost of carbon. Emissions benefits of using recycled materials instead of virgin materials are calculated in the IPPU sector, emissions benefits of lower food production requirements from avoided reduced food waste are calculated in the AFOLU sector, and emissions benefits of methane capture and use are calculated in the energy sector.</w:t>
      </w:r>
    </w:p>
    <w:p w14:paraId="111F36A5" w14:textId="454A5489" w:rsidR="0054398B" w:rsidRDefault="0054398B" w:rsidP="0054398B">
      <w:r>
        <w:t xml:space="preserve">The non-GHG benefits of better solid waste management involve expenditure savings from reduced waste, avoided social and environmental externalities of poor solid waste management practices, and the value of byproducts from better solid waste management, including recyclable materials, compost, sludge (valued in the wastewater sector), and energy (valued in the energy sector). These benefits are listed in Table </w:t>
      </w:r>
      <w:r w:rsidR="003D4166">
        <w:t>G</w:t>
      </w:r>
      <w:r>
        <w:t>.</w:t>
      </w:r>
      <w:r w:rsidR="003D4166">
        <w:t>1</w:t>
      </w:r>
      <w:r w:rsidR="00AD2C7D">
        <w:t>2</w:t>
      </w:r>
      <w:r>
        <w:t>.</w:t>
      </w:r>
    </w:p>
    <w:p w14:paraId="75801142" w14:textId="2A52D1BC" w:rsidR="0054398B" w:rsidRPr="008A5D11" w:rsidRDefault="0CDBF178" w:rsidP="0CDBF178">
      <w:pPr>
        <w:pStyle w:val="Heading9"/>
      </w:pPr>
      <w:bookmarkStart w:id="105" w:name="_Toc152088348"/>
      <w:r>
        <w:t>Table G.12 Solid waste management’s non-GHG benefits</w:t>
      </w:r>
      <w:bookmarkEnd w:id="105"/>
      <w:r>
        <w:t xml:space="preserve"> </w:t>
      </w:r>
    </w:p>
    <w:tbl>
      <w:tblPr>
        <w:tblStyle w:val="TableGrid"/>
        <w:tblW w:w="5000" w:type="pct"/>
        <w:tblCellMar>
          <w:top w:w="86" w:type="dxa"/>
          <w:bottom w:w="86" w:type="dxa"/>
        </w:tblCellMar>
        <w:tblLook w:val="0620" w:firstRow="1" w:lastRow="0" w:firstColumn="0" w:lastColumn="0" w:noHBand="1" w:noVBand="1"/>
      </w:tblPr>
      <w:tblGrid>
        <w:gridCol w:w="2250"/>
        <w:gridCol w:w="3060"/>
        <w:gridCol w:w="4050"/>
      </w:tblGrid>
      <w:tr w:rsidR="0054398B" w:rsidRPr="00C114A8" w14:paraId="42574CD6" w14:textId="77777777" w:rsidTr="0CDBF178">
        <w:trPr>
          <w:cnfStyle w:val="100000000000" w:firstRow="1" w:lastRow="0" w:firstColumn="0" w:lastColumn="0" w:oddVBand="0" w:evenVBand="0" w:oddHBand="0" w:evenHBand="0" w:firstRowFirstColumn="0" w:firstRowLastColumn="0" w:lastRowFirstColumn="0" w:lastRowLastColumn="0"/>
          <w:trHeight w:val="20"/>
        </w:trPr>
        <w:tc>
          <w:tcPr>
            <w:tcW w:w="2250" w:type="dxa"/>
          </w:tcPr>
          <w:p w14:paraId="4D230F74" w14:textId="44AB2C94" w:rsidR="0054398B" w:rsidRDefault="27B2A08E" w:rsidP="00667429">
            <w:pPr>
              <w:pStyle w:val="TableColHeading"/>
              <w:jc w:val="left"/>
            </w:pPr>
            <w:r>
              <w:t>Benefit category</w:t>
            </w:r>
          </w:p>
        </w:tc>
        <w:tc>
          <w:tcPr>
            <w:tcW w:w="3060" w:type="dxa"/>
          </w:tcPr>
          <w:p w14:paraId="5514C65B" w14:textId="28ED99EB" w:rsidR="0054398B" w:rsidRDefault="27B2A08E" w:rsidP="27B2A08E">
            <w:pPr>
              <w:pStyle w:val="TableColHeading"/>
            </w:pPr>
            <w:r>
              <w:t>Benefit value or valuation method</w:t>
            </w:r>
          </w:p>
        </w:tc>
        <w:tc>
          <w:tcPr>
            <w:tcW w:w="4050" w:type="dxa"/>
          </w:tcPr>
          <w:p w14:paraId="190A7C82" w14:textId="71B1357E" w:rsidR="0054398B" w:rsidRDefault="27B2A08E">
            <w:pPr>
              <w:pStyle w:val="TableColHeading"/>
            </w:pPr>
            <w:r>
              <w:t>Data source</w:t>
            </w:r>
          </w:p>
        </w:tc>
      </w:tr>
      <w:tr w:rsidR="0054398B" w:rsidRPr="00C114A8" w14:paraId="4F2BA934" w14:textId="77777777" w:rsidTr="0CDBF178">
        <w:tc>
          <w:tcPr>
            <w:tcW w:w="2250" w:type="dxa"/>
          </w:tcPr>
          <w:p w14:paraId="2A2B7DC4" w14:textId="77777777" w:rsidR="0054398B" w:rsidRDefault="0054398B" w:rsidP="006D2776">
            <w:pPr>
              <w:pStyle w:val="TableBody"/>
            </w:pPr>
            <w:r>
              <w:t>Value of waste avoided</w:t>
            </w:r>
          </w:p>
        </w:tc>
        <w:tc>
          <w:tcPr>
            <w:tcW w:w="3060" w:type="dxa"/>
          </w:tcPr>
          <w:p w14:paraId="6184A1BE" w14:textId="77777777" w:rsidR="0054398B" w:rsidRDefault="0054398B" w:rsidP="006D2776">
            <w:pPr>
              <w:pStyle w:val="TableBody"/>
            </w:pPr>
            <w:r>
              <w:t>$700/ton of food waste avoided</w:t>
            </w:r>
          </w:p>
          <w:p w14:paraId="383DD230" w14:textId="77777777" w:rsidR="0054398B" w:rsidRDefault="0054398B" w:rsidP="006D2776">
            <w:pPr>
              <w:pStyle w:val="TableBody"/>
            </w:pPr>
          </w:p>
        </w:tc>
        <w:tc>
          <w:tcPr>
            <w:tcW w:w="4050" w:type="dxa"/>
          </w:tcPr>
          <w:p w14:paraId="36B53EF3" w14:textId="77777777" w:rsidR="0054398B" w:rsidRPr="00DD1FA9" w:rsidRDefault="0054398B" w:rsidP="006D2776">
            <w:pPr>
              <w:pStyle w:val="TableBody"/>
              <w:rPr>
                <w:rStyle w:val="cTableSuperscript"/>
                <w:vertAlign w:val="baseline"/>
              </w:rPr>
            </w:pPr>
            <w:r w:rsidRPr="00DD1FA9">
              <w:rPr>
                <w:rStyle w:val="cTableSuperscript"/>
                <w:vertAlign w:val="baseline"/>
              </w:rPr>
              <w:t>Food waste occurs across food types, and without specific information on the types of food that are wasted and have recovery potential in the supply chain, we use the average</w:t>
            </w:r>
            <w:r>
              <w:rPr>
                <w:rStyle w:val="cTableSuperscript"/>
                <w:vertAlign w:val="baseline"/>
              </w:rPr>
              <w:t xml:space="preserve"> price </w:t>
            </w:r>
            <w:r w:rsidRPr="00DD1FA9">
              <w:rPr>
                <w:rStyle w:val="cTableSuperscript"/>
                <w:vertAlign w:val="baseline"/>
              </w:rPr>
              <w:t>of food across all product types.</w:t>
            </w:r>
          </w:p>
          <w:p w14:paraId="623CBD01" w14:textId="77777777" w:rsidR="0054398B" w:rsidRDefault="0054398B" w:rsidP="006D2776">
            <w:pPr>
              <w:pStyle w:val="TableBody"/>
            </w:pPr>
            <w:r w:rsidRPr="00DD1FA9">
              <w:rPr>
                <w:rStyle w:val="cTableSuperscript"/>
                <w:vertAlign w:val="baseline"/>
              </w:rPr>
              <w:t> </w:t>
            </w:r>
          </w:p>
        </w:tc>
      </w:tr>
      <w:tr w:rsidR="0054398B" w:rsidRPr="00C114A8" w14:paraId="3FC1DA7D" w14:textId="77777777" w:rsidTr="0CDBF178">
        <w:tc>
          <w:tcPr>
            <w:tcW w:w="2250" w:type="dxa"/>
            <w:tcBorders>
              <w:bottom w:val="nil"/>
            </w:tcBorders>
          </w:tcPr>
          <w:p w14:paraId="59070190" w14:textId="77777777" w:rsidR="0054398B" w:rsidRDefault="0054398B" w:rsidP="006D2776">
            <w:pPr>
              <w:pStyle w:val="TableBody"/>
            </w:pPr>
            <w:r>
              <w:t>Reduced environmental and health impacts from open dumps to managed systems</w:t>
            </w:r>
          </w:p>
        </w:tc>
        <w:tc>
          <w:tcPr>
            <w:tcW w:w="3060" w:type="dxa"/>
            <w:tcBorders>
              <w:bottom w:val="nil"/>
            </w:tcBorders>
          </w:tcPr>
          <w:p w14:paraId="7CD3CAB3" w14:textId="77777777" w:rsidR="0054398B" w:rsidRPr="00640339" w:rsidRDefault="0054398B" w:rsidP="006D2776">
            <w:pPr>
              <w:pStyle w:val="TableBody"/>
            </w:pPr>
            <w:r>
              <w:t>$115/ton of unmanaged waste transitioned to managed pathways</w:t>
            </w:r>
          </w:p>
        </w:tc>
        <w:tc>
          <w:tcPr>
            <w:tcW w:w="4050" w:type="dxa"/>
            <w:tcBorders>
              <w:bottom w:val="nil"/>
            </w:tcBorders>
          </w:tcPr>
          <w:p w14:paraId="6414299D" w14:textId="413EF4B4" w:rsidR="0054398B" w:rsidRDefault="0CDBF178" w:rsidP="006D2776">
            <w:pPr>
              <w:pStyle w:val="TableBody"/>
            </w:pPr>
            <w:r>
              <w:t xml:space="preserve">Wilson et al. (2015) </w:t>
            </w:r>
            <w:proofErr w:type="gramStart"/>
            <w:r>
              <w:t>suggest</w:t>
            </w:r>
            <w:proofErr w:type="gramEnd"/>
            <w:r>
              <w:t xml:space="preserve"> a “conservative” cost of $20-50/capita/year from unmanaged waste and describe an average waste of 220 kg/capita/year among the poorest. We calculate costs assuming $20/capita and 0.22 ton/capita, adjusted from 2015 to 2019 dollars.</w:t>
            </w:r>
          </w:p>
          <w:p w14:paraId="748D5E26" w14:textId="77777777" w:rsidR="0054398B" w:rsidRDefault="0054398B" w:rsidP="006D2776">
            <w:pPr>
              <w:pStyle w:val="TableBody"/>
            </w:pPr>
          </w:p>
          <w:p w14:paraId="6E61CA25" w14:textId="77777777" w:rsidR="0054398B" w:rsidRDefault="0054398B" w:rsidP="006D2776">
            <w:pPr>
              <w:pStyle w:val="TableBody"/>
            </w:pPr>
          </w:p>
          <w:p w14:paraId="3894CE79" w14:textId="77777777" w:rsidR="0054398B" w:rsidRDefault="0054398B" w:rsidP="006D2776">
            <w:pPr>
              <w:pStyle w:val="TableBody"/>
            </w:pPr>
          </w:p>
        </w:tc>
      </w:tr>
      <w:tr w:rsidR="0054398B" w:rsidRPr="00C114A8" w14:paraId="09292C9D" w14:textId="77777777" w:rsidTr="0CDBF178">
        <w:tc>
          <w:tcPr>
            <w:tcW w:w="2250" w:type="dxa"/>
            <w:tcBorders>
              <w:top w:val="nil"/>
              <w:bottom w:val="single" w:sz="4" w:space="0" w:color="auto"/>
            </w:tcBorders>
          </w:tcPr>
          <w:p w14:paraId="357E2241" w14:textId="77777777" w:rsidR="0054398B" w:rsidRDefault="0054398B" w:rsidP="006D2776">
            <w:pPr>
              <w:pStyle w:val="TableBody"/>
            </w:pPr>
            <w:r>
              <w:t>Value of CH4 captured in landfills and used for energy</w:t>
            </w:r>
          </w:p>
        </w:tc>
        <w:tc>
          <w:tcPr>
            <w:tcW w:w="3060" w:type="dxa"/>
            <w:tcBorders>
              <w:top w:val="nil"/>
              <w:bottom w:val="single" w:sz="4" w:space="0" w:color="auto"/>
            </w:tcBorders>
          </w:tcPr>
          <w:p w14:paraId="42F4D4E8" w14:textId="77777777" w:rsidR="0054398B" w:rsidRDefault="0054398B" w:rsidP="006D2776">
            <w:pPr>
              <w:pStyle w:val="TableBody"/>
            </w:pPr>
            <w:r>
              <w:t>Endogenously assessed in the energy model</w:t>
            </w:r>
          </w:p>
        </w:tc>
        <w:tc>
          <w:tcPr>
            <w:tcW w:w="4050" w:type="dxa"/>
            <w:tcBorders>
              <w:top w:val="nil"/>
              <w:bottom w:val="single" w:sz="4" w:space="0" w:color="auto"/>
            </w:tcBorders>
          </w:tcPr>
          <w:p w14:paraId="45989216" w14:textId="77777777" w:rsidR="0054398B" w:rsidRPr="00FE67B4" w:rsidRDefault="0054398B" w:rsidP="006D2776">
            <w:pPr>
              <w:pStyle w:val="TableBody"/>
            </w:pPr>
          </w:p>
        </w:tc>
      </w:tr>
    </w:tbl>
    <w:p w14:paraId="7AE6993C" w14:textId="77777777" w:rsidR="00812709" w:rsidRPr="00812709" w:rsidRDefault="00812709" w:rsidP="00667AB2">
      <w:pPr>
        <w:ind w:firstLine="0"/>
      </w:pPr>
    </w:p>
    <w:p w14:paraId="61151AB8" w14:textId="77777777" w:rsidR="00F640BA" w:rsidRPr="00F640BA" w:rsidRDefault="00F640BA" w:rsidP="00F640BA"/>
    <w:p w14:paraId="7D2BFC98" w14:textId="0C325CDD" w:rsidR="00F640BA" w:rsidRPr="00F640BA" w:rsidRDefault="00F640BA" w:rsidP="00F640BA"/>
    <w:p w14:paraId="79AB84F3" w14:textId="77777777" w:rsidR="00423611" w:rsidRPr="00423611" w:rsidRDefault="00423611" w:rsidP="00423611"/>
    <w:p w14:paraId="4208FC5E" w14:textId="2D16BCD7" w:rsidR="00186E11" w:rsidRDefault="00186E11">
      <w:pPr>
        <w:rPr>
          <w:rFonts w:ascii="Arial" w:hAnsi="Arial"/>
          <w:sz w:val="32"/>
          <w:szCs w:val="20"/>
        </w:rPr>
      </w:pPr>
    </w:p>
    <w:p w14:paraId="0E38F89E" w14:textId="23AE3E12" w:rsidR="00932D81" w:rsidRDefault="00932D81">
      <w:pPr>
        <w:rPr>
          <w:rFonts w:ascii="Arial" w:hAnsi="Arial"/>
          <w:sz w:val="32"/>
          <w:szCs w:val="20"/>
        </w:rPr>
      </w:pPr>
      <w:r>
        <w:br w:type="page"/>
      </w:r>
    </w:p>
    <w:p w14:paraId="35D2A7F4" w14:textId="25677D27" w:rsidR="003177FC" w:rsidRPr="00A61DF4" w:rsidRDefault="00514188" w:rsidP="003177FC">
      <w:pPr>
        <w:pStyle w:val="Heading1"/>
      </w:pPr>
      <w:bookmarkStart w:id="106" w:name="_Toc152088268"/>
      <w:r w:rsidRPr="00A61DF4">
        <w:t>References</w:t>
      </w:r>
      <w:bookmarkEnd w:id="106"/>
    </w:p>
    <w:p w14:paraId="6AE6D1C6" w14:textId="2FD36455" w:rsidR="00A64B74" w:rsidRDefault="7654BBD9">
      <w:pPr>
        <w:pStyle w:val="BibEntry"/>
      </w:pPr>
      <w:r>
        <w:t xml:space="preserve">Allwood, J. M. 2013. 1986. “Transitions to material efficiency in the UK steel economy.” </w:t>
      </w:r>
      <w:r w:rsidRPr="00667429">
        <w:rPr>
          <w:i/>
          <w:iCs/>
        </w:rPr>
        <w:t>Philosophical Transactions of the Royal Society A: Mathematical, Physical and Engineering Sciences</w:t>
      </w:r>
      <w:r>
        <w:t>, 371: 20110577.</w:t>
      </w:r>
    </w:p>
    <w:p w14:paraId="11CAC591" w14:textId="2FD20661" w:rsidR="00AD4DF3" w:rsidRDefault="48B0C125" w:rsidP="48B0C125">
      <w:pPr>
        <w:pStyle w:val="BibEntry"/>
      </w:pPr>
      <w:r>
        <w:t>A</w:t>
      </w:r>
      <w:r w:rsidR="7654BBD9">
        <w:t>AA</w:t>
      </w:r>
      <w:r>
        <w:t xml:space="preserve">. 2019. “Your </w:t>
      </w:r>
      <w:r w:rsidR="7654BBD9">
        <w:t>d</w:t>
      </w:r>
      <w:r>
        <w:t xml:space="preserve">riving </w:t>
      </w:r>
      <w:r w:rsidR="7654BBD9">
        <w:t>c</w:t>
      </w:r>
      <w:r>
        <w:t xml:space="preserve">osts: How </w:t>
      </w:r>
      <w:r w:rsidR="7654BBD9">
        <w:t>m</w:t>
      </w:r>
      <w:r>
        <w:t xml:space="preserve">uch </w:t>
      </w:r>
      <w:r w:rsidR="7654BBD9">
        <w:t>a</w:t>
      </w:r>
      <w:r>
        <w:t xml:space="preserve">re </w:t>
      </w:r>
      <w:r w:rsidR="7654BBD9">
        <w:t>y</w:t>
      </w:r>
      <w:r>
        <w:t xml:space="preserve">ou </w:t>
      </w:r>
      <w:r w:rsidR="7654BBD9">
        <w:t>r</w:t>
      </w:r>
      <w:r>
        <w:t xml:space="preserve">eally </w:t>
      </w:r>
      <w:r w:rsidR="7654BBD9">
        <w:t>p</w:t>
      </w:r>
      <w:r>
        <w:t xml:space="preserve">aying to </w:t>
      </w:r>
      <w:r w:rsidR="7654BBD9">
        <w:t>d</w:t>
      </w:r>
      <w:r>
        <w:t xml:space="preserve">rive?” </w:t>
      </w:r>
    </w:p>
    <w:p w14:paraId="0BAFE771" w14:textId="4EE4D171" w:rsidR="03757DE5" w:rsidRDefault="48B0C125">
      <w:pPr>
        <w:pStyle w:val="BibEntry"/>
      </w:pPr>
      <w:r>
        <w:t xml:space="preserve">Ančić, I., Vladimir, N., and Luttenberger, L.R. 2018. “Energy efficiency of ro-ro passenger ships with integrated power systems.” </w:t>
      </w:r>
      <w:r w:rsidRPr="00667429">
        <w:rPr>
          <w:i/>
          <w:iCs/>
        </w:rPr>
        <w:t>Ocean Engineering</w:t>
      </w:r>
      <w:r>
        <w:t>, 166:350-357.</w:t>
      </w:r>
    </w:p>
    <w:p w14:paraId="3D060A45" w14:textId="28B4144D" w:rsidR="00717E8D" w:rsidRPr="009672C9" w:rsidRDefault="48B0C125" w:rsidP="48B0C125">
      <w:pPr>
        <w:pStyle w:val="BibEntry"/>
        <w:rPr>
          <w:rFonts w:eastAsia="Arial"/>
          <w:lang w:val="pt-BR"/>
        </w:rPr>
      </w:pPr>
      <w:r w:rsidRPr="00667429">
        <w:t xml:space="preserve">Antalová, V., &amp; Haluš, S.S.M. </w:t>
      </w:r>
      <w:r>
        <w:t xml:space="preserve">2020. Estimating shadow prices of wastewater pollutants in Slovakia. </w:t>
      </w:r>
      <w:proofErr w:type="spellStart"/>
      <w:r w:rsidRPr="00667429">
        <w:rPr>
          <w:i/>
          <w:iCs/>
          <w:lang w:val="pt-BR"/>
        </w:rPr>
        <w:t>Ekonomický</w:t>
      </w:r>
      <w:proofErr w:type="spellEnd"/>
      <w:r w:rsidRPr="00667429">
        <w:rPr>
          <w:i/>
          <w:iCs/>
          <w:lang w:val="pt-BR"/>
        </w:rPr>
        <w:t xml:space="preserve"> </w:t>
      </w:r>
      <w:proofErr w:type="spellStart"/>
      <w:r w:rsidRPr="00667429">
        <w:rPr>
          <w:i/>
          <w:iCs/>
          <w:lang w:val="pt-BR"/>
        </w:rPr>
        <w:t>časopis</w:t>
      </w:r>
      <w:proofErr w:type="spellEnd"/>
      <w:r w:rsidRPr="48B0C125">
        <w:rPr>
          <w:lang w:val="pt-BR"/>
        </w:rPr>
        <w:t xml:space="preserve"> </w:t>
      </w:r>
      <w:r w:rsidRPr="00667429">
        <w:rPr>
          <w:lang w:val="pt-BR"/>
        </w:rPr>
        <w:t>[</w:t>
      </w:r>
      <w:r w:rsidRPr="00667429">
        <w:rPr>
          <w:i/>
          <w:iCs/>
          <w:lang w:val="pt-BR"/>
        </w:rPr>
        <w:t xml:space="preserve">Journal </w:t>
      </w:r>
      <w:proofErr w:type="spellStart"/>
      <w:r w:rsidRPr="00667429">
        <w:rPr>
          <w:i/>
          <w:iCs/>
          <w:lang w:val="pt-BR"/>
        </w:rPr>
        <w:t>of</w:t>
      </w:r>
      <w:proofErr w:type="spellEnd"/>
      <w:r w:rsidRPr="00667429">
        <w:rPr>
          <w:i/>
          <w:iCs/>
          <w:lang w:val="pt-BR"/>
        </w:rPr>
        <w:t xml:space="preserve"> Economics</w:t>
      </w:r>
      <w:r w:rsidRPr="00667429">
        <w:rPr>
          <w:lang w:val="pt-BR"/>
        </w:rPr>
        <w:t>]</w:t>
      </w:r>
      <w:r w:rsidRPr="48B0C125">
        <w:rPr>
          <w:lang w:val="pt-BR"/>
        </w:rPr>
        <w:t>, 68(2): 134-146.</w:t>
      </w:r>
    </w:p>
    <w:p w14:paraId="0F6AC58C" w14:textId="6FD44D2C" w:rsidR="00F42681" w:rsidRDefault="48B0C125" w:rsidP="48B0C125">
      <w:pPr>
        <w:pStyle w:val="BibEntry"/>
        <w:rPr>
          <w:rFonts w:eastAsia="Arial"/>
        </w:rPr>
      </w:pPr>
      <w:r w:rsidRPr="48B0C125">
        <w:rPr>
          <w:rFonts w:eastAsia="Arial"/>
          <w:lang w:val="pt-BR"/>
        </w:rPr>
        <w:t xml:space="preserve">Antunes, M., Santos, R.L., Pereira, J., Rocha, P., Horta, R.B., and Colaço, R. 2021. </w:t>
      </w:r>
      <w:r w:rsidRPr="48B0C125">
        <w:rPr>
          <w:rFonts w:eastAsia="Arial"/>
        </w:rPr>
        <w:t xml:space="preserve">"Alternative </w:t>
      </w:r>
      <w:r w:rsidRPr="00667429">
        <w:rPr>
          <w:rFonts w:eastAsia="Arial"/>
        </w:rPr>
        <w:t>c</w:t>
      </w:r>
      <w:r w:rsidRPr="48B0C125">
        <w:rPr>
          <w:rFonts w:eastAsia="Arial"/>
        </w:rPr>
        <w:t xml:space="preserve">linker </w:t>
      </w:r>
      <w:r w:rsidRPr="00667429">
        <w:rPr>
          <w:rFonts w:eastAsia="Arial"/>
        </w:rPr>
        <w:t>t</w:t>
      </w:r>
      <w:r w:rsidRPr="48B0C125">
        <w:rPr>
          <w:rFonts w:eastAsia="Arial"/>
        </w:rPr>
        <w:t xml:space="preserve">echnologies for </w:t>
      </w:r>
      <w:r w:rsidRPr="00667429">
        <w:rPr>
          <w:rFonts w:eastAsia="Arial"/>
        </w:rPr>
        <w:t>r</w:t>
      </w:r>
      <w:r w:rsidRPr="48B0C125">
        <w:rPr>
          <w:rFonts w:eastAsia="Arial"/>
        </w:rPr>
        <w:t xml:space="preserve">educing </w:t>
      </w:r>
      <w:r w:rsidRPr="00667429">
        <w:rPr>
          <w:rFonts w:eastAsia="Arial"/>
        </w:rPr>
        <w:t>c</w:t>
      </w:r>
      <w:r w:rsidRPr="48B0C125">
        <w:rPr>
          <w:rFonts w:eastAsia="Arial"/>
        </w:rPr>
        <w:t xml:space="preserve">arbon </w:t>
      </w:r>
      <w:r w:rsidRPr="00667429">
        <w:rPr>
          <w:rFonts w:eastAsia="Arial"/>
        </w:rPr>
        <w:t>e</w:t>
      </w:r>
      <w:r w:rsidRPr="48B0C125">
        <w:rPr>
          <w:rFonts w:eastAsia="Arial"/>
        </w:rPr>
        <w:t xml:space="preserve">missions in </w:t>
      </w:r>
      <w:r w:rsidRPr="00667429">
        <w:rPr>
          <w:rFonts w:eastAsia="Arial"/>
        </w:rPr>
        <w:t>c</w:t>
      </w:r>
      <w:r w:rsidRPr="48B0C125">
        <w:rPr>
          <w:rFonts w:eastAsia="Arial"/>
        </w:rPr>
        <w:t xml:space="preserve">ement </w:t>
      </w:r>
      <w:r w:rsidRPr="00667429">
        <w:rPr>
          <w:rFonts w:eastAsia="Arial"/>
        </w:rPr>
        <w:t>i</w:t>
      </w:r>
      <w:r w:rsidRPr="48B0C125">
        <w:rPr>
          <w:rFonts w:eastAsia="Arial"/>
        </w:rPr>
        <w:t xml:space="preserve">ndustry: A Critical Review." </w:t>
      </w:r>
      <w:r w:rsidRPr="00667429">
        <w:rPr>
          <w:rFonts w:eastAsia="Arial"/>
          <w:i/>
          <w:iCs/>
        </w:rPr>
        <w:t>Materials</w:t>
      </w:r>
      <w:r w:rsidRPr="48B0C125">
        <w:rPr>
          <w:rFonts w:eastAsia="Arial"/>
        </w:rPr>
        <w:t xml:space="preserve"> 15</w:t>
      </w:r>
      <w:r w:rsidRPr="00667429">
        <w:rPr>
          <w:rFonts w:eastAsia="Arial"/>
        </w:rPr>
        <w:t>(</w:t>
      </w:r>
      <w:r w:rsidRPr="48B0C125">
        <w:rPr>
          <w:rFonts w:eastAsia="Arial"/>
        </w:rPr>
        <w:t>1): 209.</w:t>
      </w:r>
    </w:p>
    <w:p w14:paraId="44916AD2" w14:textId="4562135C" w:rsidR="00926D08" w:rsidRDefault="48B0C125">
      <w:pPr>
        <w:pStyle w:val="BibEntry"/>
      </w:pPr>
      <w:r>
        <w:t xml:space="preserve">Association of American Railroads. 2023. </w:t>
      </w:r>
      <w:r w:rsidRPr="00667429">
        <w:rPr>
          <w:i/>
          <w:iCs/>
        </w:rPr>
        <w:t>Facts and Figures</w:t>
      </w:r>
      <w:r>
        <w:t>. Retrieved July 4, 2023. https://www.aar.org/facts-figures</w:t>
      </w:r>
    </w:p>
    <w:p w14:paraId="4DEB4482" w14:textId="223C4BD1" w:rsidR="000669CE" w:rsidRDefault="48B0C125">
      <w:pPr>
        <w:pStyle w:val="BibEntry"/>
      </w:pPr>
      <w:r>
        <w:t>Baik, Y., Hensley, R., Hertzke, P., and </w:t>
      </w:r>
      <w:proofErr w:type="spellStart"/>
      <w:r>
        <w:t>Knupfer</w:t>
      </w:r>
      <w:proofErr w:type="spellEnd"/>
      <w:r>
        <w:t>, S. 2019. “Making electric vehicles profitable.” McKinsey.com March 8, 2019. https://www.mckinsey.com/industries/automotive-and-assembly/our-insights/making-electric-vehicles-profitable</w:t>
      </w:r>
    </w:p>
    <w:p w14:paraId="0E23EFC5" w14:textId="1C08C594" w:rsidR="00AD34F2" w:rsidRDefault="48B0C125" w:rsidP="48B0C125">
      <w:pPr>
        <w:pStyle w:val="BibEntry"/>
      </w:pPr>
      <w:proofErr w:type="spellStart"/>
      <w:r w:rsidRPr="00667429">
        <w:t>Brichetti</w:t>
      </w:r>
      <w:proofErr w:type="spellEnd"/>
      <w:r w:rsidRPr="00667429">
        <w:t xml:space="preserve">, J.P., Mastronardi, L., Rivas, M.E., </w:t>
      </w:r>
      <w:proofErr w:type="spellStart"/>
      <w:r w:rsidRPr="00667429">
        <w:t>Serebrisky</w:t>
      </w:r>
      <w:proofErr w:type="spellEnd"/>
      <w:r w:rsidRPr="00667429">
        <w:t xml:space="preserve">, T., and Solís, B. 2021. </w:t>
      </w:r>
      <w:r>
        <w:t xml:space="preserve">"The infrastructure gap in Latin America and the Caribbean: </w:t>
      </w:r>
      <w:r w:rsidRPr="00667429">
        <w:t>I</w:t>
      </w:r>
      <w:r>
        <w:t>nvestment needed through 2030 to meet the sustainable development goals."</w:t>
      </w:r>
      <w:r w:rsidR="005C0F89">
        <w:t xml:space="preserve"> </w:t>
      </w:r>
      <w:r w:rsidR="005C0F89" w:rsidRPr="005C0F89">
        <w:rPr>
          <w:i/>
          <w:iCs/>
        </w:rPr>
        <w:t>Inter-American Development</w:t>
      </w:r>
      <w:r w:rsidR="005C0F89">
        <w:rPr>
          <w:i/>
          <w:iCs/>
        </w:rPr>
        <w:t xml:space="preserve"> </w:t>
      </w:r>
      <w:r w:rsidR="005C0F89" w:rsidRPr="005C0F89">
        <w:rPr>
          <w:i/>
          <w:iCs/>
        </w:rPr>
        <w:t>Bank. Infrastructure and Energy Sector</w:t>
      </w:r>
      <w:r w:rsidR="005C0F89" w:rsidRPr="005C0F89">
        <w:t>.  VII. Serie. IDB-MG-962</w:t>
      </w:r>
    </w:p>
    <w:p w14:paraId="73360A99" w14:textId="42924BAC" w:rsidR="00916DF1" w:rsidRPr="00241EE3" w:rsidRDefault="48B0C125" w:rsidP="48B0C125">
      <w:pPr>
        <w:pStyle w:val="BibEntry"/>
        <w:rPr>
          <w:rFonts w:eastAsia="Arial"/>
        </w:rPr>
      </w:pPr>
      <w:r w:rsidRPr="48B0C125">
        <w:rPr>
          <w:rFonts w:eastAsia="Arial"/>
        </w:rPr>
        <w:t xml:space="preserve">Brynolf, S., Fridell, E., and Andersson, K. 2014. Environmental assessment of marine fuels: liquefied natural gas, liquefied biogas, </w:t>
      </w:r>
      <w:proofErr w:type="gramStart"/>
      <w:r w:rsidRPr="48B0C125">
        <w:rPr>
          <w:rFonts w:eastAsia="Arial"/>
        </w:rPr>
        <w:t>methanol</w:t>
      </w:r>
      <w:proofErr w:type="gramEnd"/>
      <w:r w:rsidRPr="48B0C125">
        <w:rPr>
          <w:rFonts w:eastAsia="Arial"/>
        </w:rPr>
        <w:t xml:space="preserve"> and bio-methanol. </w:t>
      </w:r>
      <w:r w:rsidRPr="00667429">
        <w:rPr>
          <w:rFonts w:eastAsia="Arial"/>
          <w:i/>
          <w:iCs/>
        </w:rPr>
        <w:t>Journal of Cleaner Production</w:t>
      </w:r>
      <w:r w:rsidRPr="48B0C125">
        <w:rPr>
          <w:rFonts w:eastAsia="Arial"/>
        </w:rPr>
        <w:t xml:space="preserve"> 74:86-95.</w:t>
      </w:r>
    </w:p>
    <w:p w14:paraId="6B7CEE69" w14:textId="0A4C43F2" w:rsidR="003C1A01" w:rsidRDefault="7654BBD9">
      <w:pPr>
        <w:pStyle w:val="BibEntry"/>
      </w:pPr>
      <w:r>
        <w:t xml:space="preserve">BTS (Bureau of Transportation Statistics). </w:t>
      </w:r>
      <w:r w:rsidRPr="7654BBD9">
        <w:t>Average Age of Automobiles and Trucks in Operation in the United States</w:t>
      </w:r>
      <w:r>
        <w:t xml:space="preserve"> (undated). https://www.bts.gov/content/average-age-automobiles-and-trucks-operation-united-states</w:t>
      </w:r>
    </w:p>
    <w:p w14:paraId="13294AF1" w14:textId="3A013C13" w:rsidR="0084577E" w:rsidRDefault="65F79D52" w:rsidP="68F647D8">
      <w:pPr>
        <w:pStyle w:val="BibEntry"/>
      </w:pPr>
      <w:r>
        <w:t xml:space="preserve">Burke, A., Miller, M., Sinha, A., and Fulton, L. 2022. </w:t>
      </w:r>
      <w:r w:rsidRPr="00667429">
        <w:rPr>
          <w:i/>
          <w:iCs/>
        </w:rPr>
        <w:t>Evaluation of the Economics of Battery-Electric and Fuel Cell Trucks and Buses: Methods, Issues, and Results</w:t>
      </w:r>
      <w:r>
        <w:t>. University of California, Davis research report.</w:t>
      </w:r>
    </w:p>
    <w:p w14:paraId="39882110" w14:textId="7C28C071" w:rsidR="00540C76" w:rsidRDefault="65F79D52" w:rsidP="65F79D52">
      <w:pPr>
        <w:pStyle w:val="BibEntry"/>
      </w:pPr>
      <w:r>
        <w:t xml:space="preserve">Byers, L., Friedrich, J., Hennig, R., </w:t>
      </w:r>
      <w:proofErr w:type="spellStart"/>
      <w:r>
        <w:t>Kressig</w:t>
      </w:r>
      <w:proofErr w:type="spellEnd"/>
      <w:r>
        <w:t xml:space="preserve">, A., Li, X., McCormick, C. O. L. I. N., and Valeri, L.M. 2018. A global database of power plants. </w:t>
      </w:r>
      <w:r w:rsidRPr="00667429">
        <w:rPr>
          <w:i/>
          <w:iCs/>
        </w:rPr>
        <w:t>World Resources Institute</w:t>
      </w:r>
      <w:r>
        <w:t xml:space="preserve"> 18.</w:t>
      </w:r>
    </w:p>
    <w:p w14:paraId="2E583B0E" w14:textId="5CA1D810" w:rsidR="008B1930" w:rsidRDefault="68F647D8" w:rsidP="68F647D8">
      <w:pPr>
        <w:pStyle w:val="BibEntry"/>
      </w:pPr>
      <w:r>
        <w:t xml:space="preserve">Carlo, R., Marc, B.J., de la Fuente Santiago, S., Smith, T., and Søgaard, K. 2020. </w:t>
      </w:r>
      <w:r w:rsidRPr="00667429">
        <w:rPr>
          <w:i/>
          <w:iCs/>
        </w:rPr>
        <w:t xml:space="preserve">Aggregate Investment for the </w:t>
      </w:r>
      <w:proofErr w:type="spellStart"/>
      <w:r w:rsidRPr="00667429">
        <w:rPr>
          <w:i/>
          <w:iCs/>
        </w:rPr>
        <w:t>Decarbonisation</w:t>
      </w:r>
      <w:proofErr w:type="spellEnd"/>
      <w:r w:rsidRPr="00667429">
        <w:rPr>
          <w:i/>
          <w:iCs/>
        </w:rPr>
        <w:t xml:space="preserve"> of the Shipping Industry</w:t>
      </w:r>
      <w:r>
        <w:t>. London, UK: UMAS. https://www.globalmaritimeforum.org/content/2020/01/Aggregate-investment-for-the-decarbonisation-of-the-shipping-industry.pdf</w:t>
      </w:r>
    </w:p>
    <w:p w14:paraId="4356DB6B" w14:textId="5F512E16" w:rsidR="00881706" w:rsidRPr="00667429" w:rsidRDefault="68F647D8" w:rsidP="68F647D8">
      <w:pPr>
        <w:pStyle w:val="BibEntry"/>
      </w:pPr>
      <w:r>
        <w:t xml:space="preserve">Chakraborty, D., Ladha, J.K., Rana, D.S., Jat, M.L., </w:t>
      </w:r>
      <w:proofErr w:type="spellStart"/>
      <w:r>
        <w:t>Gathala</w:t>
      </w:r>
      <w:proofErr w:type="spellEnd"/>
      <w:r>
        <w:t xml:space="preserve">, M.K., Yadav, S., et al. 2017. “A global analysis of alternative tillage and crop establishment practices for economically and environmentally efficient rice production.” </w:t>
      </w:r>
      <w:r w:rsidRPr="00667429">
        <w:rPr>
          <w:i/>
          <w:iCs/>
        </w:rPr>
        <w:t>Scientific Reports</w:t>
      </w:r>
      <w:r w:rsidRPr="00667429">
        <w:t xml:space="preserve"> 7(1)</w:t>
      </w:r>
      <w:r>
        <w:t>:</w:t>
      </w:r>
      <w:r w:rsidRPr="00667429">
        <w:t xml:space="preserve"> 1-11.</w:t>
      </w:r>
    </w:p>
    <w:p w14:paraId="77098B7F" w14:textId="54C252B3" w:rsidR="00C82332" w:rsidRDefault="68F647D8" w:rsidP="68F647D8">
      <w:pPr>
        <w:pStyle w:val="BibEntry"/>
      </w:pPr>
      <w:r w:rsidRPr="00667429">
        <w:t xml:space="preserve">Chirinda, N., Arenas, L., </w:t>
      </w:r>
      <w:proofErr w:type="spellStart"/>
      <w:r w:rsidRPr="00667429">
        <w:t>Katto</w:t>
      </w:r>
      <w:proofErr w:type="spellEnd"/>
      <w:r w:rsidRPr="00667429">
        <w:t xml:space="preserve">, M., Loaiza, S., Correa, F., </w:t>
      </w:r>
      <w:proofErr w:type="spellStart"/>
      <w:r w:rsidRPr="00667429">
        <w:t>Isthitani</w:t>
      </w:r>
      <w:proofErr w:type="spellEnd"/>
      <w:r w:rsidRPr="00667429">
        <w:t xml:space="preserve">, M., </w:t>
      </w:r>
      <w:proofErr w:type="spellStart"/>
      <w:r w:rsidRPr="00667429">
        <w:t>Loboguerrero</w:t>
      </w:r>
      <w:proofErr w:type="spellEnd"/>
      <w:r w:rsidRPr="00667429">
        <w:t xml:space="preserve">, A.M., et al. 2018. </w:t>
      </w:r>
      <w:r>
        <w:t>"Sustainable and low greenhouse gas emitting rice production in Latin America and the Caribbean: A review on the transition from ideality to reality." </w:t>
      </w:r>
      <w:r w:rsidRPr="68F647D8">
        <w:rPr>
          <w:i/>
          <w:iCs/>
        </w:rPr>
        <w:t>Sustainability</w:t>
      </w:r>
      <w:r>
        <w:t> 10</w:t>
      </w:r>
      <w:r w:rsidRPr="00667429">
        <w:t>(</w:t>
      </w:r>
      <w:r>
        <w:t>3): 671.</w:t>
      </w:r>
    </w:p>
    <w:p w14:paraId="24170BBD" w14:textId="558F3928" w:rsidR="00887754" w:rsidRDefault="68F647D8" w:rsidP="00A459FF">
      <w:pPr>
        <w:pStyle w:val="BibEntry"/>
      </w:pPr>
      <w:r>
        <w:t xml:space="preserve">Climate Watch. 2022. Washington, DC: World Resources Institute. </w:t>
      </w:r>
      <w:hyperlink r:id="rId29">
        <w:r w:rsidRPr="68F647D8">
          <w:rPr>
            <w:rStyle w:val="Hyperlink"/>
          </w:rPr>
          <w:t>www.climatewatchdata.org</w:t>
        </w:r>
      </w:hyperlink>
    </w:p>
    <w:p w14:paraId="2B2B59A7" w14:textId="5415E6AF" w:rsidR="1F9E299B" w:rsidRPr="00560F69" w:rsidRDefault="68F647D8">
      <w:pPr>
        <w:pStyle w:val="BibEntry"/>
      </w:pPr>
      <w:r w:rsidRPr="00667429">
        <w:rPr>
          <w:lang w:val="es-MX"/>
        </w:rPr>
        <w:t xml:space="preserve">Correal, M., </w:t>
      </w:r>
      <w:proofErr w:type="spellStart"/>
      <w:r w:rsidRPr="00667429">
        <w:rPr>
          <w:lang w:val="es-MX"/>
        </w:rPr>
        <w:t>Rihm</w:t>
      </w:r>
      <w:proofErr w:type="spellEnd"/>
      <w:r w:rsidRPr="00667429">
        <w:rPr>
          <w:lang w:val="es-MX"/>
        </w:rPr>
        <w:t xml:space="preserve">, A., and Zambrano, M. 2023. </w:t>
      </w:r>
      <w:r w:rsidRPr="68F647D8">
        <w:rPr>
          <w:lang w:val="es-MX"/>
        </w:rPr>
        <w:t>"Sostenibilidad financiera de la gestión de residuos sólidos en América Latina y el Caribe."</w:t>
      </w:r>
      <w:r w:rsidR="00853C1E" w:rsidRPr="00853C1E">
        <w:rPr>
          <w:lang w:val="es-MX"/>
        </w:rPr>
        <w:t xml:space="preserve"> </w:t>
      </w:r>
      <w:r w:rsidR="00853C1E" w:rsidRPr="00853C1E">
        <w:rPr>
          <w:i/>
          <w:iCs/>
          <w:lang w:val="es-MX"/>
        </w:rPr>
        <w:t>Banco Interamericano de Desarrollo. División de Agua y Saneamiento</w:t>
      </w:r>
      <w:r w:rsidR="00853C1E" w:rsidRPr="00853C1E">
        <w:rPr>
          <w:lang w:val="es-MX"/>
        </w:rPr>
        <w:t xml:space="preserve">. Serie. </w:t>
      </w:r>
      <w:r w:rsidR="00853C1E" w:rsidRPr="00560F69">
        <w:t>IDB - TN - 2663</w:t>
      </w:r>
    </w:p>
    <w:p w14:paraId="09FD190E" w14:textId="0D5AD2F1" w:rsidR="00B6380A" w:rsidRDefault="68F647D8" w:rsidP="68F647D8">
      <w:pPr>
        <w:pStyle w:val="BibEntry"/>
      </w:pPr>
      <w:r>
        <w:t xml:space="preserve">Costanza, R., De Groot, R., Sutton, P., Van der Ploeg, S., Anderson, S.J., Kubiszewski, I., Farber, S., and Turner, R.K. 2014. "Changes in the global value of ecosystem services." </w:t>
      </w:r>
      <w:r w:rsidRPr="00667429">
        <w:rPr>
          <w:i/>
          <w:iCs/>
        </w:rPr>
        <w:t>Global Environmental Change</w:t>
      </w:r>
      <w:r>
        <w:t xml:space="preserve"> 26: 152-158.</w:t>
      </w:r>
    </w:p>
    <w:p w14:paraId="6B65DF3A" w14:textId="56056101" w:rsidR="03757DE5" w:rsidRDefault="7654BBD9">
      <w:pPr>
        <w:pStyle w:val="BibEntry"/>
      </w:pPr>
      <w:r>
        <w:t xml:space="preserve">Cui, D., Liang, S., Wang, D., and Liu, Z. 2021. “A 1 km global dataset of historical (1979–2013) and future (2020–2100) </w:t>
      </w:r>
      <w:proofErr w:type="spellStart"/>
      <w:r>
        <w:t>köppen</w:t>
      </w:r>
      <w:proofErr w:type="spellEnd"/>
      <w:r>
        <w:t>–</w:t>
      </w:r>
      <w:proofErr w:type="spellStart"/>
      <w:r>
        <w:t>geiger</w:t>
      </w:r>
      <w:proofErr w:type="spellEnd"/>
      <w:r>
        <w:t xml:space="preserve"> climate classification and bioclimatic variables.” </w:t>
      </w:r>
      <w:r w:rsidRPr="00667429">
        <w:rPr>
          <w:i/>
          <w:iCs/>
        </w:rPr>
        <w:t>Earth System Science Data</w:t>
      </w:r>
      <w:r>
        <w:t xml:space="preserve"> 13(11): 5087–5114.</w:t>
      </w:r>
    </w:p>
    <w:p w14:paraId="63C7B1A9" w14:textId="4232FC91" w:rsidR="004207B6" w:rsidRDefault="68F647D8">
      <w:pPr>
        <w:pStyle w:val="BibEntry"/>
      </w:pPr>
      <w:r>
        <w:t xml:space="preserve">Daudey, Loïc. 2018. "The cost of urban sanitation solutions: a literature review." </w:t>
      </w:r>
      <w:r w:rsidRPr="00667429">
        <w:rPr>
          <w:i/>
          <w:iCs/>
        </w:rPr>
        <w:t>Journal of Water, Sanitation and Hygiene for Development</w:t>
      </w:r>
      <w:r>
        <w:t xml:space="preserve"> 8(2): 176-195.</w:t>
      </w:r>
    </w:p>
    <w:p w14:paraId="53879C62" w14:textId="3B4649C6" w:rsidR="00241EE3" w:rsidRDefault="65F79D52" w:rsidP="65F79D52">
      <w:pPr>
        <w:pStyle w:val="BibEntry"/>
        <w:rPr>
          <w:rFonts w:eastAsia="Arial"/>
        </w:rPr>
      </w:pPr>
      <w:r w:rsidRPr="65F79D52">
        <w:rPr>
          <w:rFonts w:eastAsia="Arial"/>
        </w:rPr>
        <w:t xml:space="preserve">Delgado, O., </w:t>
      </w:r>
      <w:r w:rsidRPr="00667429">
        <w:t>Rodriguez</w:t>
      </w:r>
      <w:r w:rsidRPr="65F79D52">
        <w:rPr>
          <w:rFonts w:eastAsia="Arial"/>
        </w:rPr>
        <w:t xml:space="preserve">, F., and Muncrief, R. 2017. “Fuel efficiency technology in </w:t>
      </w:r>
      <w:proofErr w:type="spellStart"/>
      <w:r w:rsidRPr="65F79D52">
        <w:rPr>
          <w:rFonts w:eastAsia="Arial"/>
        </w:rPr>
        <w:t>Europeanheavy</w:t>
      </w:r>
      <w:proofErr w:type="spellEnd"/>
      <w:r w:rsidRPr="65F79D52">
        <w:rPr>
          <w:rFonts w:eastAsia="Arial"/>
        </w:rPr>
        <w:t xml:space="preserve">-duty vehicles: Baseline and potential for the </w:t>
      </w:r>
      <w:proofErr w:type="gramStart"/>
      <w:r w:rsidRPr="65F79D52">
        <w:rPr>
          <w:rFonts w:eastAsia="Arial"/>
        </w:rPr>
        <w:t>2020-2030 time</w:t>
      </w:r>
      <w:proofErr w:type="gramEnd"/>
      <w:r w:rsidRPr="65F79D52">
        <w:rPr>
          <w:rFonts w:eastAsia="Arial"/>
        </w:rPr>
        <w:t xml:space="preserve"> frame.” </w:t>
      </w:r>
      <w:r w:rsidRPr="00667429">
        <w:rPr>
          <w:rFonts w:eastAsia="Arial"/>
          <w:i/>
          <w:iCs/>
        </w:rPr>
        <w:t>Communications</w:t>
      </w:r>
      <w:r w:rsidRPr="65F79D52">
        <w:rPr>
          <w:rFonts w:eastAsia="Arial"/>
        </w:rPr>
        <w:t xml:space="preserve"> 49(30): 847129-848102.</w:t>
      </w:r>
    </w:p>
    <w:p w14:paraId="498FE4EA" w14:textId="159285AF" w:rsidR="000C01F7" w:rsidRPr="00241EE3" w:rsidRDefault="68F647D8" w:rsidP="68F647D8">
      <w:pPr>
        <w:pStyle w:val="BibEntry"/>
        <w:rPr>
          <w:rFonts w:eastAsia="Arial"/>
        </w:rPr>
      </w:pPr>
      <w:r w:rsidRPr="68F647D8">
        <w:rPr>
          <w:rFonts w:eastAsia="Arial"/>
        </w:rPr>
        <w:t xml:space="preserve">Dincer, I., </w:t>
      </w:r>
      <w:proofErr w:type="spellStart"/>
      <w:r w:rsidRPr="68F647D8">
        <w:rPr>
          <w:rFonts w:eastAsia="Arial"/>
        </w:rPr>
        <w:t>Hogerwaard</w:t>
      </w:r>
      <w:proofErr w:type="spellEnd"/>
      <w:r w:rsidRPr="68F647D8">
        <w:rPr>
          <w:rFonts w:eastAsia="Arial"/>
        </w:rPr>
        <w:t xml:space="preserve">, J., &amp; Zamfirescu, C. 2015. </w:t>
      </w:r>
      <w:r w:rsidRPr="00667429">
        <w:rPr>
          <w:rFonts w:eastAsia="Arial"/>
          <w:i/>
          <w:iCs/>
        </w:rPr>
        <w:t>Clean Rail Transportation Options</w:t>
      </w:r>
      <w:r w:rsidRPr="68F647D8">
        <w:rPr>
          <w:rFonts w:eastAsia="Arial"/>
        </w:rPr>
        <w:t>. Springer.</w:t>
      </w:r>
    </w:p>
    <w:p w14:paraId="7C6CEB7E" w14:textId="2318221C" w:rsidR="009F578F" w:rsidRDefault="68F647D8">
      <w:pPr>
        <w:pStyle w:val="BibEntry"/>
      </w:pPr>
      <w:r>
        <w:t xml:space="preserve">Dudley, B. 2019. “BP statistical review of world energy 2016.” </w:t>
      </w:r>
      <w:r w:rsidRPr="00667429">
        <w:rPr>
          <w:i/>
          <w:iCs/>
        </w:rPr>
        <w:t>British Petroleum Statistical Review of World Energy</w:t>
      </w:r>
      <w:r>
        <w:t xml:space="preserve">. UK: </w:t>
      </w:r>
      <w:proofErr w:type="spellStart"/>
      <w:r>
        <w:t>Pureprint</w:t>
      </w:r>
      <w:proofErr w:type="spellEnd"/>
      <w:r>
        <w:t xml:space="preserve"> Group Limited.</w:t>
      </w:r>
    </w:p>
    <w:p w14:paraId="1A1F9E64" w14:textId="6FDB59C4" w:rsidR="00842C97" w:rsidRPr="003229FC" w:rsidRDefault="7654BBD9">
      <w:pPr>
        <w:pStyle w:val="BibEntry"/>
      </w:pPr>
      <w:r w:rsidRPr="003229FC">
        <w:t xml:space="preserve">Ecola, L., and Wachs, M. 2012. "Exploring the relationship between travel demand and economic growth." </w:t>
      </w:r>
      <w:r w:rsidR="00C51D84" w:rsidRPr="003229FC">
        <w:rPr>
          <w:i/>
          <w:iCs/>
        </w:rPr>
        <w:t>National Academy of Sciences.</w:t>
      </w:r>
      <w:r w:rsidR="00C51D84" w:rsidRPr="003229FC">
        <w:t xml:space="preserve"> </w:t>
      </w:r>
    </w:p>
    <w:p w14:paraId="2B218D66" w14:textId="0C448BB5" w:rsidR="0068435A" w:rsidRDefault="65F79D52" w:rsidP="00667429">
      <w:pPr>
        <w:pStyle w:val="BibEntry"/>
      </w:pPr>
      <w:r w:rsidRPr="003229FC">
        <w:t xml:space="preserve">Ecola, L., Rohr, C., </w:t>
      </w:r>
      <w:proofErr w:type="spellStart"/>
      <w:r w:rsidRPr="003229FC">
        <w:t>Zmud</w:t>
      </w:r>
      <w:proofErr w:type="spellEnd"/>
      <w:r w:rsidRPr="003229FC">
        <w:t xml:space="preserve">, J., </w:t>
      </w:r>
      <w:proofErr w:type="spellStart"/>
      <w:r w:rsidRPr="003229FC">
        <w:t>Kuhnimhof</w:t>
      </w:r>
      <w:proofErr w:type="spellEnd"/>
      <w:r w:rsidRPr="003229FC">
        <w:t xml:space="preserve">, T., and </w:t>
      </w:r>
      <w:proofErr w:type="spellStart"/>
      <w:r w:rsidRPr="003229FC">
        <w:t>Phleps</w:t>
      </w:r>
      <w:proofErr w:type="spellEnd"/>
      <w:r w:rsidRPr="003229FC">
        <w:t xml:space="preserve">, P. 2014. </w:t>
      </w:r>
      <w:r w:rsidRPr="003229FC">
        <w:rPr>
          <w:i/>
          <w:iCs/>
        </w:rPr>
        <w:t>The Future of Driving in Developing Countries</w:t>
      </w:r>
      <w:r w:rsidRPr="003229FC">
        <w:t>. Santa Monica, CA: RAND Corporation. https://www.rand.org/pubs/research_reports/RR636.html.</w:t>
      </w:r>
    </w:p>
    <w:p w14:paraId="4120662A" w14:textId="7C76ECB8" w:rsidR="00147034" w:rsidRDefault="68F647D8" w:rsidP="68F647D8">
      <w:pPr>
        <w:pStyle w:val="BibEntry"/>
      </w:pPr>
      <w:proofErr w:type="spellStart"/>
      <w:r w:rsidRPr="68F647D8">
        <w:rPr>
          <w:lang w:val="es-MX"/>
        </w:rPr>
        <w:t>Eggleston</w:t>
      </w:r>
      <w:proofErr w:type="spellEnd"/>
      <w:r w:rsidRPr="68F647D8">
        <w:rPr>
          <w:lang w:val="es-MX"/>
        </w:rPr>
        <w:t xml:space="preserve">, H. S., </w:t>
      </w:r>
      <w:proofErr w:type="spellStart"/>
      <w:r w:rsidRPr="68F647D8">
        <w:rPr>
          <w:lang w:val="es-MX"/>
        </w:rPr>
        <w:t>Buendia</w:t>
      </w:r>
      <w:proofErr w:type="spellEnd"/>
      <w:r w:rsidRPr="68F647D8">
        <w:rPr>
          <w:lang w:val="es-MX"/>
        </w:rPr>
        <w:t xml:space="preserve">, L., </w:t>
      </w:r>
      <w:proofErr w:type="spellStart"/>
      <w:r w:rsidRPr="68F647D8">
        <w:rPr>
          <w:lang w:val="es-MX"/>
        </w:rPr>
        <w:t>Miwa</w:t>
      </w:r>
      <w:proofErr w:type="spellEnd"/>
      <w:r w:rsidRPr="68F647D8">
        <w:rPr>
          <w:lang w:val="es-MX"/>
        </w:rPr>
        <w:t xml:space="preserve">, K., </w:t>
      </w:r>
      <w:proofErr w:type="spellStart"/>
      <w:r w:rsidRPr="68F647D8">
        <w:rPr>
          <w:lang w:val="es-MX"/>
        </w:rPr>
        <w:t>Ngara</w:t>
      </w:r>
      <w:proofErr w:type="spellEnd"/>
      <w:r w:rsidRPr="68F647D8">
        <w:rPr>
          <w:lang w:val="es-MX"/>
        </w:rPr>
        <w:t xml:space="preserve">, T., and </w:t>
      </w:r>
      <w:proofErr w:type="spellStart"/>
      <w:r w:rsidRPr="68F647D8">
        <w:rPr>
          <w:lang w:val="es-MX"/>
        </w:rPr>
        <w:t>Tanabe</w:t>
      </w:r>
      <w:proofErr w:type="spellEnd"/>
      <w:r w:rsidRPr="68F647D8">
        <w:rPr>
          <w:lang w:val="es-MX"/>
        </w:rPr>
        <w:t xml:space="preserve">, K. </w:t>
      </w:r>
      <w:r w:rsidRPr="00667429">
        <w:rPr>
          <w:lang w:val="es-MX"/>
        </w:rPr>
        <w:t xml:space="preserve">2006. </w:t>
      </w:r>
      <w:r w:rsidRPr="00667429">
        <w:rPr>
          <w:i/>
          <w:iCs/>
        </w:rPr>
        <w:t>2006 IPCC Guidelines for National Greenhouse Gas Inventories</w:t>
      </w:r>
      <w:r>
        <w:t xml:space="preserve">. </w:t>
      </w:r>
      <w:r w:rsidRPr="00667429">
        <w:t>Japan</w:t>
      </w:r>
      <w:r>
        <w:t>: I</w:t>
      </w:r>
      <w:r w:rsidRPr="00667429">
        <w:t>GES</w:t>
      </w:r>
      <w:r>
        <w:t xml:space="preserve">. </w:t>
      </w:r>
    </w:p>
    <w:p w14:paraId="54D8F74C" w14:textId="0D1E4B40" w:rsidR="00A359EF" w:rsidRDefault="68F647D8" w:rsidP="00667429">
      <w:pPr>
        <w:pStyle w:val="BibEntry"/>
      </w:pPr>
      <w:r>
        <w:t>EI</w:t>
      </w:r>
      <w:r w:rsidR="7654BBD9">
        <w:t>A</w:t>
      </w:r>
      <w:r>
        <w:t xml:space="preserve"> (Energy Information Administration). </w:t>
      </w:r>
      <w:r w:rsidR="7654BBD9">
        <w:t xml:space="preserve">2022. </w:t>
      </w:r>
      <w:r w:rsidRPr="00667429">
        <w:rPr>
          <w:i/>
          <w:iCs/>
        </w:rPr>
        <w:t>Cost and Performance Characteristics of New Generating Technologies, Annual Energy Outlook 2022</w:t>
      </w:r>
      <w:r w:rsidR="7654BBD9">
        <w:t>.</w:t>
      </w:r>
      <w:r>
        <w:t xml:space="preserve"> March 2022. </w:t>
      </w:r>
    </w:p>
    <w:p w14:paraId="5C6D0A62" w14:textId="4D450657" w:rsidR="00B81AD9" w:rsidRDefault="7654BBD9" w:rsidP="7654BBD9">
      <w:pPr>
        <w:pStyle w:val="BibEntry"/>
      </w:pPr>
      <w:r>
        <w:t xml:space="preserve">EIA. 2015. </w:t>
      </w:r>
      <w:r w:rsidRPr="00667429">
        <w:rPr>
          <w:i/>
          <w:iCs/>
        </w:rPr>
        <w:t>Electric Generator Capacity Factors Vary Widely Across the World</w:t>
      </w:r>
      <w:r>
        <w:t xml:space="preserve">. September 2015.  </w:t>
      </w:r>
    </w:p>
    <w:p w14:paraId="131DF086" w14:textId="5EBD4015" w:rsidR="00DA340B" w:rsidRDefault="7654BBD9" w:rsidP="00A459FF">
      <w:pPr>
        <w:pStyle w:val="BibEntry"/>
      </w:pPr>
      <w:r>
        <w:t xml:space="preserve">EPA (Environmental Protection Agency). 2019. </w:t>
      </w:r>
      <w:r w:rsidRPr="00667429">
        <w:rPr>
          <w:i/>
          <w:iCs/>
        </w:rPr>
        <w:t>Global Non-CO2 Greenhouse Gas Emission Projections &amp; Marginal Abatement Cost Analysis: Methodology Documentation</w:t>
      </w:r>
      <w:r>
        <w:t>. EPA-430-R-19-012. September 2019.</w:t>
      </w:r>
    </w:p>
    <w:p w14:paraId="208A8D47" w14:textId="11E21852" w:rsidR="00C10FD6" w:rsidRDefault="65F79D52" w:rsidP="0098152C">
      <w:pPr>
        <w:pStyle w:val="BibEntry"/>
      </w:pPr>
      <w:r>
        <w:t xml:space="preserve">EPA. Non-CO2 Greenhouse Gas Data Tool (undated). </w:t>
      </w:r>
      <w:hyperlink r:id="rId30">
        <w:r w:rsidRPr="65F79D52">
          <w:rPr>
            <w:rStyle w:val="Hyperlink"/>
          </w:rPr>
          <w:t>https://cfpub.epa.gov/ghgdata/nonco2/</w:t>
        </w:r>
      </w:hyperlink>
    </w:p>
    <w:p w14:paraId="38EE146C" w14:textId="6BFEC927" w:rsidR="0778A98B" w:rsidRPr="003229FC" w:rsidRDefault="65F79D52" w:rsidP="0778A98B">
      <w:pPr>
        <w:pStyle w:val="BibEntry"/>
      </w:pPr>
      <w:r w:rsidRPr="003229FC">
        <w:t xml:space="preserve">ESMAP. 2020. </w:t>
      </w:r>
      <w:r w:rsidRPr="003229FC">
        <w:rPr>
          <w:i/>
          <w:iCs/>
        </w:rPr>
        <w:t>Global Photovoltaic Power Potential by Country</w:t>
      </w:r>
      <w:r w:rsidRPr="003229FC">
        <w:t>. Washington, DC: World Bank.</w:t>
      </w:r>
    </w:p>
    <w:p w14:paraId="5B2B4D59" w14:textId="34EBDD07" w:rsidR="00200AB9" w:rsidRPr="003229FC" w:rsidRDefault="68F647D8" w:rsidP="00200AB9">
      <w:pPr>
        <w:pStyle w:val="BibEntry"/>
      </w:pPr>
      <w:r w:rsidRPr="003229FC">
        <w:t xml:space="preserve">European Environment Agency. 2023. Occupancy Rates of Passenger Vehicles. </w:t>
      </w:r>
      <w:hyperlink r:id="rId31" w:history="1">
        <w:r w:rsidR="00BA1C57" w:rsidRPr="003229FC">
          <w:rPr>
            <w:rStyle w:val="Hyperlink"/>
          </w:rPr>
          <w:t>https://www.eea.europa.eu/data-and-maps/indicators/occupancy-rates-of-passenger-vehicles</w:t>
        </w:r>
      </w:hyperlink>
      <w:r w:rsidR="00BA1C57" w:rsidRPr="003229FC">
        <w:t xml:space="preserve"> </w:t>
      </w:r>
    </w:p>
    <w:p w14:paraId="438B14F7" w14:textId="5653363F" w:rsidR="000F3DAC" w:rsidRPr="003229FC" w:rsidRDefault="65F79D52">
      <w:pPr>
        <w:pStyle w:val="BibEntry"/>
      </w:pPr>
      <w:proofErr w:type="spellStart"/>
      <w:r w:rsidRPr="003229FC">
        <w:t>Evadoption</w:t>
      </w:r>
      <w:proofErr w:type="spellEnd"/>
      <w:r w:rsidRPr="003229FC">
        <w:t xml:space="preserve">, 2021. </w:t>
      </w:r>
      <w:r w:rsidRPr="003229FC">
        <w:rPr>
          <w:i/>
          <w:iCs/>
        </w:rPr>
        <w:t>Charging Stations by State</w:t>
      </w:r>
      <w:r w:rsidRPr="003229FC">
        <w:t>. https://evadoption.com/ev-charging-stations-statistics/charging-stations-by-state/</w:t>
      </w:r>
    </w:p>
    <w:p w14:paraId="0223CA7A" w14:textId="7105A7AF" w:rsidR="03757DE5" w:rsidRPr="003229FC" w:rsidRDefault="68F647D8" w:rsidP="68F647D8">
      <w:pPr>
        <w:pStyle w:val="BibEntry"/>
      </w:pPr>
      <w:r w:rsidRPr="003229FC">
        <w:t>FAO (Food and Agriculture Organization)</w:t>
      </w:r>
      <w:r w:rsidR="65F79D52" w:rsidRPr="003229FC">
        <w:t>.</w:t>
      </w:r>
      <w:r w:rsidRPr="003229FC">
        <w:t xml:space="preserve"> 2014. Global </w:t>
      </w:r>
      <w:r w:rsidR="65F79D52" w:rsidRPr="003229FC">
        <w:t>L</w:t>
      </w:r>
      <w:r w:rsidRPr="003229FC">
        <w:t xml:space="preserve">and </w:t>
      </w:r>
      <w:r w:rsidR="65F79D52" w:rsidRPr="003229FC">
        <w:t>C</w:t>
      </w:r>
      <w:r w:rsidRPr="003229FC">
        <w:t>over</w:t>
      </w:r>
      <w:r w:rsidR="65F79D52" w:rsidRPr="003229FC">
        <w:t>—S</w:t>
      </w:r>
      <w:r w:rsidRPr="003229FC">
        <w:t>hare (</w:t>
      </w:r>
      <w:proofErr w:type="spellStart"/>
      <w:r w:rsidRPr="003229FC">
        <w:t>glc</w:t>
      </w:r>
      <w:proofErr w:type="spellEnd"/>
      <w:r w:rsidRPr="003229FC">
        <w:t xml:space="preserve">-share). / </w:t>
      </w:r>
    </w:p>
    <w:p w14:paraId="78DAAE8A" w14:textId="0FAD9B15" w:rsidR="0032060A" w:rsidRPr="003229FC" w:rsidRDefault="65F79D52">
      <w:pPr>
        <w:pStyle w:val="BibEntry"/>
      </w:pPr>
      <w:r w:rsidRPr="003229FC">
        <w:t xml:space="preserve">FAO. 2016. </w:t>
      </w:r>
      <w:r w:rsidRPr="003229FC">
        <w:rPr>
          <w:i/>
          <w:iCs/>
        </w:rPr>
        <w:t>Food Losses and Wastes in Latin America and the Caribbean.</w:t>
      </w:r>
      <w:r w:rsidR="00EF1115" w:rsidRPr="003229FC">
        <w:t xml:space="preserve"> https://www.fao.org/platform-food-loss-waste/flw-data/en/</w:t>
      </w:r>
    </w:p>
    <w:p w14:paraId="462EBCB7" w14:textId="2A9909E7" w:rsidR="00D876BA" w:rsidRPr="003229FC" w:rsidRDefault="65F79D52" w:rsidP="00A459FF">
      <w:pPr>
        <w:pStyle w:val="BibEntry"/>
        <w:rPr>
          <w:lang w:val="fr-FR"/>
        </w:rPr>
      </w:pPr>
      <w:r w:rsidRPr="003229FC">
        <w:rPr>
          <w:lang w:val="fr-FR"/>
        </w:rPr>
        <w:t xml:space="preserve">FAO. 2022. </w:t>
      </w:r>
      <w:r w:rsidRPr="003229FC">
        <w:rPr>
          <w:i/>
          <w:iCs/>
          <w:lang w:val="fr-FR"/>
        </w:rPr>
        <w:t>Conservation Agriculture</w:t>
      </w:r>
      <w:r w:rsidRPr="003229FC">
        <w:rPr>
          <w:lang w:val="fr-FR"/>
        </w:rPr>
        <w:t>. https://www.fao.org/3/cb8350en/cb8350en.pdf</w:t>
      </w:r>
    </w:p>
    <w:p w14:paraId="383C5D74" w14:textId="756E66B0" w:rsidR="007029F1" w:rsidRPr="003229FC" w:rsidRDefault="0E74F445" w:rsidP="0E74F445">
      <w:pPr>
        <w:pStyle w:val="BibEntry"/>
      </w:pPr>
      <w:r w:rsidRPr="003229FC">
        <w:t>FAO. Sustainable Development Goals</w:t>
      </w:r>
      <w:r w:rsidR="65F79D52" w:rsidRPr="003229FC">
        <w:t xml:space="preserve"> Data Portal</w:t>
      </w:r>
      <w:r w:rsidRPr="003229FC">
        <w:t xml:space="preserve">: Percentage of </w:t>
      </w:r>
      <w:r w:rsidR="65F79D52" w:rsidRPr="003229FC">
        <w:t>F</w:t>
      </w:r>
      <w:r w:rsidRPr="003229FC">
        <w:t xml:space="preserve">ood </w:t>
      </w:r>
      <w:r w:rsidR="65F79D52" w:rsidRPr="003229FC">
        <w:t>L</w:t>
      </w:r>
      <w:r w:rsidRPr="003229FC">
        <w:t xml:space="preserve">oss by </w:t>
      </w:r>
      <w:r w:rsidR="65F79D52" w:rsidRPr="003229FC">
        <w:t>R</w:t>
      </w:r>
      <w:r w:rsidRPr="003229FC">
        <w:t>egion, 2016–2020 (undated)</w:t>
      </w:r>
      <w:r w:rsidR="65F79D52" w:rsidRPr="003229FC">
        <w:t>.</w:t>
      </w:r>
      <w:r w:rsidRPr="003229FC">
        <w:t xml:space="preserve"> </w:t>
      </w:r>
    </w:p>
    <w:p w14:paraId="6F9C75A5" w14:textId="29EBAB21" w:rsidR="002631FA" w:rsidRPr="003229FC" w:rsidRDefault="65F79D52" w:rsidP="0E74F445">
      <w:pPr>
        <w:pStyle w:val="BibEntry"/>
      </w:pPr>
      <w:r w:rsidRPr="003229FC">
        <w:t xml:space="preserve">FAO. 2023a. </w:t>
      </w:r>
      <w:proofErr w:type="spellStart"/>
      <w:r w:rsidRPr="003229FC">
        <w:t>FAOStat</w:t>
      </w:r>
      <w:proofErr w:type="spellEnd"/>
      <w:r w:rsidRPr="003229FC">
        <w:t xml:space="preserve">—Value of Agricultural Production. United Nations Food and Agriculture Organization. License: CC BY-NC-SA 3.0 IGO. https://www.fao.org/faostat/en/#data/QV </w:t>
      </w:r>
    </w:p>
    <w:p w14:paraId="59AD2415" w14:textId="11E1F906" w:rsidR="00F9293F" w:rsidRDefault="0E74F445" w:rsidP="0E74F445">
      <w:pPr>
        <w:pStyle w:val="BibEntry"/>
      </w:pPr>
      <w:r w:rsidRPr="003229FC">
        <w:t>FAO</w:t>
      </w:r>
      <w:r w:rsidR="65F79D52" w:rsidRPr="003229FC">
        <w:t xml:space="preserve">. </w:t>
      </w:r>
      <w:r w:rsidRPr="003229FC">
        <w:t xml:space="preserve">2023b. </w:t>
      </w:r>
      <w:r w:rsidRPr="003229FC">
        <w:rPr>
          <w:i/>
          <w:iCs/>
        </w:rPr>
        <w:t>Statistical Standard Series. Units of Measure Version 2</w:t>
      </w:r>
      <w:r w:rsidRPr="003229FC">
        <w:t xml:space="preserve">. </w:t>
      </w:r>
      <w:r w:rsidR="65F79D52" w:rsidRPr="003229FC">
        <w:t>United Nations Food and Agriculture</w:t>
      </w:r>
      <w:r w:rsidR="65F79D52">
        <w:t xml:space="preserve"> Organization. </w:t>
      </w:r>
    </w:p>
    <w:p w14:paraId="69C85420" w14:textId="32FF85C0" w:rsidR="00746265" w:rsidRPr="00667429" w:rsidRDefault="65F79D52" w:rsidP="00A459FF">
      <w:pPr>
        <w:pStyle w:val="BibEntry"/>
      </w:pPr>
      <w:r>
        <w:t xml:space="preserve">FAO. 2023c. Production Database. United Nations Food and Agriculture Organization. License: CC BY-NC-SA 3.0 IGO. </w:t>
      </w:r>
      <w:r w:rsidRPr="00667429">
        <w:t xml:space="preserve">https://www.fao.org/faostat/en/#data/QCL.  </w:t>
      </w:r>
    </w:p>
    <w:p w14:paraId="0F0055CF" w14:textId="4202A3AE" w:rsidR="004222A1" w:rsidRPr="00667429" w:rsidRDefault="0E74F445" w:rsidP="0E74F445">
      <w:pPr>
        <w:pStyle w:val="BibEntry"/>
      </w:pPr>
      <w:r w:rsidRPr="00667429">
        <w:t xml:space="preserve">FAO. 2023d. </w:t>
      </w:r>
      <w:r>
        <w:t xml:space="preserve">Trade Database. United Nations Food and Agriculture Organization. License: CC BY-NC-SA 3.0 IGO. </w:t>
      </w:r>
      <w:r w:rsidRPr="00667429">
        <w:t xml:space="preserve">https://www.fao.org/faostat/en/#data/TCL. </w:t>
      </w:r>
    </w:p>
    <w:p w14:paraId="7259A01F" w14:textId="0C690533" w:rsidR="00AC7DBE" w:rsidRDefault="0E74F445" w:rsidP="00385733">
      <w:pPr>
        <w:pStyle w:val="BibEntry"/>
      </w:pPr>
      <w:r w:rsidRPr="00667429">
        <w:t xml:space="preserve">FAO. 2023e. </w:t>
      </w:r>
      <w:r>
        <w:t xml:space="preserve">Land Use Database. United Nations Food and Agriculture Organization. License: CC BY-NC-SA 3.0 IGO. https://www.fao.org/faostat/en/#data/RL. </w:t>
      </w:r>
    </w:p>
    <w:p w14:paraId="5ECFA2A7" w14:textId="4BE8BDF6" w:rsidR="00AC7DBE" w:rsidRDefault="0E74F445" w:rsidP="00AC7DBE">
      <w:pPr>
        <w:pStyle w:val="BibEntry"/>
      </w:pPr>
      <w:r>
        <w:t>FAO. 2023f. Land Cover Database. United Nations Food and Agriculture Organization. License: CC BY-NC-SA 3.0 IGO. Extracted from: https://www.fao.org/faostat/en/#data/LC.</w:t>
      </w:r>
    </w:p>
    <w:p w14:paraId="52A13D6A" w14:textId="0A152043" w:rsidR="003D08A3" w:rsidRDefault="65F79D52" w:rsidP="0E74F445">
      <w:pPr>
        <w:pStyle w:val="BibEntry"/>
      </w:pPr>
      <w:r>
        <w:t xml:space="preserve">FAO. 2023g. Emissions Database. United Nations Food and Agriculture Organization. License: CC BY-NC-SA 3.0 IGO. Extracted from: https://www.fao.org/faostat/en/#data/GT. Fargione, J., Haase, D.L., Burney, O.T., </w:t>
      </w:r>
      <w:proofErr w:type="spellStart"/>
      <w:r>
        <w:t>Kildisheva</w:t>
      </w:r>
      <w:proofErr w:type="spellEnd"/>
      <w:r>
        <w:t xml:space="preserve">, O.A., Edge, G., Cook-Patton, S.C., Chapman, T., et al. 2021. "Challenges to the reforestation pipeline in the United States." </w:t>
      </w:r>
      <w:r w:rsidRPr="65F79D52">
        <w:rPr>
          <w:i/>
          <w:iCs/>
        </w:rPr>
        <w:t>Frontiers in Forests and Global Change</w:t>
      </w:r>
      <w:r>
        <w:t xml:space="preserve"> 4: 629198.</w:t>
      </w:r>
    </w:p>
    <w:p w14:paraId="1E2CAC9F" w14:textId="6159EE08" w:rsidR="003D08A3" w:rsidRDefault="65F79D52" w:rsidP="0E74F445">
      <w:pPr>
        <w:pStyle w:val="BibEntry"/>
      </w:pPr>
      <w:r>
        <w:t xml:space="preserve">Flanagan, K., Robertson, K., and Hanson, C. 2019. </w:t>
      </w:r>
      <w:r w:rsidRPr="65F79D52">
        <w:rPr>
          <w:i/>
          <w:iCs/>
        </w:rPr>
        <w:t>Reducing Food Loss and Waste: Setting a Global Action Agenda</w:t>
      </w:r>
      <w:r>
        <w:t xml:space="preserve">. Washington, DC: World Research Institute. </w:t>
      </w:r>
    </w:p>
    <w:p w14:paraId="11B9F62B" w14:textId="78740778" w:rsidR="003D08A3" w:rsidRDefault="65F79D52" w:rsidP="0E74F445">
      <w:pPr>
        <w:pStyle w:val="BibEntry"/>
      </w:pPr>
      <w:r>
        <w:t xml:space="preserve">Frank, S., Beach, R., Havlík, P., Valin, H., Herrero, M., </w:t>
      </w:r>
      <w:proofErr w:type="spellStart"/>
      <w:r>
        <w:t>Mosnier</w:t>
      </w:r>
      <w:proofErr w:type="spellEnd"/>
      <w:r>
        <w:t xml:space="preserve">, A., Hasegawa, T., Creason, J., Ragnauth, S., and </w:t>
      </w:r>
      <w:proofErr w:type="spellStart"/>
      <w:r>
        <w:t>Obersteiner</w:t>
      </w:r>
      <w:proofErr w:type="spellEnd"/>
      <w:r>
        <w:t xml:space="preserve">, M. 2018. "Structural change as a key component for agricultural non-CO2 mitigation efforts." </w:t>
      </w:r>
      <w:r w:rsidRPr="00667429">
        <w:rPr>
          <w:i/>
          <w:iCs/>
        </w:rPr>
        <w:t>Nature Communications</w:t>
      </w:r>
      <w:r>
        <w:t xml:space="preserve"> 9(1): 1060.</w:t>
      </w:r>
    </w:p>
    <w:p w14:paraId="1A7BE390" w14:textId="01D01423" w:rsidR="00EB0C01" w:rsidRDefault="0E74F445" w:rsidP="0E74F445">
      <w:pPr>
        <w:pStyle w:val="BibEntry"/>
      </w:pPr>
      <w:r>
        <w:t xml:space="preserve">Good, A.G., and Beatty, P.H. 2011. "Fertilizing nature: a tragedy of excess in the commons." </w:t>
      </w:r>
      <w:proofErr w:type="spellStart"/>
      <w:r w:rsidRPr="00667429">
        <w:rPr>
          <w:i/>
          <w:iCs/>
        </w:rPr>
        <w:t>PLoS</w:t>
      </w:r>
      <w:proofErr w:type="spellEnd"/>
      <w:r w:rsidRPr="00667429">
        <w:rPr>
          <w:i/>
          <w:iCs/>
        </w:rPr>
        <w:t xml:space="preserve"> Biology</w:t>
      </w:r>
      <w:r>
        <w:t xml:space="preserve"> 9(8): e1001124.</w:t>
      </w:r>
    </w:p>
    <w:p w14:paraId="4175021E" w14:textId="4079E819" w:rsidR="00D02FAC" w:rsidRDefault="0E74F445">
      <w:pPr>
        <w:pStyle w:val="BibEntry"/>
      </w:pPr>
      <w:r>
        <w:t>Gordon, D., Reuland, F., Jacob, D.J., Worden, J.R., Shindell, D.T., and Dyson, M. 2023. "Evaluating net life-cycle greenhouse gas emissions intensities from gas and coal at varying methane leakage rates." </w:t>
      </w:r>
      <w:r w:rsidRPr="0E74F445">
        <w:rPr>
          <w:i/>
          <w:iCs/>
        </w:rPr>
        <w:t>Environmental Research Letters</w:t>
      </w:r>
      <w:r w:rsidR="00806B2A">
        <w:t xml:space="preserve"> </w:t>
      </w:r>
      <w:r w:rsidR="00806B2A" w:rsidRPr="00806B2A">
        <w:t>no. 8 (2023): 084008</w:t>
      </w:r>
      <w:r w:rsidR="00806B2A">
        <w:t xml:space="preserve">. </w:t>
      </w:r>
    </w:p>
    <w:p w14:paraId="43A50880" w14:textId="6C0EE6C0" w:rsidR="00712324" w:rsidRDefault="0E74F445" w:rsidP="0E74F445">
      <w:pPr>
        <w:pStyle w:val="BibEntry"/>
      </w:pPr>
      <w:proofErr w:type="spellStart"/>
      <w:r>
        <w:t>Grubler</w:t>
      </w:r>
      <w:proofErr w:type="spellEnd"/>
      <w:r>
        <w:t>, A., Wilson, C., Bento, N., Boza-Kiss, B., Krey, V., McCollum, D.L., Rao, N.D., et al. 2018. "A low energy demand scenario for meeting the 1.5 C target and sustainable development goals without negative emission technologies." </w:t>
      </w:r>
      <w:r w:rsidRPr="0E74F445">
        <w:rPr>
          <w:i/>
          <w:iCs/>
        </w:rPr>
        <w:t xml:space="preserve">Nature </w:t>
      </w:r>
      <w:r>
        <w:t>E</w:t>
      </w:r>
      <w:r w:rsidRPr="0E74F445">
        <w:rPr>
          <w:i/>
          <w:iCs/>
        </w:rPr>
        <w:t>nergy</w:t>
      </w:r>
      <w:r>
        <w:t> 3(6): 515-527.</w:t>
      </w:r>
    </w:p>
    <w:p w14:paraId="23ED11D5" w14:textId="328CAD84" w:rsidR="00F14647" w:rsidRDefault="0E74F445">
      <w:pPr>
        <w:pStyle w:val="BibEntry"/>
      </w:pPr>
      <w:r>
        <w:t xml:space="preserve">Hanson, C., Lipinski, B., Nichols-Vinueza, A., Antonioli, V., Espinoza, L., Kenny, S., Sturzenegger, G., and Espinola, N. 2022. </w:t>
      </w:r>
      <w:r w:rsidRPr="00667429">
        <w:rPr>
          <w:i/>
          <w:iCs/>
        </w:rPr>
        <w:t>A Playbook for Reducing Food Loss and Waste in Latin America and the Caribbean</w:t>
      </w:r>
      <w:r>
        <w:t>.</w:t>
      </w:r>
      <w:r w:rsidR="003D401F">
        <w:t xml:space="preserve"> </w:t>
      </w:r>
      <w:r w:rsidR="003D401F" w:rsidRPr="003D401F">
        <w:rPr>
          <w:i/>
          <w:iCs/>
        </w:rPr>
        <w:t>Inter-American Development Bank. Water and Sanitation Division</w:t>
      </w:r>
      <w:r w:rsidR="003D401F" w:rsidRPr="003D401F">
        <w:t xml:space="preserve">. </w:t>
      </w:r>
      <w:r w:rsidR="003D401F">
        <w:t xml:space="preserve">Series </w:t>
      </w:r>
      <w:r w:rsidR="003D401F" w:rsidRPr="003D401F">
        <w:t>IDB - PB - 36 2</w:t>
      </w:r>
    </w:p>
    <w:p w14:paraId="098C7C26" w14:textId="53DF571F" w:rsidR="00DE3896" w:rsidRDefault="0E74F445">
      <w:pPr>
        <w:pStyle w:val="BibEntry"/>
      </w:pPr>
      <w:r>
        <w:t xml:space="preserve">Herath, C., Gunasekara, C., Law, D.W., and </w:t>
      </w:r>
      <w:proofErr w:type="spellStart"/>
      <w:r>
        <w:t>Setunge</w:t>
      </w:r>
      <w:proofErr w:type="spellEnd"/>
      <w:r>
        <w:t xml:space="preserve">, S. 2020. "Performance of </w:t>
      </w:r>
      <w:proofErr w:type="gramStart"/>
      <w:r>
        <w:t>high volume</w:t>
      </w:r>
      <w:proofErr w:type="gramEnd"/>
      <w:r>
        <w:t xml:space="preserve"> fly ash concrete incorporating additives: A systematic literature review." </w:t>
      </w:r>
      <w:r w:rsidRPr="0E74F445">
        <w:rPr>
          <w:i/>
          <w:iCs/>
        </w:rPr>
        <w:t>Construction and Building Materials</w:t>
      </w:r>
      <w:r>
        <w:t> 258: 120606.</w:t>
      </w:r>
    </w:p>
    <w:p w14:paraId="4EAF701F" w14:textId="3D91FF54" w:rsidR="00DE3896" w:rsidRDefault="0E74F445" w:rsidP="0E74F445">
      <w:pPr>
        <w:pStyle w:val="BibEntry"/>
      </w:pPr>
      <w:r>
        <w:t xml:space="preserve">Hernández-Sancho, F., </w:t>
      </w:r>
      <w:proofErr w:type="spellStart"/>
      <w:r>
        <w:t>Molinos-Senante</w:t>
      </w:r>
      <w:proofErr w:type="spellEnd"/>
      <w:r>
        <w:t xml:space="preserve">, M., and Sala-Garrido, R. 2010. Economic valuation of environmental benefits from wastewater treatment processes: An empirical approach for Spain. </w:t>
      </w:r>
      <w:r w:rsidRPr="00667429">
        <w:rPr>
          <w:i/>
          <w:iCs/>
        </w:rPr>
        <w:t>Science of the Total Environment</w:t>
      </w:r>
      <w:r>
        <w:t>, 408(4): 953-957.</w:t>
      </w:r>
    </w:p>
    <w:p w14:paraId="64CA72CE" w14:textId="54050CEC" w:rsidR="00DE3896" w:rsidRPr="009672C9" w:rsidRDefault="0E74F445" w:rsidP="0E74F445">
      <w:pPr>
        <w:pStyle w:val="BibEntry"/>
        <w:rPr>
          <w:lang w:val="fr-FR"/>
        </w:rPr>
      </w:pPr>
      <w:r>
        <w:t xml:space="preserve">Hernández-Sancho, F., Lamizana-Diallo, B., Mateo-Sagasta, J., and Qadir, M. 2015. </w:t>
      </w:r>
      <w:r w:rsidRPr="00667429">
        <w:rPr>
          <w:i/>
          <w:iCs/>
        </w:rPr>
        <w:t>Economic Valuation of Wastewater: The Cost of Action and the Cost of No Action</w:t>
      </w:r>
      <w:r>
        <w:t xml:space="preserve">. </w:t>
      </w:r>
      <w:r w:rsidRPr="0E74F445">
        <w:rPr>
          <w:lang w:val="fr-FR"/>
        </w:rPr>
        <w:t xml:space="preserve">United Nations </w:t>
      </w:r>
      <w:proofErr w:type="spellStart"/>
      <w:r w:rsidRPr="0E74F445">
        <w:rPr>
          <w:lang w:val="fr-FR"/>
        </w:rPr>
        <w:t>Environment</w:t>
      </w:r>
      <w:proofErr w:type="spellEnd"/>
      <w:r w:rsidRPr="0E74F445">
        <w:rPr>
          <w:lang w:val="fr-FR"/>
        </w:rPr>
        <w:t xml:space="preserve"> Programme (UNEP).</w:t>
      </w:r>
    </w:p>
    <w:p w14:paraId="0FA3D9A6" w14:textId="48AC0B32" w:rsidR="00E16DB3" w:rsidRDefault="65F79D52">
      <w:pPr>
        <w:pStyle w:val="BibEntry"/>
      </w:pPr>
      <w:r w:rsidRPr="00FA381D">
        <w:rPr>
          <w:lang w:val="fr-FR"/>
        </w:rPr>
        <w:t>Heinrich,</w:t>
      </w:r>
      <w:r w:rsidRPr="65F79D52">
        <w:rPr>
          <w:lang w:val="fr-FR"/>
        </w:rPr>
        <w:t xml:space="preserve"> V.H.A., </w:t>
      </w:r>
      <w:proofErr w:type="spellStart"/>
      <w:r w:rsidRPr="65F79D52">
        <w:rPr>
          <w:lang w:val="fr-FR"/>
        </w:rPr>
        <w:t>Dalagnol</w:t>
      </w:r>
      <w:proofErr w:type="spellEnd"/>
      <w:r w:rsidRPr="65F79D52">
        <w:rPr>
          <w:lang w:val="fr-FR"/>
        </w:rPr>
        <w:t xml:space="preserve">, R., </w:t>
      </w:r>
      <w:proofErr w:type="spellStart"/>
      <w:r w:rsidRPr="65F79D52">
        <w:rPr>
          <w:lang w:val="fr-FR"/>
        </w:rPr>
        <w:t>Cassol</w:t>
      </w:r>
      <w:proofErr w:type="spellEnd"/>
      <w:r w:rsidRPr="65F79D52">
        <w:rPr>
          <w:lang w:val="fr-FR"/>
        </w:rPr>
        <w:t xml:space="preserve">, H.L.G., et al. 2021. </w:t>
      </w:r>
      <w:r w:rsidRPr="00667429">
        <w:t>“</w:t>
      </w:r>
      <w:r>
        <w:t>Large carbon sink potential of secondary forests in the Brazilian Amazon to mitigate climate change.” Nature Communications 12</w:t>
      </w:r>
      <w:r w:rsidRPr="00667429">
        <w:t>:</w:t>
      </w:r>
      <w:r>
        <w:t xml:space="preserve"> 1785. https://doi.org/10.1038/s41467-021-22050-1</w:t>
      </w:r>
    </w:p>
    <w:p w14:paraId="32956D9F" w14:textId="1E345452" w:rsidR="00DD2CD1" w:rsidRDefault="65F79D52" w:rsidP="00DD2CD1">
      <w:pPr>
        <w:pStyle w:val="BibEntry"/>
        <w:rPr>
          <w:rStyle w:val="Hyperlink"/>
        </w:rPr>
      </w:pPr>
      <w:r w:rsidRPr="00FA381D">
        <w:t xml:space="preserve">Hoffmann, C., Van Hoey, M., and </w:t>
      </w:r>
      <w:proofErr w:type="spellStart"/>
      <w:r w:rsidRPr="00FA381D">
        <w:t>Zeumer</w:t>
      </w:r>
      <w:proofErr w:type="spellEnd"/>
      <w:r w:rsidRPr="00FA381D">
        <w:t xml:space="preserve">, B. 2020. </w:t>
      </w:r>
      <w:r w:rsidRPr="00FA381D">
        <w:rPr>
          <w:i/>
          <w:iCs/>
        </w:rPr>
        <w:t>Decarbonization Challenge for Steel</w:t>
      </w:r>
      <w:r w:rsidRPr="00FA381D">
        <w:t>. McKinsey</w:t>
      </w:r>
      <w:r>
        <w:t xml:space="preserve">. </w:t>
      </w:r>
      <w:hyperlink r:id="rId32">
        <w:r w:rsidRPr="65F79D52">
          <w:rPr>
            <w:rStyle w:val="Hyperlink"/>
          </w:rPr>
          <w:t>https://www.mckinsey.com/~/media/McKinsey/Industries/Metals%20and%20Mining/Our%20Insights/Decarbonization%20challenge%20for%20steel/Decarbonization-challenge-for-steel.pdf</w:t>
        </w:r>
      </w:hyperlink>
    </w:p>
    <w:p w14:paraId="2B69CB46" w14:textId="36D8FA92" w:rsidR="00862AA0" w:rsidRDefault="0E74F445" w:rsidP="0E74F445">
      <w:pPr>
        <w:pStyle w:val="BibEntry"/>
      </w:pPr>
      <w:r>
        <w:t xml:space="preserve">Holechek, J.L. 1988. "An approach for setting the stocking rate." </w:t>
      </w:r>
      <w:r w:rsidRPr="00667429">
        <w:rPr>
          <w:i/>
          <w:iCs/>
        </w:rPr>
        <w:t>Rangelands Archives</w:t>
      </w:r>
      <w:r>
        <w:t xml:space="preserve"> 10(1): 10-14.</w:t>
      </w:r>
    </w:p>
    <w:p w14:paraId="6D63C9F3" w14:textId="4C6645D6" w:rsidR="002A58BF" w:rsidRPr="002A58BF" w:rsidRDefault="0E74F445" w:rsidP="0E74F445">
      <w:pPr>
        <w:pStyle w:val="BibEntry"/>
      </w:pPr>
      <w:r w:rsidRPr="0E74F445">
        <w:rPr>
          <w:rFonts w:eastAsia="Arial"/>
        </w:rPr>
        <w:t>Huo, H., He, K., Wang, M., and Yao, Z. 2012. “Vehicle technologies, fuel-economy policies,</w:t>
      </w:r>
      <w:r>
        <w:t xml:space="preserve"> </w:t>
      </w:r>
      <w:r w:rsidRPr="0E74F445">
        <w:rPr>
          <w:rFonts w:eastAsia="Arial"/>
        </w:rPr>
        <w:t xml:space="preserve">and fuel-consumption rates of Chinese vehicles.” </w:t>
      </w:r>
      <w:r w:rsidRPr="00667429">
        <w:rPr>
          <w:rFonts w:eastAsia="Arial"/>
          <w:i/>
          <w:iCs/>
        </w:rPr>
        <w:t>Energy Policy</w:t>
      </w:r>
      <w:r w:rsidRPr="0E74F445">
        <w:rPr>
          <w:rFonts w:eastAsia="Arial"/>
        </w:rPr>
        <w:t xml:space="preserve"> 43:30-36.</w:t>
      </w:r>
    </w:p>
    <w:p w14:paraId="44A596FB" w14:textId="40161D6B" w:rsidR="00DD2CD1" w:rsidRDefault="0E74F445">
      <w:pPr>
        <w:pStyle w:val="BibEntry"/>
      </w:pPr>
      <w:r>
        <w:t>Hutton, G., and Varughese, M. 2016. “The costs of meeting the 2030 sustainable development goal targets on drinking water, sanitation, and hygiene."</w:t>
      </w:r>
      <w:r w:rsidR="00D8615B">
        <w:t xml:space="preserve"> </w:t>
      </w:r>
      <w:r w:rsidR="00647E05" w:rsidRPr="00647E05">
        <w:t>The Water and Sanitation Program</w:t>
      </w:r>
      <w:r w:rsidR="00647E05">
        <w:t xml:space="preserve">. </w:t>
      </w:r>
    </w:p>
    <w:p w14:paraId="097530DB" w14:textId="714E9733" w:rsidR="006176F0" w:rsidRDefault="0E74F445" w:rsidP="0E74F445">
      <w:pPr>
        <w:pStyle w:val="BibEntry"/>
      </w:pPr>
      <w:r>
        <w:t xml:space="preserve">Hutton, G. 2012. </w:t>
      </w:r>
      <w:r w:rsidRPr="00667429">
        <w:rPr>
          <w:i/>
          <w:iCs/>
        </w:rPr>
        <w:t>Global Costs and Benefits of Drinking-Water Supply and Sanitation Interventions to Reach the MDG Target and Universal Coverage</w:t>
      </w:r>
      <w:r>
        <w:t>. Report WHO/HSE/WSH/12.01. World Health Organization.</w:t>
      </w:r>
    </w:p>
    <w:p w14:paraId="039C243E" w14:textId="6FFB14DB" w:rsidR="00DE3896" w:rsidRDefault="0E74F445" w:rsidP="0E74F445">
      <w:pPr>
        <w:pStyle w:val="BibEntry"/>
      </w:pPr>
      <w:r>
        <w:t>Hutton, G. 2013. “Global costs and benefits of reaching universal coverage of sanitation and drinking-water supply.”</w:t>
      </w:r>
      <w:r w:rsidRPr="00667429">
        <w:rPr>
          <w:i/>
          <w:iCs/>
        </w:rPr>
        <w:t xml:space="preserve"> Journal of Water and Health</w:t>
      </w:r>
      <w:r>
        <w:t xml:space="preserve"> 11(1): 1-12.</w:t>
      </w:r>
    </w:p>
    <w:p w14:paraId="02634C1E" w14:textId="7C00FF80" w:rsidR="007F6E9E" w:rsidRDefault="0E74F445">
      <w:pPr>
        <w:pStyle w:val="BibEntry"/>
      </w:pPr>
      <w:r>
        <w:t>ICF International. 2014. "Economic analysis of methane emission reduction opportunities in the US onshore oil and natural gas industries."</w:t>
      </w:r>
    </w:p>
    <w:p w14:paraId="0C4D6B40" w14:textId="57709446" w:rsidR="00E32CF1" w:rsidRPr="00FA381D" w:rsidRDefault="65F79D52" w:rsidP="0E74F445">
      <w:pPr>
        <w:pStyle w:val="BibEntry"/>
        <w:rPr>
          <w:lang w:val="fr-FR"/>
        </w:rPr>
      </w:pPr>
      <w:r>
        <w:t xml:space="preserve">IEA (International Energy Agency). 2018. </w:t>
      </w:r>
      <w:r w:rsidRPr="00667429">
        <w:rPr>
          <w:i/>
          <w:iCs/>
        </w:rPr>
        <w:t>World Energy Balance</w:t>
      </w:r>
      <w:r w:rsidRPr="65F79D52">
        <w:rPr>
          <w:i/>
          <w:iCs/>
        </w:rPr>
        <w:t>s Highlights</w:t>
      </w:r>
      <w:r>
        <w:t xml:space="preserve">. IEA. </w:t>
      </w:r>
      <w:proofErr w:type="spellStart"/>
      <w:r>
        <w:t>Licence</w:t>
      </w:r>
      <w:proofErr w:type="spellEnd"/>
      <w:r>
        <w:t xml:space="preserve">: Creative Commons Attribution CC BY-NC-SA 4.0. https://www.iea.org/data-and-statistics/data-product/world-energy-balances-highlights IEA. 2019. </w:t>
      </w:r>
      <w:proofErr w:type="spellStart"/>
      <w:r w:rsidRPr="00667429">
        <w:rPr>
          <w:i/>
          <w:iCs/>
        </w:rPr>
        <w:t>Levelised</w:t>
      </w:r>
      <w:proofErr w:type="spellEnd"/>
      <w:r w:rsidRPr="00667429">
        <w:rPr>
          <w:i/>
          <w:iCs/>
        </w:rPr>
        <w:t xml:space="preserve"> Cost of CO2 Capture by Sector and Initial CO2 Concentration</w:t>
      </w:r>
      <w:r>
        <w:t xml:space="preserve">. </w:t>
      </w:r>
      <w:proofErr w:type="gramStart"/>
      <w:r w:rsidRPr="00667429">
        <w:rPr>
          <w:lang w:val="fr-FR"/>
        </w:rPr>
        <w:t>Paris:</w:t>
      </w:r>
      <w:proofErr w:type="gramEnd"/>
      <w:r w:rsidRPr="00667429">
        <w:rPr>
          <w:lang w:val="fr-FR"/>
        </w:rPr>
        <w:t xml:space="preserve"> IEA. https://www.iea.org/data-and-</w:t>
      </w:r>
      <w:r w:rsidRPr="00FA381D">
        <w:rPr>
          <w:lang w:val="fr-FR"/>
        </w:rPr>
        <w:t>statistics/charts/levelised-cost-of-co2-capture-by-sector-and-initial-co2-concentration-2019</w:t>
      </w:r>
    </w:p>
    <w:p w14:paraId="527F6EBB" w14:textId="49BCC3D6" w:rsidR="00AF0001" w:rsidRPr="00FA381D" w:rsidRDefault="65F79D52" w:rsidP="0E74F445">
      <w:pPr>
        <w:pStyle w:val="BibEntry"/>
      </w:pPr>
      <w:r w:rsidRPr="00FA381D">
        <w:t xml:space="preserve">IEA. </w:t>
      </w:r>
      <w:r w:rsidRPr="00FA381D">
        <w:rPr>
          <w:rFonts w:eastAsia="Arial"/>
        </w:rPr>
        <w:t>2020a</w:t>
      </w:r>
      <w:r w:rsidRPr="00FA381D">
        <w:t>.</w:t>
      </w:r>
      <w:r w:rsidRPr="00FA381D">
        <w:rPr>
          <w:rFonts w:eastAsia="Arial"/>
        </w:rPr>
        <w:t xml:space="preserve"> </w:t>
      </w:r>
      <w:r w:rsidRPr="00FA381D">
        <w:rPr>
          <w:rFonts w:eastAsia="Arial"/>
          <w:i/>
          <w:iCs/>
        </w:rPr>
        <w:t>Projected Costs of Generating Electricity 2020</w:t>
      </w:r>
      <w:r w:rsidRPr="00FA381D">
        <w:t>.</w:t>
      </w:r>
      <w:r w:rsidRPr="00FA381D">
        <w:rPr>
          <w:rFonts w:eastAsia="Arial"/>
        </w:rPr>
        <w:t xml:space="preserve"> Paris: IEA</w:t>
      </w:r>
      <w:r w:rsidRPr="00FA381D">
        <w:t>.</w:t>
      </w:r>
      <w:r w:rsidRPr="00FA381D">
        <w:rPr>
          <w:rFonts w:eastAsia="Arial"/>
        </w:rPr>
        <w:t xml:space="preserve"> License: CC BY 4.0. https://www.iea.org/reports/projected-costs-of-generating-electricity-2020</w:t>
      </w:r>
    </w:p>
    <w:p w14:paraId="480A6956" w14:textId="34966322" w:rsidR="00674FF3" w:rsidRPr="00FA381D" w:rsidRDefault="65F79D52" w:rsidP="0E74F445">
      <w:pPr>
        <w:pStyle w:val="BibEntry"/>
      </w:pPr>
      <w:r w:rsidRPr="00FA381D">
        <w:t xml:space="preserve">IEA. 2020b. </w:t>
      </w:r>
      <w:r w:rsidRPr="00FA381D">
        <w:rPr>
          <w:i/>
          <w:iCs/>
        </w:rPr>
        <w:t>CCUS in Clean Energy Transitions</w:t>
      </w:r>
      <w:r w:rsidRPr="00FA381D">
        <w:t xml:space="preserve">. </w:t>
      </w:r>
      <w:r w:rsidRPr="00FA381D">
        <w:rPr>
          <w:rFonts w:eastAsia="Arial"/>
        </w:rPr>
        <w:t>Paris: IEA</w:t>
      </w:r>
      <w:r w:rsidRPr="00FA381D">
        <w:t>.</w:t>
      </w:r>
      <w:r w:rsidRPr="00FA381D">
        <w:rPr>
          <w:rFonts w:eastAsia="Arial"/>
        </w:rPr>
        <w:t xml:space="preserve"> License: CC BY 4.0.</w:t>
      </w:r>
      <w:r w:rsidRPr="00FA381D">
        <w:t xml:space="preserve"> https://www.iea.org/reports/ccus-in-clean-energy-transitions, License: CC BY 4.0</w:t>
      </w:r>
    </w:p>
    <w:p w14:paraId="2653A9D0" w14:textId="35057710" w:rsidR="00AF0001" w:rsidRPr="00FA381D" w:rsidRDefault="0E74F445" w:rsidP="0E74F445">
      <w:pPr>
        <w:pStyle w:val="BibEntry"/>
        <w:rPr>
          <w:rFonts w:eastAsia="Arial"/>
        </w:rPr>
      </w:pPr>
      <w:r w:rsidRPr="00FA381D">
        <w:t>IEA</w:t>
      </w:r>
      <w:r w:rsidR="65F79D52" w:rsidRPr="00FA381D">
        <w:t>.</w:t>
      </w:r>
      <w:r w:rsidRPr="00FA381D">
        <w:t xml:space="preserve"> </w:t>
      </w:r>
      <w:r w:rsidRPr="00FA381D">
        <w:rPr>
          <w:rFonts w:eastAsia="Arial"/>
        </w:rPr>
        <w:t>2020c</w:t>
      </w:r>
      <w:r w:rsidR="65F79D52" w:rsidRPr="00FA381D">
        <w:t>.</w:t>
      </w:r>
      <w:r w:rsidRPr="00FA381D">
        <w:rPr>
          <w:rFonts w:eastAsia="Arial"/>
        </w:rPr>
        <w:t xml:space="preserve"> </w:t>
      </w:r>
      <w:proofErr w:type="spellStart"/>
      <w:r w:rsidRPr="00FA381D">
        <w:rPr>
          <w:rFonts w:eastAsia="Arial"/>
          <w:i/>
          <w:iCs/>
        </w:rPr>
        <w:t>Levelised</w:t>
      </w:r>
      <w:proofErr w:type="spellEnd"/>
      <w:r w:rsidRPr="00FA381D">
        <w:rPr>
          <w:rFonts w:eastAsia="Arial"/>
          <w:i/>
          <w:iCs/>
        </w:rPr>
        <w:t xml:space="preserve"> Cost of Electricity Calculator</w:t>
      </w:r>
      <w:r w:rsidR="65F79D52" w:rsidRPr="00FA381D">
        <w:t>.</w:t>
      </w:r>
      <w:r w:rsidRPr="00FA381D">
        <w:rPr>
          <w:rFonts w:eastAsia="Arial"/>
        </w:rPr>
        <w:t xml:space="preserve"> </w:t>
      </w:r>
      <w:r w:rsidR="65F79D52" w:rsidRPr="00FA381D">
        <w:rPr>
          <w:rFonts w:eastAsia="Arial"/>
        </w:rPr>
        <w:t xml:space="preserve">Paris: </w:t>
      </w:r>
      <w:r w:rsidRPr="00FA381D">
        <w:rPr>
          <w:rFonts w:eastAsia="Arial"/>
        </w:rPr>
        <w:t>IEA</w:t>
      </w:r>
      <w:r w:rsidR="65F79D52" w:rsidRPr="00FA381D">
        <w:t>.</w:t>
      </w:r>
      <w:r w:rsidRPr="00FA381D">
        <w:rPr>
          <w:rFonts w:eastAsia="Arial"/>
        </w:rPr>
        <w:t xml:space="preserve"> </w:t>
      </w:r>
    </w:p>
    <w:p w14:paraId="5BF7DBF3" w14:textId="09C71D3E" w:rsidR="006116A9" w:rsidRPr="00FA381D" w:rsidRDefault="0E74F445" w:rsidP="0E74F445">
      <w:pPr>
        <w:pStyle w:val="BibEntry"/>
      </w:pPr>
      <w:r w:rsidRPr="00FA381D">
        <w:t>IEA</w:t>
      </w:r>
      <w:r w:rsidR="65F79D52" w:rsidRPr="00FA381D">
        <w:t>. 2020d.</w:t>
      </w:r>
      <w:r w:rsidRPr="00FA381D">
        <w:t xml:space="preserve"> </w:t>
      </w:r>
      <w:r w:rsidRPr="00FA381D">
        <w:rPr>
          <w:i/>
          <w:iCs/>
        </w:rPr>
        <w:t xml:space="preserve">Iron and Steel Technology Roadmap Towards </w:t>
      </w:r>
      <w:r w:rsidR="65F79D52" w:rsidRPr="00FA381D">
        <w:rPr>
          <w:i/>
          <w:iCs/>
        </w:rPr>
        <w:t>M</w:t>
      </w:r>
      <w:r w:rsidRPr="00FA381D">
        <w:rPr>
          <w:i/>
          <w:iCs/>
        </w:rPr>
        <w:t xml:space="preserve">ore </w:t>
      </w:r>
      <w:r w:rsidR="65F79D52" w:rsidRPr="00FA381D">
        <w:rPr>
          <w:i/>
          <w:iCs/>
        </w:rPr>
        <w:t>S</w:t>
      </w:r>
      <w:r w:rsidRPr="00FA381D">
        <w:rPr>
          <w:i/>
          <w:iCs/>
        </w:rPr>
        <w:t xml:space="preserve">ustainable </w:t>
      </w:r>
      <w:r w:rsidR="65F79D52" w:rsidRPr="00FA381D">
        <w:rPr>
          <w:i/>
          <w:iCs/>
        </w:rPr>
        <w:t>S</w:t>
      </w:r>
      <w:r w:rsidRPr="00FA381D">
        <w:rPr>
          <w:i/>
          <w:iCs/>
        </w:rPr>
        <w:t>teelmaking.</w:t>
      </w:r>
      <w:r w:rsidRPr="00FA381D">
        <w:t xml:space="preserve"> </w:t>
      </w:r>
    </w:p>
    <w:p w14:paraId="161FC5E7" w14:textId="7DD32CB3" w:rsidR="006116A9" w:rsidRPr="00FA381D" w:rsidRDefault="0E74F445">
      <w:pPr>
        <w:pStyle w:val="BibEntry"/>
      </w:pPr>
      <w:r w:rsidRPr="00FA381D">
        <w:t>IEA</w:t>
      </w:r>
      <w:r w:rsidR="65F79D52" w:rsidRPr="00FA381D">
        <w:t>. 2020e.</w:t>
      </w:r>
      <w:r w:rsidRPr="00FA381D">
        <w:t xml:space="preserve"> </w:t>
      </w:r>
      <w:r w:rsidRPr="00FA381D">
        <w:rPr>
          <w:i/>
          <w:iCs/>
        </w:rPr>
        <w:t>Sustainable Recovery: World Energy Outlook Special Report</w:t>
      </w:r>
      <w:r w:rsidRPr="00FA381D">
        <w:t xml:space="preserve">. </w:t>
      </w:r>
    </w:p>
    <w:p w14:paraId="4409441E" w14:textId="4DA8840A" w:rsidR="007305DC" w:rsidRPr="00FA381D" w:rsidRDefault="65F79D52" w:rsidP="0E74F445">
      <w:pPr>
        <w:pStyle w:val="BibEntry"/>
        <w:rPr>
          <w:lang w:val="fr-FR"/>
        </w:rPr>
      </w:pPr>
      <w:r w:rsidRPr="00FA381D">
        <w:t xml:space="preserve">IEA. 2020f. </w:t>
      </w:r>
      <w:r w:rsidRPr="00FA381D">
        <w:rPr>
          <w:i/>
          <w:iCs/>
        </w:rPr>
        <w:t>Outlook for Biogas and Biomethane: Prospects for Organic Growth</w:t>
      </w:r>
      <w:r w:rsidRPr="00FA381D">
        <w:t xml:space="preserve">. </w:t>
      </w:r>
      <w:proofErr w:type="gramStart"/>
      <w:r w:rsidRPr="00FA381D">
        <w:rPr>
          <w:lang w:val="fr-FR"/>
        </w:rPr>
        <w:t>Paris:</w:t>
      </w:r>
      <w:proofErr w:type="gramEnd"/>
      <w:r w:rsidRPr="00FA381D">
        <w:rPr>
          <w:lang w:val="fr-FR"/>
        </w:rPr>
        <w:t xml:space="preserve"> IEA. https://www.iea.org/reports/outlook-for-biogas-and-biomethane-prospects-for-organic-growth</w:t>
      </w:r>
    </w:p>
    <w:p w14:paraId="2F16BECE" w14:textId="1236CD7E" w:rsidR="002F50B3" w:rsidRPr="00FA381D" w:rsidRDefault="65F79D52" w:rsidP="0E74F445">
      <w:pPr>
        <w:pStyle w:val="BibEntry"/>
      </w:pPr>
      <w:r w:rsidRPr="00FA381D">
        <w:t xml:space="preserve">IEA. 2021. </w:t>
      </w:r>
      <w:r w:rsidRPr="00FA381D">
        <w:rPr>
          <w:i/>
          <w:iCs/>
        </w:rPr>
        <w:t>World Energy Balances Highlights</w:t>
      </w:r>
      <w:r w:rsidRPr="00FA381D">
        <w:t xml:space="preserve">. IEA. </w:t>
      </w:r>
      <w:proofErr w:type="spellStart"/>
      <w:r w:rsidRPr="00FA381D">
        <w:t>Licence</w:t>
      </w:r>
      <w:proofErr w:type="spellEnd"/>
      <w:r w:rsidRPr="00FA381D">
        <w:t>: Creative Commons Attribution CC BY-NC-SA 4.0.</w:t>
      </w:r>
    </w:p>
    <w:p w14:paraId="7B4AB4F6" w14:textId="46969545" w:rsidR="00A2309D" w:rsidRPr="00FA381D" w:rsidRDefault="65F79D52" w:rsidP="0E74F445">
      <w:pPr>
        <w:pStyle w:val="BibEntry"/>
      </w:pPr>
      <w:r w:rsidRPr="00FA381D">
        <w:t xml:space="preserve">IEA. 2022a. </w:t>
      </w:r>
      <w:r w:rsidRPr="00FA381D">
        <w:rPr>
          <w:i/>
          <w:iCs/>
        </w:rPr>
        <w:t>Monthly Electricity Statistics</w:t>
      </w:r>
      <w:r w:rsidRPr="00FA381D">
        <w:t>. https://www.iea.org/data-and-statistics/data-product/monthly-electricity-statistics#monthly-electricity-statistics</w:t>
      </w:r>
    </w:p>
    <w:p w14:paraId="6001AEE5" w14:textId="7041D71B" w:rsidR="006B542A" w:rsidRPr="00FA381D" w:rsidRDefault="0E74F445" w:rsidP="0E74F445">
      <w:pPr>
        <w:pStyle w:val="BibEntry"/>
      </w:pPr>
      <w:r w:rsidRPr="00FA381D">
        <w:t>IEA</w:t>
      </w:r>
      <w:r w:rsidR="65F79D52" w:rsidRPr="00FA381D">
        <w:t xml:space="preserve">. </w:t>
      </w:r>
      <w:r w:rsidRPr="00FA381D">
        <w:t>2022b</w:t>
      </w:r>
      <w:r w:rsidR="65F79D52" w:rsidRPr="00FA381D">
        <w:t>.</w:t>
      </w:r>
      <w:r w:rsidRPr="00FA381D">
        <w:t xml:space="preserve"> </w:t>
      </w:r>
      <w:r w:rsidRPr="00FA381D">
        <w:rPr>
          <w:i/>
          <w:iCs/>
        </w:rPr>
        <w:t xml:space="preserve">Energy </w:t>
      </w:r>
      <w:r w:rsidR="65F79D52" w:rsidRPr="00FA381D">
        <w:rPr>
          <w:i/>
          <w:iCs/>
        </w:rPr>
        <w:t>End</w:t>
      </w:r>
      <w:r w:rsidR="65F79D52" w:rsidRPr="00FA381D">
        <w:t>-</w:t>
      </w:r>
      <w:r w:rsidR="65F79D52" w:rsidRPr="00FA381D">
        <w:rPr>
          <w:i/>
          <w:iCs/>
        </w:rPr>
        <w:t xml:space="preserve">Uses and </w:t>
      </w:r>
      <w:r w:rsidRPr="00FA381D">
        <w:rPr>
          <w:i/>
          <w:iCs/>
        </w:rPr>
        <w:t>Efficiency Indicators</w:t>
      </w:r>
      <w:r w:rsidR="65F79D52" w:rsidRPr="00FA381D">
        <w:t>.</w:t>
      </w:r>
      <w:r w:rsidRPr="00FA381D">
        <w:t xml:space="preserve"> </w:t>
      </w:r>
    </w:p>
    <w:p w14:paraId="6AE8C9B2" w14:textId="69FF3502" w:rsidR="00FA4126" w:rsidRDefault="65F79D52" w:rsidP="000669CE">
      <w:pPr>
        <w:pStyle w:val="BibEntry"/>
      </w:pPr>
      <w:r w:rsidRPr="00FA381D">
        <w:t>IFA. 2023. Databases. International Fertilizer Association. License: CC BY-NC-SA 3.0. https://www.ifastat.org/databases.</w:t>
      </w:r>
      <w:r>
        <w:t xml:space="preserve"> </w:t>
      </w:r>
    </w:p>
    <w:p w14:paraId="284AD2E1" w14:textId="5AC7D700" w:rsidR="00946918" w:rsidRDefault="65F79D52">
      <w:pPr>
        <w:pStyle w:val="BibEntry"/>
      </w:pPr>
      <w:r>
        <w:t>IMF (International Monetary Fund). 2021. Fossil Fuel Subsidies by Country and Fuel Database. https://www.imf.org/en/Topics/climate-change/energy-subsidies</w:t>
      </w:r>
    </w:p>
    <w:p w14:paraId="78521528" w14:textId="68DA34BF" w:rsidR="00D66FBB" w:rsidRPr="00FA4126" w:rsidRDefault="65F79D52" w:rsidP="0E74F445">
      <w:pPr>
        <w:pStyle w:val="BibEntry"/>
      </w:pPr>
      <w:r>
        <w:t xml:space="preserve">IPCC. 2006. </w:t>
      </w:r>
      <w:r w:rsidRPr="65F79D52">
        <w:rPr>
          <w:i/>
          <w:iCs/>
        </w:rPr>
        <w:t xml:space="preserve">2006 IPCC Guidelines for National Greenhouse Gas Inventories, Prepared by the National Greenhouse Gas Inventories </w:t>
      </w:r>
      <w:proofErr w:type="spellStart"/>
      <w:r w:rsidRPr="65F79D52">
        <w:rPr>
          <w:i/>
          <w:iCs/>
        </w:rPr>
        <w:t>Programme</w:t>
      </w:r>
      <w:proofErr w:type="spellEnd"/>
      <w:r>
        <w:t>. H.S. Eggleston, L. Buendia, K. Miwa, T. Ngara, and K. Tanabe (eds). Japan: IGES.</w:t>
      </w:r>
    </w:p>
    <w:p w14:paraId="57B573AE" w14:textId="60CD21A9" w:rsidR="00D66FBB" w:rsidRPr="00FA4126" w:rsidRDefault="65F79D52" w:rsidP="65F79D52">
      <w:pPr>
        <w:pStyle w:val="BibEntry"/>
      </w:pPr>
      <w:r>
        <w:t xml:space="preserve">IPCC (Intergovernmental Panel on Climate Change). 2019. </w:t>
      </w:r>
      <w:r w:rsidRPr="65F79D52">
        <w:rPr>
          <w:i/>
          <w:iCs/>
        </w:rPr>
        <w:t>2019 Refinement to the 2006 IPCC Guidelines for National Greenhouse Gas Inventories</w:t>
      </w:r>
      <w:r>
        <w:t xml:space="preserve">. E. Calvo Buendia, K. Tanabe, A. Kranjc, J. </w:t>
      </w:r>
      <w:proofErr w:type="spellStart"/>
      <w:r>
        <w:t>Baasansuren</w:t>
      </w:r>
      <w:proofErr w:type="spellEnd"/>
      <w:r>
        <w:t xml:space="preserve">, M. Fukuda, S. </w:t>
      </w:r>
      <w:proofErr w:type="spellStart"/>
      <w:r>
        <w:t>Ngarize</w:t>
      </w:r>
      <w:proofErr w:type="spellEnd"/>
      <w:r>
        <w:t xml:space="preserve">, A. Osako, Y. </w:t>
      </w:r>
      <w:proofErr w:type="spellStart"/>
      <w:r>
        <w:t>Pyrozhenko</w:t>
      </w:r>
      <w:proofErr w:type="spellEnd"/>
      <w:r>
        <w:t xml:space="preserve">, P. </w:t>
      </w:r>
      <w:proofErr w:type="spellStart"/>
      <w:proofErr w:type="gramStart"/>
      <w:r>
        <w:t>Shermanau</w:t>
      </w:r>
      <w:proofErr w:type="spellEnd"/>
      <w:r>
        <w:t>,  and</w:t>
      </w:r>
      <w:proofErr w:type="gramEnd"/>
      <w:r>
        <w:t xml:space="preserve"> S. Federici. (eds). Switzerland: IPCC. </w:t>
      </w:r>
    </w:p>
    <w:p w14:paraId="318AFAEA" w14:textId="60487B21" w:rsidR="00D66FBB" w:rsidRPr="00FA4126" w:rsidRDefault="0E74F445" w:rsidP="0E74F445">
      <w:pPr>
        <w:pStyle w:val="BibEntry"/>
      </w:pPr>
      <w:r>
        <w:t>ITA (International Trade Administration)</w:t>
      </w:r>
      <w:r w:rsidR="65F79D52">
        <w:t>.</w:t>
      </w:r>
      <w:r>
        <w:t xml:space="preserve"> </w:t>
      </w:r>
      <w:r w:rsidRPr="00667429">
        <w:rPr>
          <w:i/>
          <w:iCs/>
        </w:rPr>
        <w:t>U.S. Steel Executive Summary</w:t>
      </w:r>
      <w:r w:rsidR="65F79D52">
        <w:t>.</w:t>
      </w:r>
      <w:r>
        <w:t xml:space="preserve"> </w:t>
      </w:r>
      <w:r w:rsidR="65F79D52">
        <w:t>D</w:t>
      </w:r>
      <w:r>
        <w:t xml:space="preserve">ata visualization (undated). </w:t>
      </w:r>
    </w:p>
    <w:p w14:paraId="001C9495" w14:textId="51D5C059" w:rsidR="007B240A" w:rsidRDefault="0E74F445" w:rsidP="0E74F445">
      <w:pPr>
        <w:pStyle w:val="BibEntry"/>
      </w:pPr>
      <w:r w:rsidRPr="00667429">
        <w:t xml:space="preserve">Jiménez, R., Serebrisky, T., and Mercado, J. 2014. </w:t>
      </w:r>
      <w:r w:rsidRPr="00667429">
        <w:rPr>
          <w:i/>
          <w:iCs/>
        </w:rPr>
        <w:t>Sizing Electricity Losses in Transmission and Distribution Systems in Latin America and the Caribbean</w:t>
      </w:r>
      <w:r>
        <w:t>. Inter-American Development Bank.</w:t>
      </w:r>
    </w:p>
    <w:p w14:paraId="38403C61" w14:textId="3AFD3445" w:rsidR="00880F0F" w:rsidRDefault="0E74F445" w:rsidP="0E74F445">
      <w:pPr>
        <w:pStyle w:val="BibEntry"/>
      </w:pPr>
      <w:r>
        <w:t>Kassam, A., Friedrich, T., and Derpsch, R. 2019. "Global spread of conservation agriculture." </w:t>
      </w:r>
      <w:r w:rsidRPr="0E74F445">
        <w:rPr>
          <w:i/>
          <w:iCs/>
        </w:rPr>
        <w:t>International Journal of Environmental Studies</w:t>
      </w:r>
      <w:r>
        <w:t> 76(1): 29-51.</w:t>
      </w:r>
    </w:p>
    <w:p w14:paraId="17904581" w14:textId="5BA0C6E3" w:rsidR="00DA17A1" w:rsidRDefault="65F79D52" w:rsidP="0E74F445">
      <w:pPr>
        <w:pStyle w:val="BibEntry"/>
      </w:pPr>
      <w:r>
        <w:t xml:space="preserve">Komarek, A.M., Dunston, S., </w:t>
      </w:r>
      <w:proofErr w:type="spellStart"/>
      <w:r>
        <w:t>Enahoro</w:t>
      </w:r>
      <w:proofErr w:type="spellEnd"/>
      <w:r>
        <w:t>, D., Godfray, H.C.J., Herrero, M., Mason-</w:t>
      </w:r>
      <w:proofErr w:type="spellStart"/>
      <w:r>
        <w:t>D'Croz</w:t>
      </w:r>
      <w:proofErr w:type="spellEnd"/>
      <w:r>
        <w:t xml:space="preserve">, D., Rich, K.M. et al. 2021. "Income, consumer preferences, and the future of livestock-derived food demand." </w:t>
      </w:r>
      <w:r w:rsidRPr="00667429">
        <w:rPr>
          <w:i/>
          <w:iCs/>
        </w:rPr>
        <w:t>Global Environmental Change</w:t>
      </w:r>
      <w:r>
        <w:t xml:space="preserve"> 70: 102343.</w:t>
      </w:r>
    </w:p>
    <w:p w14:paraId="30D9EDE3" w14:textId="323FC0ED" w:rsidR="00A64B74" w:rsidRDefault="65F79D52" w:rsidP="0E74F445">
      <w:pPr>
        <w:pStyle w:val="BibEntry"/>
      </w:pPr>
      <w:r>
        <w:t>Krantz, R., Søgaard, K., and Smith, T. 2020. "The scale of investment needed to decarbonize international shipping." </w:t>
      </w:r>
      <w:r w:rsidRPr="65F79D52">
        <w:rPr>
          <w:i/>
          <w:iCs/>
        </w:rPr>
        <w:t>Getting to Zero Coalition Insight Series</w:t>
      </w:r>
      <w:r w:rsidRPr="65F79D52">
        <w:t xml:space="preserve"> January: 3-6.</w:t>
      </w:r>
      <w:r w:rsidRPr="65F79D52">
        <w:rPr>
          <w:highlight w:val="green"/>
        </w:rPr>
        <w:t xml:space="preserve"> </w:t>
      </w:r>
    </w:p>
    <w:p w14:paraId="20C32FBF" w14:textId="4B6DC58E" w:rsidR="00A64B74" w:rsidRDefault="0E74F445" w:rsidP="0E74F445">
      <w:pPr>
        <w:pStyle w:val="BibEntry"/>
      </w:pPr>
      <w:r>
        <w:t xml:space="preserve">Leming et al. 2017. </w:t>
      </w:r>
      <w:r w:rsidRPr="00667429">
        <w:rPr>
          <w:i/>
          <w:iCs/>
        </w:rPr>
        <w:t>Fly Ash in Concrete: An Overview of Benefits and Quantities Needed for Use in Portland Cement Concrete in North Carolina, South Carolina, and Virginia 2015 Report with 2017 Update Report</w:t>
      </w:r>
      <w:r>
        <w:t xml:space="preserve">. International Trade Association. </w:t>
      </w:r>
    </w:p>
    <w:p w14:paraId="0E20DE94" w14:textId="2F36979E" w:rsidR="00612ED7" w:rsidRPr="00916DF1" w:rsidRDefault="0E74F445" w:rsidP="0E74F445">
      <w:pPr>
        <w:pStyle w:val="BibEntry"/>
        <w:rPr>
          <w:rFonts w:eastAsia="Arial"/>
        </w:rPr>
      </w:pPr>
      <w:r w:rsidRPr="0E74F445">
        <w:rPr>
          <w:rFonts w:eastAsia="Arial"/>
        </w:rPr>
        <w:t xml:space="preserve">Liu, F., </w:t>
      </w:r>
      <w:proofErr w:type="spellStart"/>
      <w:r w:rsidRPr="0E74F445">
        <w:rPr>
          <w:rFonts w:eastAsia="Arial"/>
        </w:rPr>
        <w:t>Mauzerall</w:t>
      </w:r>
      <w:proofErr w:type="spellEnd"/>
      <w:r w:rsidRPr="0E74F445">
        <w:rPr>
          <w:rFonts w:eastAsia="Arial"/>
        </w:rPr>
        <w:t xml:space="preserve">, D.L., Zhao, F., and Hao, H. 2021. “Deployment of fuel cell vehicles in China: Greenhouse gas emission reductions from converting the heavy-duty truck from diesel and natural gas to hydrogen.” </w:t>
      </w:r>
      <w:r w:rsidRPr="00667429">
        <w:rPr>
          <w:rFonts w:eastAsia="Arial"/>
          <w:i/>
          <w:iCs/>
        </w:rPr>
        <w:t>International Journal of Hydrogen Energy</w:t>
      </w:r>
      <w:r w:rsidRPr="0E74F445">
        <w:rPr>
          <w:rFonts w:eastAsia="Arial"/>
        </w:rPr>
        <w:t>, 46(34): 17982-17997.</w:t>
      </w:r>
    </w:p>
    <w:p w14:paraId="23BBE33A" w14:textId="7A490509" w:rsidR="00432B1C" w:rsidRPr="00432B1C" w:rsidRDefault="65F79D52" w:rsidP="0E74F445">
      <w:pPr>
        <w:pStyle w:val="BibEntry"/>
      </w:pPr>
      <w:r>
        <w:t xml:space="preserve">Miller, S.A., and Moore, F.C. 2020. "Climate and health damages from global concrete production." </w:t>
      </w:r>
      <w:r w:rsidRPr="00667429">
        <w:rPr>
          <w:i/>
          <w:iCs/>
        </w:rPr>
        <w:t>Nature Climate Change</w:t>
      </w:r>
      <w:r>
        <w:t xml:space="preserve"> 10(5): 439-443.</w:t>
      </w:r>
    </w:p>
    <w:p w14:paraId="3CF4152A" w14:textId="05571225" w:rsidR="00DC7A55" w:rsidRPr="00432B1C" w:rsidRDefault="0E74F445" w:rsidP="0E74F445">
      <w:pPr>
        <w:pStyle w:val="BibEntry"/>
      </w:pPr>
      <w:r>
        <w:t xml:space="preserve">Minx, J.C., Lamb, W.F., Andrew, R.M., </w:t>
      </w:r>
      <w:proofErr w:type="spellStart"/>
      <w:r>
        <w:t>Canadell</w:t>
      </w:r>
      <w:proofErr w:type="spellEnd"/>
      <w:r>
        <w:t xml:space="preserve">, J.G., Crippa, M., </w:t>
      </w:r>
      <w:proofErr w:type="spellStart"/>
      <w:r>
        <w:t>Döbbeling</w:t>
      </w:r>
      <w:proofErr w:type="spellEnd"/>
      <w:r>
        <w:t xml:space="preserve">, N., et al. 2021. “A comprehensive and synthetic dataset for global, regional, and national greenhouse gas emissions by sector 1970–2018 with an extension to 2019.” </w:t>
      </w:r>
      <w:r w:rsidRPr="00667429">
        <w:rPr>
          <w:i/>
          <w:iCs/>
        </w:rPr>
        <w:t>Earth System Science Data</w:t>
      </w:r>
      <w:r>
        <w:t xml:space="preserve"> 13(11): 5213-5252.</w:t>
      </w:r>
    </w:p>
    <w:p w14:paraId="776F5352" w14:textId="6E5A7EE6" w:rsidR="0018341C" w:rsidRDefault="0018341C" w:rsidP="0018341C">
      <w:pPr>
        <w:pStyle w:val="BibEntry"/>
      </w:pPr>
      <w:r w:rsidRPr="0018341C">
        <w:t xml:space="preserve">National Research Council. 2015. </w:t>
      </w:r>
      <w:r w:rsidRPr="0018341C">
        <w:rPr>
          <w:i/>
          <w:iCs/>
        </w:rPr>
        <w:t>Cost, Effectiveness, and Deployment of Fuel Economy Technologies for Light-Duty Vehicles</w:t>
      </w:r>
      <w:r w:rsidRPr="0018341C">
        <w:t xml:space="preserve">. Washington, DC: The National Academies Press. https://doi.org/10.17226/21744. </w:t>
      </w:r>
    </w:p>
    <w:p w14:paraId="325331D4" w14:textId="1B3983A9" w:rsidR="000D7C1D" w:rsidRDefault="65F79D52" w:rsidP="65F79D52">
      <w:pPr>
        <w:pStyle w:val="BibEntry"/>
      </w:pPr>
      <w:r>
        <w:t>Oak Ridge National Laboratory. 2023. National Household Travel Survey: Person Miles Traveled. https//nhts.ornl.gov/person-miles</w:t>
      </w:r>
    </w:p>
    <w:p w14:paraId="730719FD" w14:textId="387066DC" w:rsidR="000D7C1D" w:rsidRPr="00C34F76" w:rsidRDefault="65F79D52" w:rsidP="65F79D52">
      <w:pPr>
        <w:pStyle w:val="BibEntry"/>
      </w:pPr>
      <w:r w:rsidRPr="00667429">
        <w:rPr>
          <w:lang w:val="fr-FR"/>
        </w:rPr>
        <w:t xml:space="preserve">OECD. 2023a. Passenger Transport </w:t>
      </w:r>
      <w:proofErr w:type="spellStart"/>
      <w:r w:rsidRPr="00667429">
        <w:rPr>
          <w:lang w:val="fr-FR"/>
        </w:rPr>
        <w:t>Database</w:t>
      </w:r>
      <w:proofErr w:type="spellEnd"/>
      <w:r w:rsidRPr="00667429">
        <w:rPr>
          <w:lang w:val="fr-FR"/>
        </w:rPr>
        <w:t xml:space="preserve">. </w:t>
      </w:r>
      <w:r w:rsidR="00560F69">
        <w:fldChar w:fldCharType="begin"/>
      </w:r>
      <w:r w:rsidR="00560F69" w:rsidRPr="00560F69">
        <w:rPr>
          <w:lang w:val="fr-FR"/>
        </w:rPr>
        <w:instrText>HYPERLINK "https://data.oecd.org/transport/"</w:instrText>
      </w:r>
      <w:r w:rsidR="00560F69">
        <w:fldChar w:fldCharType="separate"/>
      </w:r>
      <w:r w:rsidRPr="00C34F76">
        <w:t>https://data.oecd.org/transport/</w:t>
      </w:r>
      <w:r w:rsidR="00560F69">
        <w:fldChar w:fldCharType="end"/>
      </w:r>
      <w:r w:rsidRPr="00C34F76">
        <w:t>passenger-transport.htm#indicator-chart</w:t>
      </w:r>
    </w:p>
    <w:p w14:paraId="2F1BB472" w14:textId="2DF0C0F4" w:rsidR="000D7C1D" w:rsidRDefault="65F79D52" w:rsidP="65F79D52">
      <w:pPr>
        <w:pStyle w:val="BibEntry"/>
      </w:pPr>
      <w:r>
        <w:t xml:space="preserve">OECD. 2023b. Freight Transport Database. </w:t>
      </w:r>
      <w:hyperlink r:id="rId33" w:history="1">
        <w:r w:rsidR="00FA2E55" w:rsidRPr="005F2CE9">
          <w:rPr>
            <w:rStyle w:val="Hyperlink"/>
          </w:rPr>
          <w:t>https://www.oecd.org/statistics/data-collection/transport.htm</w:t>
        </w:r>
      </w:hyperlink>
      <w:r w:rsidR="00FA2E55">
        <w:t xml:space="preserve"> </w:t>
      </w:r>
    </w:p>
    <w:p w14:paraId="6F1CB9D4" w14:textId="562B7794" w:rsidR="007733B6" w:rsidRDefault="65F79D52" w:rsidP="0E74F445">
      <w:pPr>
        <w:pStyle w:val="BibEntry"/>
      </w:pPr>
      <w:r w:rsidRPr="00667429">
        <w:t xml:space="preserve">Pagiola, S., Ramírez, E., Gobbi, J., De Haan, C., Ibrahim, M., Murgueitio, E., and Ruíz, J.P. 2007. </w:t>
      </w:r>
      <w:r>
        <w:t xml:space="preserve">"Paying for the environmental services of </w:t>
      </w:r>
      <w:proofErr w:type="spellStart"/>
      <w:r>
        <w:t>silvopastoral</w:t>
      </w:r>
      <w:proofErr w:type="spellEnd"/>
      <w:r>
        <w:t xml:space="preserve"> practices in Nicaragua." </w:t>
      </w:r>
      <w:r w:rsidRPr="00667429">
        <w:rPr>
          <w:i/>
          <w:iCs/>
        </w:rPr>
        <w:t>Ecological Economics</w:t>
      </w:r>
      <w:r>
        <w:t xml:space="preserve"> 64(2): 374-385.</w:t>
      </w:r>
    </w:p>
    <w:p w14:paraId="57736EDF" w14:textId="7C19CCD5" w:rsidR="00836ED2" w:rsidRPr="006922DA" w:rsidRDefault="65F79D52" w:rsidP="65F79D52">
      <w:pPr>
        <w:pStyle w:val="BibEntry"/>
        <w:rPr>
          <w:rFonts w:eastAsia="Arial"/>
        </w:rPr>
      </w:pPr>
      <w:proofErr w:type="spellStart"/>
      <w:r w:rsidRPr="65F79D52">
        <w:rPr>
          <w:rFonts w:eastAsia="Arial"/>
        </w:rPr>
        <w:t>Paltsev</w:t>
      </w:r>
      <w:proofErr w:type="spellEnd"/>
      <w:r w:rsidRPr="65F79D52">
        <w:rPr>
          <w:rFonts w:eastAsia="Arial"/>
        </w:rPr>
        <w:t xml:space="preserve">, S., Morris, J., Kheshgi, H., and Herzog, H. 2021. "Hard-to-Abate Sectors: The role of industrial carbon capture and storage (CCS) in emission mitigation." </w:t>
      </w:r>
      <w:r w:rsidRPr="65F79D52">
        <w:rPr>
          <w:rFonts w:eastAsia="Arial"/>
          <w:i/>
          <w:iCs/>
        </w:rPr>
        <w:t>Applied Energy</w:t>
      </w:r>
      <w:r w:rsidRPr="65F79D52">
        <w:rPr>
          <w:rFonts w:eastAsia="Arial"/>
        </w:rPr>
        <w:t xml:space="preserve"> 300: </w:t>
      </w:r>
      <w:r w:rsidRPr="006922DA">
        <w:rPr>
          <w:rFonts w:eastAsia="Arial"/>
        </w:rPr>
        <w:t>117322.</w:t>
      </w:r>
      <w:r w:rsidRPr="006922DA">
        <w:t xml:space="preserve"> </w:t>
      </w:r>
    </w:p>
    <w:p w14:paraId="32462751" w14:textId="70A33063" w:rsidR="00836ED2" w:rsidRPr="006922DA" w:rsidRDefault="65F79D52" w:rsidP="65F79D52">
      <w:pPr>
        <w:pStyle w:val="BibEntry"/>
        <w:rPr>
          <w:rStyle w:val="Hyperlink"/>
        </w:rPr>
      </w:pPr>
      <w:r w:rsidRPr="006922DA">
        <w:t xml:space="preserve">Papaioannou, D., and Windisch, E. 2022. </w:t>
      </w:r>
      <w:proofErr w:type="spellStart"/>
      <w:r w:rsidRPr="006922DA">
        <w:rPr>
          <w:i/>
          <w:iCs/>
        </w:rPr>
        <w:t>Decarbonising</w:t>
      </w:r>
      <w:proofErr w:type="spellEnd"/>
      <w:r w:rsidRPr="006922DA">
        <w:rPr>
          <w:i/>
          <w:iCs/>
        </w:rPr>
        <w:t xml:space="preserve"> Transport in Latin American Cities: Assessing Scenarios to 2050</w:t>
      </w:r>
      <w:r w:rsidRPr="006922DA">
        <w:t xml:space="preserve">. Inter-American Development Bank. </w:t>
      </w:r>
      <w:hyperlink r:id="rId34" w:history="1">
        <w:r w:rsidRPr="006922DA">
          <w:rPr>
            <w:rStyle w:val="Hyperlink"/>
          </w:rPr>
          <w:t>https://publications.iadb.org/en/decarbonising-transport-latin-american-cities-assessing-scenarios-2050</w:t>
        </w:r>
      </w:hyperlink>
    </w:p>
    <w:p w14:paraId="24BA78C0" w14:textId="601977CC" w:rsidR="00760935" w:rsidRDefault="65F79D52" w:rsidP="0E74F445">
      <w:pPr>
        <w:pStyle w:val="BibEntry"/>
      </w:pPr>
      <w:r w:rsidRPr="006922DA">
        <w:t>Paternina Blanco</w:t>
      </w:r>
      <w:r>
        <w:t xml:space="preserve">, J., Windisch, E., Perkins, S., Ito, A., and </w:t>
      </w:r>
      <w:proofErr w:type="spellStart"/>
      <w:r>
        <w:t>Leape</w:t>
      </w:r>
      <w:proofErr w:type="spellEnd"/>
      <w:r>
        <w:t xml:space="preserve">, J. 2022. </w:t>
      </w:r>
      <w:proofErr w:type="spellStart"/>
      <w:r w:rsidRPr="00667429">
        <w:rPr>
          <w:i/>
          <w:iCs/>
        </w:rPr>
        <w:t>Decarbonising</w:t>
      </w:r>
      <w:proofErr w:type="spellEnd"/>
      <w:r w:rsidRPr="00667429">
        <w:rPr>
          <w:i/>
          <w:iCs/>
        </w:rPr>
        <w:t xml:space="preserve"> Transport in Latin American Cities: A Review of Policies and Key Challenges</w:t>
      </w:r>
      <w:r>
        <w:t>. Inter-American Development Bank. https://publications.iadb.org/en/decarbonising-transport-latin-american-cities-review-policies-and-key-challenges</w:t>
      </w:r>
    </w:p>
    <w:p w14:paraId="765DEC38" w14:textId="3630F548" w:rsidR="003A1200" w:rsidRPr="00667429" w:rsidRDefault="0E74F445" w:rsidP="0E74F445">
      <w:pPr>
        <w:pStyle w:val="BibEntry"/>
      </w:pPr>
      <w:r>
        <w:t xml:space="preserve">Perry, C., </w:t>
      </w:r>
      <w:proofErr w:type="spellStart"/>
      <w:r>
        <w:t>Misuriello</w:t>
      </w:r>
      <w:proofErr w:type="spellEnd"/>
      <w:r>
        <w:t xml:space="preserve">, H., and Amann, J. 2019. “Solar PV and Energy Efficiency in Residential Building Codes.” ACEEE white paper. </w:t>
      </w:r>
      <w:r w:rsidRPr="00667429">
        <w:t xml:space="preserve">April 2019, </w:t>
      </w:r>
    </w:p>
    <w:p w14:paraId="22567371" w14:textId="387FEF77" w:rsidR="03757DE5" w:rsidRDefault="0E74F445" w:rsidP="0E74F445">
      <w:pPr>
        <w:pStyle w:val="BibEntry"/>
      </w:pPr>
      <w:r w:rsidRPr="00560F69">
        <w:t xml:space="preserve">Poggio, L., de Sousa, L.M., Batjes, N.H., Heuvelink, G.B.M., Kempen, B., Ribeiro, E., and Rossiter, D. 2021. </w:t>
      </w:r>
      <w:r w:rsidRPr="00667429">
        <w:t>“</w:t>
      </w:r>
      <w:proofErr w:type="spellStart"/>
      <w:r>
        <w:t>Soilgrids</w:t>
      </w:r>
      <w:proofErr w:type="spellEnd"/>
      <w:r>
        <w:t xml:space="preserve"> 2.0: producing soil information for the globe with quantified spatial uncertainty.” </w:t>
      </w:r>
      <w:r w:rsidRPr="00667429">
        <w:rPr>
          <w:i/>
          <w:iCs/>
        </w:rPr>
        <w:t>SOIL</w:t>
      </w:r>
      <w:r>
        <w:t xml:space="preserve"> 7</w:t>
      </w:r>
      <w:r w:rsidRPr="00667429">
        <w:t>(</w:t>
      </w:r>
      <w:r>
        <w:t>1): 217</w:t>
      </w:r>
      <w:r w:rsidRPr="00667429">
        <w:t>-</w:t>
      </w:r>
      <w:r>
        <w:t>240.</w:t>
      </w:r>
    </w:p>
    <w:p w14:paraId="5CB12822" w14:textId="0BDF77F2" w:rsidR="006B2B8B" w:rsidRDefault="65F79D52" w:rsidP="0E74F445">
      <w:pPr>
        <w:pStyle w:val="BibEntry"/>
      </w:pPr>
      <w:r>
        <w:t>Popkin, B.M., and Reardon, T. 2018. "Obesity and the food system transformation in Latin America." </w:t>
      </w:r>
      <w:r w:rsidRPr="65F79D52">
        <w:rPr>
          <w:i/>
          <w:iCs/>
        </w:rPr>
        <w:t>Obesity Reviews</w:t>
      </w:r>
      <w:r>
        <w:t> 19(8): 1028-1064.</w:t>
      </w:r>
    </w:p>
    <w:p w14:paraId="41F7F30D" w14:textId="4296681B" w:rsidR="00A67FE1" w:rsidRDefault="0E74F445" w:rsidP="0E74F445">
      <w:pPr>
        <w:pStyle w:val="BibEntry"/>
      </w:pPr>
      <w:r>
        <w:t xml:space="preserve">Popovich, N.D., Rajagopal, D., </w:t>
      </w:r>
      <w:proofErr w:type="spellStart"/>
      <w:r>
        <w:t>Tasar</w:t>
      </w:r>
      <w:proofErr w:type="spellEnd"/>
      <w:r>
        <w:t xml:space="preserve">, E., and Phadke, A. 2021. "Economic, environmental and grid-resilience benefits of converting diesel trains to battery-electric." </w:t>
      </w:r>
      <w:r w:rsidRPr="00667429">
        <w:rPr>
          <w:i/>
          <w:iCs/>
        </w:rPr>
        <w:t>Nature Energy</w:t>
      </w:r>
      <w:r>
        <w:t xml:space="preserve"> 6(11): 1017-1025.</w:t>
      </w:r>
    </w:p>
    <w:p w14:paraId="745A28F3" w14:textId="5EA673EB" w:rsidR="00D10D02" w:rsidRDefault="65F79D52" w:rsidP="0E74F445">
      <w:pPr>
        <w:pStyle w:val="BibEntry"/>
      </w:pPr>
      <w:proofErr w:type="spellStart"/>
      <w:r w:rsidRPr="006922DA">
        <w:t>Pournazeri</w:t>
      </w:r>
      <w:proofErr w:type="spellEnd"/>
      <w:r w:rsidRPr="006922DA">
        <w:t xml:space="preserve">, S. 2022. </w:t>
      </w:r>
      <w:r w:rsidRPr="006922DA">
        <w:rPr>
          <w:i/>
          <w:iCs/>
        </w:rPr>
        <w:t>How Much Does Electric Vehicle Charging Infrastructure Actually Cost?</w:t>
      </w:r>
      <w:r w:rsidRPr="006922DA">
        <w:t xml:space="preserve"> ICF International.</w:t>
      </w:r>
    </w:p>
    <w:p w14:paraId="66581197" w14:textId="35A3DA8D" w:rsidR="00916DF1" w:rsidRPr="00916DF1" w:rsidRDefault="0E74F445">
      <w:pPr>
        <w:pStyle w:val="BibEntry"/>
        <w:rPr>
          <w:rFonts w:eastAsia="Arial"/>
        </w:rPr>
      </w:pPr>
      <w:r w:rsidRPr="00560F69">
        <w:rPr>
          <w:rFonts w:eastAsia="Arial"/>
        </w:rPr>
        <w:t xml:space="preserve">Ravigne, E., and Da Costa, P. 2021. </w:t>
      </w:r>
      <w:r w:rsidRPr="0E74F445">
        <w:rPr>
          <w:rFonts w:eastAsia="Arial"/>
        </w:rPr>
        <w:t xml:space="preserve">“Economic and environmental performances of natural gas for heavy trucks: A case study on the French automotive industry supply chain.” </w:t>
      </w:r>
      <w:r w:rsidRPr="00667429">
        <w:rPr>
          <w:rFonts w:eastAsia="Arial"/>
          <w:i/>
          <w:iCs/>
        </w:rPr>
        <w:t>Energy Policy</w:t>
      </w:r>
      <w:r w:rsidRPr="0E74F445">
        <w:rPr>
          <w:rFonts w:eastAsia="Arial"/>
        </w:rPr>
        <w:t xml:space="preserve"> 149: 112019.</w:t>
      </w:r>
    </w:p>
    <w:p w14:paraId="6E9A2504" w14:textId="5C627588" w:rsidR="009A1A4C" w:rsidRDefault="65F79D52" w:rsidP="65F79D52">
      <w:pPr>
        <w:pStyle w:val="BibEntry"/>
      </w:pPr>
      <w:proofErr w:type="spellStart"/>
      <w:r>
        <w:t>ReFED</w:t>
      </w:r>
      <w:proofErr w:type="spellEnd"/>
      <w:r>
        <w:t xml:space="preserve">, A. 2016. </w:t>
      </w:r>
      <w:r w:rsidRPr="00667429">
        <w:rPr>
          <w:i/>
          <w:iCs/>
        </w:rPr>
        <w:t>A Roadmap to Reduce US Food Waste by 20 Percent.</w:t>
      </w:r>
      <w:r>
        <w:t xml:space="preserve"> New York, NY: Rockefeller Foundation.</w:t>
      </w:r>
    </w:p>
    <w:p w14:paraId="609A588B" w14:textId="6B851871" w:rsidR="0019538A" w:rsidRDefault="0E74F445">
      <w:pPr>
        <w:pStyle w:val="BibEntry"/>
      </w:pPr>
      <w:r>
        <w:t xml:space="preserve">Rissman, J. 2022. </w:t>
      </w:r>
      <w:r w:rsidRPr="00667429">
        <w:rPr>
          <w:i/>
          <w:iCs/>
        </w:rPr>
        <w:t>Decarbonizing Low-Temperature Industrial Heat in the U.S.</w:t>
      </w:r>
      <w:r>
        <w:t xml:space="preserve"> Energy Innovation Policy &amp; Technology.</w:t>
      </w:r>
    </w:p>
    <w:p w14:paraId="6AB51A4B" w14:textId="6A5AF70B" w:rsidR="006F34F2" w:rsidRPr="00667429" w:rsidRDefault="65F79D52" w:rsidP="00667429">
      <w:pPr>
        <w:pStyle w:val="BibEntry"/>
      </w:pPr>
      <w:r>
        <w:t xml:space="preserve">Sadri, J., and Suen, C.-Y. 2006. "A genetic binary particle swarm optimization model." </w:t>
      </w:r>
      <w:r w:rsidRPr="00667429">
        <w:rPr>
          <w:i/>
          <w:iCs/>
        </w:rPr>
        <w:t>2006 IEEE International Conference on Evolutionary Computation</w:t>
      </w:r>
      <w:r>
        <w:t>.</w:t>
      </w:r>
      <w:r w:rsidRPr="00667429">
        <w:t xml:space="preserve"> IEEE</w:t>
      </w:r>
      <w:r>
        <w:t>,</w:t>
      </w:r>
      <w:r w:rsidRPr="00667429">
        <w:t xml:space="preserve"> pp. 656-663.</w:t>
      </w:r>
    </w:p>
    <w:p w14:paraId="3794867B" w14:textId="55EE37EF" w:rsidR="005B4FA2" w:rsidRDefault="65F79D52" w:rsidP="65F79D52">
      <w:pPr>
        <w:pStyle w:val="BibEntry"/>
      </w:pPr>
      <w:r>
        <w:t xml:space="preserve">SHP (Soil Health Partnership), EDF (Environmental Defense Fund), and Isom, K.C. 2021. </w:t>
      </w:r>
      <w:r w:rsidRPr="65F79D52">
        <w:rPr>
          <w:i/>
          <w:iCs/>
        </w:rPr>
        <w:t>Conservation’s Impact on the Farm Bottom Line</w:t>
      </w:r>
      <w:r>
        <w:t>. https://www.soilhealthpartnership.org/wp-content/uploads/2021/02/Conservation-Impact-On-Farm-Bottom-Line-2021.pdf</w:t>
      </w:r>
      <w:r w:rsidRPr="00667429">
        <w:t xml:space="preserve"> </w:t>
      </w:r>
    </w:p>
    <w:p w14:paraId="58A7DA70" w14:textId="6430C426" w:rsidR="005B4FA2" w:rsidRDefault="65F79D52" w:rsidP="65F79D52">
      <w:pPr>
        <w:pStyle w:val="BibEntry"/>
      </w:pPr>
      <w:r w:rsidRPr="65F79D52">
        <w:rPr>
          <w:lang w:val="pt-BR"/>
        </w:rPr>
        <w:t>Sindicato Nacional da Indústria do Cimento (</w:t>
      </w:r>
      <w:proofErr w:type="spellStart"/>
      <w:r w:rsidRPr="65F79D52">
        <w:rPr>
          <w:lang w:val="pt-BR"/>
        </w:rPr>
        <w:t>Brazil</w:t>
      </w:r>
      <w:proofErr w:type="spellEnd"/>
      <w:r w:rsidRPr="65F79D52">
        <w:rPr>
          <w:lang w:val="pt-BR"/>
        </w:rPr>
        <w:t xml:space="preserve">). </w:t>
      </w:r>
      <w:r>
        <w:t>2022. “Cement price in selected countries in Latin America from 2019 to 2021 (in U.S. dollars per metric ton)” [</w:t>
      </w:r>
      <w:r w:rsidRPr="00667429">
        <w:t>g</w:t>
      </w:r>
      <w:r>
        <w:t xml:space="preserve">raph]. </w:t>
      </w:r>
      <w:r w:rsidRPr="65F79D52">
        <w:rPr>
          <w:i/>
          <w:iCs/>
        </w:rPr>
        <w:t>Statista</w:t>
      </w:r>
      <w:r>
        <w:t>. https://www.statista.com/statistics/1232594/latin-america-cement-price-country/</w:t>
      </w:r>
    </w:p>
    <w:p w14:paraId="4EE37630" w14:textId="44E33927" w:rsidR="0019538A" w:rsidRDefault="0E74F445" w:rsidP="0E74F445">
      <w:pPr>
        <w:pStyle w:val="BibEntry"/>
      </w:pPr>
      <w:proofErr w:type="spellStart"/>
      <w:r>
        <w:t>Sovacool</w:t>
      </w:r>
      <w:proofErr w:type="spellEnd"/>
      <w:r>
        <w:t xml:space="preserve">, B.K., Griffiths, S., Kim, J., and </w:t>
      </w:r>
      <w:proofErr w:type="spellStart"/>
      <w:r>
        <w:t>Bazilian</w:t>
      </w:r>
      <w:proofErr w:type="spellEnd"/>
      <w:r>
        <w:t>, M. 2021. "Climate change and industrial F-gases: A critical and systematic review of developments, sociotechnical systems and policy options for reducing synthetic greenhouse gas emissions." </w:t>
      </w:r>
      <w:r w:rsidRPr="0E74F445">
        <w:rPr>
          <w:i/>
          <w:iCs/>
        </w:rPr>
        <w:t xml:space="preserve">Renewable and </w:t>
      </w:r>
      <w:r>
        <w:t>S</w:t>
      </w:r>
      <w:r w:rsidRPr="0E74F445">
        <w:rPr>
          <w:i/>
          <w:iCs/>
        </w:rPr>
        <w:t xml:space="preserve">ustainable Energy </w:t>
      </w:r>
      <w:r w:rsidRPr="00667429">
        <w:rPr>
          <w:i/>
          <w:iCs/>
        </w:rPr>
        <w:t>Rev</w:t>
      </w:r>
      <w:r w:rsidRPr="0E74F445">
        <w:rPr>
          <w:i/>
          <w:iCs/>
        </w:rPr>
        <w:t>iews</w:t>
      </w:r>
      <w:r>
        <w:t> 141: 110759.</w:t>
      </w:r>
    </w:p>
    <w:p w14:paraId="71E58368" w14:textId="2FCE8A86" w:rsidR="00F31BA2" w:rsidRDefault="0E74F445" w:rsidP="0E74F445">
      <w:pPr>
        <w:pStyle w:val="BibEntry"/>
      </w:pPr>
      <w:r>
        <w:t xml:space="preserve">Sperow, M. 2020. “What might it cost to increase soil organic carbon using no-till on US cropland?" </w:t>
      </w:r>
      <w:r w:rsidRPr="00667429">
        <w:rPr>
          <w:i/>
          <w:iCs/>
        </w:rPr>
        <w:t>Carbon Balance and Management</w:t>
      </w:r>
      <w:r>
        <w:t>, 15(1): 1-13.</w:t>
      </w:r>
    </w:p>
    <w:p w14:paraId="66FBE2B4" w14:textId="124291BF" w:rsidR="00857B98" w:rsidRDefault="65F79D52" w:rsidP="0E74F445">
      <w:pPr>
        <w:pStyle w:val="BibEntry"/>
      </w:pPr>
      <w:r>
        <w:t xml:space="preserve">Springmann, M., Godfray, H.C.J., Rayner, M., and Scarborough, P. 2016. "Analysis and valuation of the health and climate change </w:t>
      </w:r>
      <w:proofErr w:type="spellStart"/>
      <w:r>
        <w:t>cobenefits</w:t>
      </w:r>
      <w:proofErr w:type="spellEnd"/>
      <w:r>
        <w:t xml:space="preserve"> of dietary change." </w:t>
      </w:r>
      <w:r w:rsidRPr="65F79D52">
        <w:rPr>
          <w:i/>
          <w:iCs/>
        </w:rPr>
        <w:t>Proceedings of the National Academy of Sciences</w:t>
      </w:r>
      <w:r>
        <w:t> 113(15): 4146-4151.</w:t>
      </w:r>
    </w:p>
    <w:p w14:paraId="6EB21502" w14:textId="5FE48D11" w:rsidR="00EE0DB2" w:rsidRPr="00065019" w:rsidRDefault="0E74F445" w:rsidP="0E74F445">
      <w:pPr>
        <w:pStyle w:val="BibEntry"/>
      </w:pPr>
      <w:r>
        <w:t>Springmann, M., Mason-</w:t>
      </w:r>
      <w:proofErr w:type="spellStart"/>
      <w:r>
        <w:t>D’Croz</w:t>
      </w:r>
      <w:proofErr w:type="spellEnd"/>
      <w:r>
        <w:t xml:space="preserve">, D., Robinson, S., Wiebe, K., Godfray, H.C.J., Rayner, M., and Scarborough, P. 2017. "Mitigation potential and global health impacts from emissions </w:t>
      </w:r>
      <w:r w:rsidRPr="00065019">
        <w:t>pricing of food commodities." </w:t>
      </w:r>
      <w:r w:rsidRPr="00065019">
        <w:rPr>
          <w:i/>
          <w:iCs/>
        </w:rPr>
        <w:t>Nature Climate Change</w:t>
      </w:r>
      <w:r w:rsidRPr="00065019">
        <w:t> 7(1): 69-74.</w:t>
      </w:r>
    </w:p>
    <w:p w14:paraId="1A9A7D33" w14:textId="0C7ED7A4" w:rsidR="27D37F11" w:rsidRPr="00065019" w:rsidRDefault="65F79D52" w:rsidP="0E74F445">
      <w:pPr>
        <w:pStyle w:val="BibEntry"/>
      </w:pPr>
      <w:r w:rsidRPr="00065019">
        <w:t>Stockholm Environmental Institute (2023). NEMO: Next Energy Modeling system for Optimization [documentation]. https://sei-international.github.io/NemoMod.jl/stable/</w:t>
      </w:r>
    </w:p>
    <w:p w14:paraId="68FE928B" w14:textId="100B68E1" w:rsidR="00C97533" w:rsidRPr="00C97533" w:rsidRDefault="0E74F445">
      <w:pPr>
        <w:pStyle w:val="BibEntry"/>
      </w:pPr>
      <w:r w:rsidRPr="00065019">
        <w:t xml:space="preserve">Talaei, A., Pier, D., Iyer, A.V., </w:t>
      </w:r>
      <w:proofErr w:type="spellStart"/>
      <w:r w:rsidRPr="00065019">
        <w:t>Ahiduzzaman</w:t>
      </w:r>
      <w:proofErr w:type="spellEnd"/>
      <w:r w:rsidRPr="00065019">
        <w:t>, M., and Kumar, A. 2019. "Assessment of long-term energy efficiency improvement and greenhouse gas emissions mitigation options for the cement</w:t>
      </w:r>
      <w:r>
        <w:t xml:space="preserve"> industry." </w:t>
      </w:r>
      <w:r w:rsidRPr="0E74F445">
        <w:rPr>
          <w:i/>
          <w:iCs/>
        </w:rPr>
        <w:t>Energy</w:t>
      </w:r>
      <w:r>
        <w:t> 170: 1051-1066.</w:t>
      </w:r>
    </w:p>
    <w:p w14:paraId="2F0BF27E" w14:textId="60AA3598" w:rsidR="00C97533" w:rsidRDefault="65F79D52" w:rsidP="0E74F445">
      <w:pPr>
        <w:pStyle w:val="BibEntry"/>
      </w:pPr>
      <w:r>
        <w:t xml:space="preserve">Talaei, A., </w:t>
      </w:r>
      <w:proofErr w:type="spellStart"/>
      <w:r>
        <w:t>Ahiduzzaman</w:t>
      </w:r>
      <w:proofErr w:type="spellEnd"/>
      <w:r>
        <w:t>, M., Davis, M., Gemechu, E., and Kumar, A. 2020. "Potential for energy efficiency improvement and greenhouse gas mitigation in Canada’s iron and steel industry." </w:t>
      </w:r>
      <w:r w:rsidRPr="65F79D52">
        <w:rPr>
          <w:i/>
          <w:iCs/>
        </w:rPr>
        <w:t>Energy Efficiency</w:t>
      </w:r>
      <w:r>
        <w:t> 13(6): 1213-1243.</w:t>
      </w:r>
    </w:p>
    <w:p w14:paraId="19E162E1" w14:textId="4DD591FF" w:rsidR="03757DE5" w:rsidRDefault="0E74F445" w:rsidP="0E74F445">
      <w:pPr>
        <w:pStyle w:val="BibEntry"/>
      </w:pPr>
      <w:proofErr w:type="spellStart"/>
      <w:r>
        <w:t>Talaiekhozani</w:t>
      </w:r>
      <w:proofErr w:type="spellEnd"/>
      <w:r>
        <w:t xml:space="preserve">, A., </w:t>
      </w:r>
      <w:proofErr w:type="spellStart"/>
      <w:r>
        <w:t>Ghaffarpassand</w:t>
      </w:r>
      <w:proofErr w:type="spellEnd"/>
      <w:r>
        <w:t xml:space="preserve">, O., Talaei, M.R., Neshat, N., and </w:t>
      </w:r>
      <w:proofErr w:type="spellStart"/>
      <w:r>
        <w:t>Eydivandi</w:t>
      </w:r>
      <w:proofErr w:type="spellEnd"/>
      <w:r>
        <w:t xml:space="preserve">, B. 2017. “Evaluation of emission inventory of air pollutants from railroad and air transportation in Isfahan metropolitan in 2016.” </w:t>
      </w:r>
      <w:r w:rsidRPr="0E74F445">
        <w:rPr>
          <w:i/>
          <w:iCs/>
        </w:rPr>
        <w:t xml:space="preserve">Journal of Air Pollution and Health </w:t>
      </w:r>
      <w:r>
        <w:t>2(1).</w:t>
      </w:r>
    </w:p>
    <w:p w14:paraId="43BCC604" w14:textId="30118D4E" w:rsidR="001361D6" w:rsidRDefault="0E74F445" w:rsidP="0E74F445">
      <w:pPr>
        <w:pStyle w:val="BibEntry"/>
      </w:pPr>
      <w:r>
        <w:t xml:space="preserve">Taye, F.A., Folkersen, M.V., Fleming, C.M., Buckwell, A., Mackey, B., Diwakar, K.C., Le, D., Hasan, S., and Saint Ange, C. 2021. "The economic values of global forest ecosystem services: A meta-analysis." </w:t>
      </w:r>
      <w:r w:rsidRPr="00667429">
        <w:rPr>
          <w:i/>
          <w:iCs/>
        </w:rPr>
        <w:t>Ecological Economics</w:t>
      </w:r>
      <w:r>
        <w:t xml:space="preserve"> 189: 107145.</w:t>
      </w:r>
    </w:p>
    <w:p w14:paraId="2C14F78B" w14:textId="639B25A8" w:rsidR="00881706" w:rsidRDefault="0E74F445" w:rsidP="0E74F445">
      <w:pPr>
        <w:pStyle w:val="BibEntry"/>
      </w:pPr>
      <w:r>
        <w:t xml:space="preserve">Telles, T.S., Reydon, B.P., and Maia, A.G. 2018. "Effects of no-tillage on agricultural land values in Brazil." </w:t>
      </w:r>
      <w:r w:rsidRPr="00667429">
        <w:rPr>
          <w:i/>
          <w:iCs/>
        </w:rPr>
        <w:t>Land Use Policy</w:t>
      </w:r>
      <w:r>
        <w:t xml:space="preserve"> 76: 124-129.</w:t>
      </w:r>
    </w:p>
    <w:p w14:paraId="0CB171C6" w14:textId="7B3D973F" w:rsidR="00DB153A" w:rsidRPr="00065019" w:rsidRDefault="65F79D52" w:rsidP="0E74F445">
      <w:pPr>
        <w:pStyle w:val="BibEntry"/>
      </w:pPr>
      <w:r w:rsidRPr="00065019">
        <w:t xml:space="preserve">Timmer, M.P., </w:t>
      </w:r>
      <w:proofErr w:type="spellStart"/>
      <w:r w:rsidRPr="00065019">
        <w:t>Dietzenbacher</w:t>
      </w:r>
      <w:proofErr w:type="spellEnd"/>
      <w:r w:rsidRPr="00065019">
        <w:t xml:space="preserve">, E., Los, B., </w:t>
      </w:r>
      <w:proofErr w:type="spellStart"/>
      <w:r w:rsidRPr="00065019">
        <w:t>Stehrer</w:t>
      </w:r>
      <w:proofErr w:type="spellEnd"/>
      <w:r w:rsidRPr="00065019">
        <w:t>, R. and de Vries, G.J. 2015. “</w:t>
      </w:r>
      <w:r w:rsidR="00A51F7B" w:rsidRPr="00065019">
        <w:t xml:space="preserve">An Illustrated User Guide to the World Input–Output Database: </w:t>
      </w:r>
      <w:proofErr w:type="gramStart"/>
      <w:r w:rsidR="00A51F7B" w:rsidRPr="00065019">
        <w:t>the</w:t>
      </w:r>
      <w:proofErr w:type="gramEnd"/>
      <w:r w:rsidR="00A51F7B" w:rsidRPr="00065019">
        <w:t xml:space="preserve"> Case of Global Automotive Production</w:t>
      </w:r>
      <w:r w:rsidRPr="00065019">
        <w:t>” </w:t>
      </w:r>
      <w:r w:rsidRPr="00065019">
        <w:rPr>
          <w:i/>
          <w:iCs/>
        </w:rPr>
        <w:t>Review of International Economics</w:t>
      </w:r>
      <w:r w:rsidRPr="00065019">
        <w:t xml:space="preserve"> 23(3): 575–605.</w:t>
      </w:r>
    </w:p>
    <w:p w14:paraId="43ABF37D" w14:textId="5BF40AB7" w:rsidR="03757DE5" w:rsidRPr="00065019" w:rsidRDefault="65F79D52" w:rsidP="0E74F445">
      <w:pPr>
        <w:pStyle w:val="BibEntry"/>
      </w:pPr>
      <w:r w:rsidRPr="00065019">
        <w:t xml:space="preserve">To, W.M., Lee, P.K.C., and Yu, B.T.W. 2020. “Sustainability assessment of an urban rail system—The case of Hong Kong.” </w:t>
      </w:r>
      <w:r w:rsidRPr="00065019">
        <w:rPr>
          <w:i/>
          <w:iCs/>
        </w:rPr>
        <w:t>Journal of Cleaner Production</w:t>
      </w:r>
      <w:r w:rsidRPr="00065019">
        <w:t xml:space="preserve"> 253: 119961. https://doi.org/10.1016/j.jclepro.2020.119961</w:t>
      </w:r>
    </w:p>
    <w:p w14:paraId="43779AA2" w14:textId="2C2167FE" w:rsidR="00432B1C" w:rsidRDefault="65F79D52" w:rsidP="0E74F445">
      <w:pPr>
        <w:pStyle w:val="BibEntry"/>
      </w:pPr>
      <w:r w:rsidRPr="00065019">
        <w:t xml:space="preserve">Tost, M., Murguia, D., Hitch, M., Lutter, S., Luckeneder, S., </w:t>
      </w:r>
      <w:proofErr w:type="spellStart"/>
      <w:r w:rsidRPr="00065019">
        <w:t>Feiel</w:t>
      </w:r>
      <w:proofErr w:type="spellEnd"/>
      <w:r w:rsidRPr="00065019">
        <w:t xml:space="preserve">, S., and Moser, P. 2020. "Ecosystem services costs of metal mining and pressures on biomes." </w:t>
      </w:r>
      <w:r w:rsidRPr="00065019">
        <w:rPr>
          <w:i/>
          <w:iCs/>
        </w:rPr>
        <w:t>The Extractive Industries and Society</w:t>
      </w:r>
      <w:r w:rsidRPr="00065019">
        <w:t xml:space="preserve"> 7(1): 79-86.</w:t>
      </w:r>
    </w:p>
    <w:p w14:paraId="689B14B9" w14:textId="7FDE79A0" w:rsidR="0032060A" w:rsidRDefault="65F79D52">
      <w:pPr>
        <w:pStyle w:val="BibEntry"/>
      </w:pPr>
      <w:r>
        <w:t xml:space="preserve">UNEP (United Nations Environmental </w:t>
      </w:r>
      <w:proofErr w:type="spellStart"/>
      <w:r>
        <w:t>Programme</w:t>
      </w:r>
      <w:proofErr w:type="spellEnd"/>
      <w:r>
        <w:t xml:space="preserve">. 2018. </w:t>
      </w:r>
      <w:r w:rsidRPr="00667429">
        <w:rPr>
          <w:i/>
          <w:iCs/>
        </w:rPr>
        <w:t>Waste Management Outlook for Latin America and the Caribbean</w:t>
      </w:r>
      <w:r>
        <w:t>. UNEP.</w:t>
      </w:r>
    </w:p>
    <w:p w14:paraId="76CC8BCB" w14:textId="1256DF57" w:rsidR="0032060A" w:rsidRDefault="65F79D52">
      <w:pPr>
        <w:pStyle w:val="BibEntry"/>
      </w:pPr>
      <w:r>
        <w:t xml:space="preserve">UNEP. 2019. </w:t>
      </w:r>
      <w:r w:rsidRPr="00667429">
        <w:rPr>
          <w:i/>
          <w:iCs/>
        </w:rPr>
        <w:t>Food Waste Index Report</w:t>
      </w:r>
      <w:r>
        <w:t>. UNEP.</w:t>
      </w:r>
    </w:p>
    <w:p w14:paraId="2EDD6AA2" w14:textId="2C792D78" w:rsidR="03757DE5" w:rsidRDefault="0E74F445" w:rsidP="0E74F445">
      <w:pPr>
        <w:pStyle w:val="BibEntry"/>
      </w:pPr>
      <w:r>
        <w:t xml:space="preserve">United Nations Statistics Division. 2023. Energy Statistics Database—Electricity—Total Net Installed Capacity of Electric Power Plants. http://data.un.org/ </w:t>
      </w:r>
      <w:proofErr w:type="spellStart"/>
      <w:r>
        <w:t>Data.aspx?d</w:t>
      </w:r>
      <w:proofErr w:type="spellEnd"/>
      <w:r>
        <w:t>=</w:t>
      </w:r>
      <w:proofErr w:type="spellStart"/>
      <w:r>
        <w:t>EDATA&amp;f</w:t>
      </w:r>
      <w:proofErr w:type="spellEnd"/>
      <w:r>
        <w:t>=cmID%3AEC</w:t>
      </w:r>
    </w:p>
    <w:p w14:paraId="64016755" w14:textId="3FD2158F" w:rsidR="002358A1" w:rsidRDefault="0E74F445" w:rsidP="00A459FF">
      <w:pPr>
        <w:pStyle w:val="BibEntry"/>
      </w:pPr>
      <w:r>
        <w:t xml:space="preserve">United States Department of Transportation, </w:t>
      </w:r>
      <w:r w:rsidRPr="00667429">
        <w:rPr>
          <w:i/>
          <w:iCs/>
        </w:rPr>
        <w:t>National Transportation Statistics</w:t>
      </w:r>
      <w:r>
        <w:t>. Bureau of Transportation Statistics (undated).</w:t>
      </w:r>
    </w:p>
    <w:p w14:paraId="72E17E63" w14:textId="1EE16F57" w:rsidR="005A04A6" w:rsidRDefault="65F79D52" w:rsidP="00926D08">
      <w:pPr>
        <w:pStyle w:val="BibEntry"/>
      </w:pPr>
      <w:r>
        <w:t xml:space="preserve">US Department of Transportation Federal Highway Administration. 2023. Table 3-4: Average Payload and Empty Weight of Trucks on the Highway System. </w:t>
      </w:r>
      <w:hyperlink r:id="rId35" w:history="1">
        <w:r w:rsidR="003248D5" w:rsidRPr="005F2CE9">
          <w:rPr>
            <w:rStyle w:val="Hyperlink"/>
          </w:rPr>
          <w:t>https://ops.fhwa.dot.gov/freight/</w:t>
        </w:r>
      </w:hyperlink>
      <w:r w:rsidR="003248D5">
        <w:t xml:space="preserve"> </w:t>
      </w:r>
      <w:r>
        <w:t xml:space="preserve"> </w:t>
      </w:r>
    </w:p>
    <w:p w14:paraId="3F5E73A3" w14:textId="4759E6A2" w:rsidR="00FE7AB7" w:rsidRPr="00667429" w:rsidRDefault="65F79D52" w:rsidP="65F79D52">
      <w:pPr>
        <w:pStyle w:val="BibEntry"/>
        <w:rPr>
          <w:lang w:val="pt-BR"/>
        </w:rPr>
      </w:pPr>
      <w:r>
        <w:t xml:space="preserve">United States FTA (Federal Transit Administration). </w:t>
      </w:r>
      <w:r w:rsidRPr="00667429">
        <w:rPr>
          <w:lang w:val="pt-BR"/>
        </w:rPr>
        <w:t xml:space="preserve">2021. </w:t>
      </w:r>
      <w:proofErr w:type="spellStart"/>
      <w:r w:rsidRPr="00667429">
        <w:rPr>
          <w:lang w:val="pt-BR"/>
        </w:rPr>
        <w:t>National</w:t>
      </w:r>
      <w:proofErr w:type="spellEnd"/>
      <w:r w:rsidRPr="00667429">
        <w:rPr>
          <w:lang w:val="pt-BR"/>
        </w:rPr>
        <w:t xml:space="preserve"> Transit </w:t>
      </w:r>
      <w:proofErr w:type="spellStart"/>
      <w:r w:rsidRPr="00667429">
        <w:rPr>
          <w:lang w:val="pt-BR"/>
        </w:rPr>
        <w:t>Database</w:t>
      </w:r>
      <w:proofErr w:type="spellEnd"/>
      <w:r w:rsidRPr="00667429">
        <w:rPr>
          <w:lang w:val="pt-BR"/>
        </w:rPr>
        <w:t xml:space="preserve"> 2021. </w:t>
      </w:r>
      <w:hyperlink r:id="rId36" w:history="1">
        <w:r w:rsidRPr="00667429">
          <w:rPr>
            <w:lang w:val="pt-BR"/>
          </w:rPr>
          <w:t>https://www.transit.dot.gov/ntd</w:t>
        </w:r>
      </w:hyperlink>
      <w:r w:rsidRPr="00667429">
        <w:rPr>
          <w:lang w:val="pt-BR"/>
        </w:rPr>
        <w:t xml:space="preserve"> </w:t>
      </w:r>
    </w:p>
    <w:p w14:paraId="0A7CA703" w14:textId="3E3B37E4" w:rsidR="00FE7AB7" w:rsidRDefault="65F79D52" w:rsidP="65F79D52">
      <w:pPr>
        <w:pStyle w:val="BibEntry"/>
      </w:pPr>
      <w:r w:rsidRPr="65F79D52">
        <w:rPr>
          <w:lang w:val="pt-BR"/>
        </w:rPr>
        <w:t xml:space="preserve">Vergara, W., </w:t>
      </w:r>
      <w:proofErr w:type="spellStart"/>
      <w:r w:rsidRPr="65F79D52">
        <w:rPr>
          <w:lang w:val="pt-BR"/>
        </w:rPr>
        <w:t>Fenhann</w:t>
      </w:r>
      <w:proofErr w:type="spellEnd"/>
      <w:r w:rsidRPr="65F79D52">
        <w:rPr>
          <w:lang w:val="pt-BR"/>
        </w:rPr>
        <w:t xml:space="preserve">, J.V., and Santos da Silva, S.R. 2021. </w:t>
      </w:r>
      <w:r w:rsidRPr="00667429">
        <w:rPr>
          <w:i/>
          <w:iCs/>
        </w:rPr>
        <w:t xml:space="preserve">The Opportunity, Cost, and Benefits of the Coupled Decarbonization of the Power and Transport Sectors in Latin America and the </w:t>
      </w:r>
      <w:proofErr w:type="spellStart"/>
      <w:r w:rsidRPr="00667429">
        <w:rPr>
          <w:i/>
          <w:iCs/>
        </w:rPr>
        <w:t>Carribean</w:t>
      </w:r>
      <w:proofErr w:type="spellEnd"/>
      <w:r>
        <w:t>. Panama: UN</w:t>
      </w:r>
      <w:r w:rsidRPr="00667429">
        <w:t>EP</w:t>
      </w:r>
      <w:r>
        <w:t xml:space="preserve">, Office for Latin </w:t>
      </w:r>
      <w:proofErr w:type="gramStart"/>
      <w:r>
        <w:t>America</w:t>
      </w:r>
      <w:proofErr w:type="gramEnd"/>
      <w:r>
        <w:t xml:space="preserve"> and the Caribbean.</w:t>
      </w:r>
    </w:p>
    <w:p w14:paraId="1AFC083A" w14:textId="5D381034" w:rsidR="003D2718" w:rsidRDefault="0E74F445" w:rsidP="0E74F445">
      <w:pPr>
        <w:pStyle w:val="BibEntry"/>
      </w:pPr>
      <w:r>
        <w:t xml:space="preserve">Wang, D., Tan, D., and Liu, L. 2018. "Particle swarm optimization algorithm: an overview." </w:t>
      </w:r>
      <w:r w:rsidRPr="00667429">
        <w:rPr>
          <w:i/>
          <w:iCs/>
        </w:rPr>
        <w:t>Soft Computing</w:t>
      </w:r>
      <w:r>
        <w:t xml:space="preserve"> 22: 387-408.</w:t>
      </w:r>
    </w:p>
    <w:p w14:paraId="1C8AF8FD" w14:textId="1E8C72F6" w:rsidR="005F710B" w:rsidRDefault="0E74F445" w:rsidP="0E74F445">
      <w:pPr>
        <w:pStyle w:val="BibEntry"/>
      </w:pPr>
      <w:r>
        <w:t>West, P.C., Gerber, J.S., Engstrom, P.M., Mueller, N.D., Brauman, K.A., Carlson, K.M., Cassidy, E.Y., et al. 2017. "Leverage points for improving global food security and the environment." </w:t>
      </w:r>
      <w:r w:rsidRPr="0E74F445">
        <w:rPr>
          <w:i/>
          <w:iCs/>
        </w:rPr>
        <w:t>Science</w:t>
      </w:r>
      <w:r>
        <w:t> 345(6194): 325-328.</w:t>
      </w:r>
    </w:p>
    <w:p w14:paraId="11045762" w14:textId="6573F2DE" w:rsidR="00AE6B17" w:rsidRDefault="7654BBD9" w:rsidP="0E74F445">
      <w:pPr>
        <w:pStyle w:val="BibEntry"/>
      </w:pPr>
      <w:r>
        <w:t xml:space="preserve">Williams, G.W., and Anderson, D.P. 2020. "The Latin American livestock industry: growth and challenges." </w:t>
      </w:r>
      <w:r w:rsidRPr="00667429">
        <w:rPr>
          <w:i/>
          <w:iCs/>
        </w:rPr>
        <w:t>Choices</w:t>
      </w:r>
      <w:r>
        <w:t xml:space="preserve"> 34(316-2020-617): 1-11.</w:t>
      </w:r>
    </w:p>
    <w:p w14:paraId="05E05B10" w14:textId="4208E16E" w:rsidR="00E84C4F" w:rsidRDefault="0E74F445" w:rsidP="0E74F445">
      <w:pPr>
        <w:pStyle w:val="BibEntry"/>
      </w:pPr>
      <w:r>
        <w:t>Wilson, D.C., Rodic, L., Modak, P., Soos, R., Carpintero, A., Velis, K., et al. 2015. </w:t>
      </w:r>
      <w:r w:rsidRPr="0E74F445">
        <w:rPr>
          <w:i/>
          <w:iCs/>
        </w:rPr>
        <w:t>Global Waste Management Outlook</w:t>
      </w:r>
      <w:r>
        <w:t>. UNEP.</w:t>
      </w:r>
    </w:p>
    <w:p w14:paraId="46B7B09C" w14:textId="04E69040" w:rsidR="0066068F" w:rsidRDefault="0E74F445" w:rsidP="0E74F445">
      <w:pPr>
        <w:pStyle w:val="BibEntry"/>
      </w:pPr>
      <w:r>
        <w:t>World Bank. Electric Power Transmission and Distribution Losses (% of output)—OECD members (undated). https://data.worldbank.org/indicator/EG.ELC.LOSS.ZS?locations=OE</w:t>
      </w:r>
    </w:p>
    <w:p w14:paraId="6C24FC37" w14:textId="716899BD" w:rsidR="008B5AA3" w:rsidRDefault="0E74F445" w:rsidP="0E74F445">
      <w:pPr>
        <w:pStyle w:val="BibEntry"/>
      </w:pPr>
      <w:r>
        <w:t xml:space="preserve">WHO/UNICEF Joint Monitoring </w:t>
      </w:r>
      <w:proofErr w:type="spellStart"/>
      <w:r>
        <w:t>Programme</w:t>
      </w:r>
      <w:proofErr w:type="spellEnd"/>
      <w:r>
        <w:t xml:space="preserve"> for Water Supply, Sanitation and Hygiene. 2021. </w:t>
      </w:r>
      <w:r w:rsidRPr="00667429">
        <w:rPr>
          <w:i/>
          <w:iCs/>
        </w:rPr>
        <w:t>Progress on Household Drinking Water, Sanitation and Hygiene 2000-2020: Five Years into the SDGs</w:t>
      </w:r>
      <w:r>
        <w:t>. https://www.who.int/publications/i/item/9789240030848</w:t>
      </w:r>
    </w:p>
    <w:p w14:paraId="1E130193" w14:textId="485F57CB" w:rsidR="00147034" w:rsidRPr="00DA17A3" w:rsidRDefault="0E74F445" w:rsidP="003248D5">
      <w:pPr>
        <w:pStyle w:val="BibEntry"/>
      </w:pPr>
      <w:r w:rsidRPr="00065019">
        <w:t>World Steel Association</w:t>
      </w:r>
      <w:r w:rsidR="7654BBD9" w:rsidRPr="00065019">
        <w:t>.</w:t>
      </w:r>
      <w:r w:rsidRPr="00065019">
        <w:t xml:space="preserve"> </w:t>
      </w:r>
      <w:r w:rsidRPr="00065019">
        <w:rPr>
          <w:i/>
          <w:iCs/>
        </w:rPr>
        <w:t xml:space="preserve">Energy </w:t>
      </w:r>
      <w:r w:rsidR="7654BBD9" w:rsidRPr="00065019">
        <w:rPr>
          <w:i/>
          <w:iCs/>
        </w:rPr>
        <w:t>U</w:t>
      </w:r>
      <w:r w:rsidRPr="00065019">
        <w:rPr>
          <w:i/>
          <w:iCs/>
        </w:rPr>
        <w:t xml:space="preserve">se in the </w:t>
      </w:r>
      <w:r w:rsidR="7654BBD9" w:rsidRPr="00065019">
        <w:rPr>
          <w:i/>
          <w:iCs/>
        </w:rPr>
        <w:t>S</w:t>
      </w:r>
      <w:r w:rsidRPr="00065019">
        <w:rPr>
          <w:i/>
          <w:iCs/>
        </w:rPr>
        <w:t xml:space="preserve">teel </w:t>
      </w:r>
      <w:r w:rsidR="7654BBD9" w:rsidRPr="00065019">
        <w:rPr>
          <w:i/>
          <w:iCs/>
        </w:rPr>
        <w:t>I</w:t>
      </w:r>
      <w:r w:rsidRPr="00065019">
        <w:rPr>
          <w:i/>
          <w:iCs/>
        </w:rPr>
        <w:t>ndustry</w:t>
      </w:r>
      <w:r w:rsidR="009205C2" w:rsidRPr="00065019">
        <w:t>. https://worldsteel.org/wp-content/uploads/Fact-sheet-Energy-use-in-the-steel-industry.pdf</w:t>
      </w:r>
      <w:r w:rsidR="7654BBD9" w:rsidRPr="00065019">
        <w:t xml:space="preserve"> (undated)</w:t>
      </w:r>
      <w:r w:rsidRPr="00065019">
        <w:t>.</w:t>
      </w:r>
      <w:r>
        <w:t xml:space="preserve"> </w:t>
      </w:r>
    </w:p>
    <w:p w14:paraId="317F0CDE" w14:textId="1CCB3D9C" w:rsidR="00926CF8" w:rsidRPr="00A61DF4" w:rsidRDefault="00926CF8" w:rsidP="004017A2">
      <w:pPr>
        <w:pStyle w:val="BibEntry"/>
        <w:ind w:left="0" w:firstLine="0"/>
      </w:pPr>
    </w:p>
    <w:sectPr w:rsidR="00926CF8" w:rsidRPr="00A61DF4" w:rsidSect="00F774A5">
      <w:headerReference w:type="first" r:id="rId37"/>
      <w:footerReference w:type="firs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B8790" w14:textId="77777777" w:rsidR="00E86FDB" w:rsidRDefault="00E86FDB">
      <w:r>
        <w:separator/>
      </w:r>
    </w:p>
    <w:p w14:paraId="1F5C6DB1" w14:textId="77777777" w:rsidR="00E86FDB" w:rsidRDefault="00E86FDB"/>
  </w:endnote>
  <w:endnote w:type="continuationSeparator" w:id="0">
    <w:p w14:paraId="79E52E38" w14:textId="77777777" w:rsidR="00E86FDB" w:rsidRDefault="00E86FDB">
      <w:r>
        <w:continuationSeparator/>
      </w:r>
    </w:p>
    <w:p w14:paraId="682B2256" w14:textId="77777777" w:rsidR="00E86FDB" w:rsidRDefault="00E86FDB"/>
  </w:endnote>
  <w:endnote w:type="continuationNotice" w:id="1">
    <w:p w14:paraId="4957A54C" w14:textId="77777777" w:rsidR="00E86FDB" w:rsidRDefault="00E86F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dobe Garamond Pro">
    <w:altName w:val="Garamond"/>
    <w:panose1 w:val="00000000000000000000"/>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94FF" w14:textId="77777777" w:rsidR="004D6AA0" w:rsidRDefault="004D6AA0" w:rsidP="0089129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01B262" w14:textId="77777777" w:rsidR="004D6AA0" w:rsidRDefault="004D6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3E6A" w14:textId="2869F70C" w:rsidR="004D6AA0" w:rsidRPr="00F774A5" w:rsidRDefault="00555DFC" w:rsidP="00CA4FAD">
    <w:pPr>
      <w:pStyle w:val="Footer"/>
      <w:tabs>
        <w:tab w:val="clear" w:pos="9360"/>
        <w:tab w:val="left" w:pos="6045"/>
      </w:tabs>
    </w:pPr>
    <w:r>
      <w:rPr>
        <w:rStyle w:val="PageNumber"/>
      </w:rPr>
      <w:tab/>
    </w:r>
    <w:r>
      <w:fldChar w:fldCharType="begin"/>
    </w:r>
    <w:r>
      <w:instrText xml:space="preserve"> PAGE   \* MERGEFORMAT </w:instrText>
    </w:r>
    <w:r>
      <w:fldChar w:fldCharType="separate"/>
    </w:r>
    <w:r w:rsidR="00AF4830">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77D71" w14:textId="77777777" w:rsidR="00AF4830" w:rsidRDefault="00AF48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024A" w14:textId="77777777" w:rsidR="004D6AA0" w:rsidRDefault="004D6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FA497" w14:textId="77777777" w:rsidR="00E86FDB" w:rsidRDefault="00E86FDB" w:rsidP="00C177B4">
      <w:r>
        <w:separator/>
      </w:r>
    </w:p>
  </w:footnote>
  <w:footnote w:type="continuationSeparator" w:id="0">
    <w:p w14:paraId="14B70461" w14:textId="77777777" w:rsidR="00E86FDB" w:rsidRDefault="00E86FDB" w:rsidP="00C177B4">
      <w:r>
        <w:continuationSeparator/>
      </w:r>
    </w:p>
  </w:footnote>
  <w:footnote w:type="continuationNotice" w:id="1">
    <w:p w14:paraId="5BBDD81C" w14:textId="77777777" w:rsidR="00E86FDB" w:rsidRDefault="00E86FDB"/>
  </w:footnote>
  <w:footnote w:id="2">
    <w:p w14:paraId="2EC20562" w14:textId="74876B9C" w:rsidR="00F5092B" w:rsidRDefault="00F5092B">
      <w:pPr>
        <w:pStyle w:val="FootnoteText"/>
      </w:pPr>
      <w:r w:rsidRPr="5E49E436">
        <w:rPr>
          <w:rStyle w:val="FootnoteReference"/>
        </w:rPr>
        <w:footnoteRef/>
      </w:r>
      <w:r>
        <w:t xml:space="preserve"> </w:t>
      </w:r>
      <w:r w:rsidR="223EE9A8">
        <w:t>SiSePuede</w:t>
      </w:r>
      <w:r>
        <w:t xml:space="preserve"> treats the land-use transition matrix as a row-stochastic Markov chain.</w:t>
      </w:r>
    </w:p>
  </w:footnote>
  <w:footnote w:id="3">
    <w:p w14:paraId="047D5C96" w14:textId="74A3ED99" w:rsidR="0054398B" w:rsidRDefault="0054398B" w:rsidP="00E7158C">
      <w:pPr>
        <w:pStyle w:val="FootnoteText"/>
      </w:pPr>
      <w:r>
        <w:rPr>
          <w:rStyle w:val="FootnoteReference"/>
        </w:rPr>
        <w:footnoteRef/>
      </w:r>
      <w:r>
        <w:t>This transformation targets household food waste, which we estimate as 62 kg per capita per year in Latin America (233 kg per capita per year in total waste [FAO, 2016], 27% of which occurs in the consumption phase [UNEP 2018]). This is consistent with individual city or regional case studies, which report 34-95 kg of food waste per capita per year at the household level (UNEP, 2019).</w:t>
      </w:r>
      <w:r>
        <w:br/>
      </w:r>
      <w:r>
        <w:b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FADE9" w14:textId="77777777" w:rsidR="00AF4830" w:rsidRDefault="00AF48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B328" w14:textId="77777777" w:rsidR="004D6AA0" w:rsidRDefault="004D6AA0" w:rsidP="00BA3420">
    <w:pPr>
      <w:pStyle w:val="HeaderDisclaimer"/>
    </w:pPr>
    <w:r>
      <w:t xml:space="preserve">Not Cleared for </w:t>
    </w:r>
    <w:r w:rsidR="00396CFB">
      <w:t>Public Release</w:t>
    </w:r>
    <w:r>
      <w:t xml:space="preserve">. Do Not </w:t>
    </w:r>
    <w:r w:rsidR="00396CFB">
      <w:t>Cite</w:t>
    </w: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4BD8A" w14:textId="77777777" w:rsidR="00AF4830" w:rsidRDefault="00AF48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6D326" w14:textId="77777777" w:rsidR="004D6AA0" w:rsidRDefault="004D6AA0" w:rsidP="00B70E0A">
    <w:pPr>
      <w:pStyle w:val="HeaderDisclaimer"/>
    </w:pPr>
    <w:r>
      <w:t>Not Cleared for Open Publication. Do Not Circulate or Quote.</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B65ECD7C"/>
    <w:lvl w:ilvl="0">
      <w:start w:val="1"/>
      <w:numFmt w:val="lowerRoman"/>
      <w:pStyle w:val="ListNumber3"/>
      <w:lvlText w:val="%1."/>
      <w:lvlJc w:val="right"/>
      <w:pPr>
        <w:ind w:left="1440" w:hanging="216"/>
      </w:pPr>
      <w:rPr>
        <w:rFonts w:hint="default"/>
      </w:rPr>
    </w:lvl>
  </w:abstractNum>
  <w:abstractNum w:abstractNumId="1" w15:restartNumberingAfterBreak="0">
    <w:nsid w:val="FFFFFF7F"/>
    <w:multiLevelType w:val="singleLevel"/>
    <w:tmpl w:val="9FAC1288"/>
    <w:lvl w:ilvl="0">
      <w:start w:val="1"/>
      <w:numFmt w:val="lowerLetter"/>
      <w:pStyle w:val="ListNumber2"/>
      <w:lvlText w:val="%1."/>
      <w:lvlJc w:val="left"/>
      <w:pPr>
        <w:tabs>
          <w:tab w:val="num" w:pos="1080"/>
        </w:tabs>
        <w:ind w:left="1080" w:hanging="360"/>
      </w:pPr>
      <w:rPr>
        <w:rFonts w:hint="default"/>
      </w:rPr>
    </w:lvl>
  </w:abstractNum>
  <w:abstractNum w:abstractNumId="2" w15:restartNumberingAfterBreak="0">
    <w:nsid w:val="FFFFFF82"/>
    <w:multiLevelType w:val="singleLevel"/>
    <w:tmpl w:val="407C5D9C"/>
    <w:lvl w:ilvl="0">
      <w:start w:val="1"/>
      <w:numFmt w:val="bullet"/>
      <w:pStyle w:val="ListBullet3"/>
      <w:lvlText w:val=""/>
      <w:lvlJc w:val="left"/>
      <w:pPr>
        <w:tabs>
          <w:tab w:val="num" w:pos="1440"/>
        </w:tabs>
        <w:ind w:left="1440" w:hanging="360"/>
      </w:pPr>
      <w:rPr>
        <w:rFonts w:ascii="Wingdings" w:hAnsi="Wingdings" w:hint="default"/>
      </w:rPr>
    </w:lvl>
  </w:abstractNum>
  <w:abstractNum w:abstractNumId="3" w15:restartNumberingAfterBreak="0">
    <w:nsid w:val="FFFFFF88"/>
    <w:multiLevelType w:val="singleLevel"/>
    <w:tmpl w:val="6D92DCCA"/>
    <w:lvl w:ilvl="0">
      <w:start w:val="1"/>
      <w:numFmt w:val="decimal"/>
      <w:pStyle w:val="ListNumber1"/>
      <w:lvlText w:val="%1."/>
      <w:lvlJc w:val="left"/>
      <w:pPr>
        <w:tabs>
          <w:tab w:val="num" w:pos="720"/>
        </w:tabs>
        <w:ind w:left="720" w:hanging="360"/>
      </w:pPr>
      <w:rPr>
        <w:rFonts w:hint="default"/>
      </w:rPr>
    </w:lvl>
  </w:abstractNum>
  <w:abstractNum w:abstractNumId="4" w15:restartNumberingAfterBreak="0">
    <w:nsid w:val="FFFFFF89"/>
    <w:multiLevelType w:val="singleLevel"/>
    <w:tmpl w:val="E2F095B8"/>
    <w:lvl w:ilvl="0">
      <w:start w:val="1"/>
      <w:numFmt w:val="bullet"/>
      <w:pStyle w:val="ListBullet1"/>
      <w:lvlText w:val=""/>
      <w:lvlJc w:val="left"/>
      <w:pPr>
        <w:tabs>
          <w:tab w:val="num" w:pos="720"/>
        </w:tabs>
        <w:ind w:left="720" w:hanging="360"/>
      </w:pPr>
      <w:rPr>
        <w:rFonts w:ascii="Symbol" w:hAnsi="Symbol" w:hint="default"/>
      </w:rPr>
    </w:lvl>
  </w:abstractNum>
  <w:abstractNum w:abstractNumId="5" w15:restartNumberingAfterBreak="0">
    <w:nsid w:val="08124F0F"/>
    <w:multiLevelType w:val="hybridMultilevel"/>
    <w:tmpl w:val="84647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DF2282"/>
    <w:multiLevelType w:val="hybridMultilevel"/>
    <w:tmpl w:val="3582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A1662"/>
    <w:multiLevelType w:val="hybridMultilevel"/>
    <w:tmpl w:val="B9F0B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7814D7"/>
    <w:multiLevelType w:val="hybridMultilevel"/>
    <w:tmpl w:val="756416DC"/>
    <w:lvl w:ilvl="0" w:tplc="2BA4AD70">
      <w:start w:val="1"/>
      <w:numFmt w:val="bullet"/>
      <w:pStyle w:val="ListBullet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640A4"/>
    <w:multiLevelType w:val="hybridMultilevel"/>
    <w:tmpl w:val="730AA9E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97EBA"/>
    <w:multiLevelType w:val="hybridMultilevel"/>
    <w:tmpl w:val="0D2CD29E"/>
    <w:lvl w:ilvl="0" w:tplc="194277B0">
      <w:start w:val="1"/>
      <w:numFmt w:val="bullet"/>
      <w:pStyle w:val="TableListBullet2"/>
      <w:lvlText w:val="–"/>
      <w:lvlJc w:val="left"/>
      <w:pPr>
        <w:ind w:left="720" w:hanging="288"/>
      </w:pPr>
      <w:rPr>
        <w:rFonts w:ascii="Adobe Garamond Pro" w:hAnsi="Adobe Garamond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B78"/>
    <w:multiLevelType w:val="hybridMultilevel"/>
    <w:tmpl w:val="596018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81214F"/>
    <w:multiLevelType w:val="hybridMultilevel"/>
    <w:tmpl w:val="DB98DD7C"/>
    <w:lvl w:ilvl="0" w:tplc="C38A3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86CCE"/>
    <w:multiLevelType w:val="hybridMultilevel"/>
    <w:tmpl w:val="7D8009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E42E77"/>
    <w:multiLevelType w:val="hybridMultilevel"/>
    <w:tmpl w:val="9F86677E"/>
    <w:lvl w:ilvl="0" w:tplc="E4202B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3B6B31"/>
    <w:multiLevelType w:val="hybridMultilevel"/>
    <w:tmpl w:val="D74E47E6"/>
    <w:lvl w:ilvl="0" w:tplc="D60E6E1C">
      <w:start w:val="1"/>
      <w:numFmt w:val="bullet"/>
      <w:pStyle w:val="QuotationBullet"/>
      <w:lvlText w:val=""/>
      <w:lvlJc w:val="left"/>
      <w:pPr>
        <w:tabs>
          <w:tab w:val="num" w:pos="2160"/>
        </w:tabs>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CAD6715"/>
    <w:multiLevelType w:val="hybridMultilevel"/>
    <w:tmpl w:val="1BDAE4F0"/>
    <w:lvl w:ilvl="0" w:tplc="0CCE9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0759D0"/>
    <w:multiLevelType w:val="hybridMultilevel"/>
    <w:tmpl w:val="B47A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F43A4"/>
    <w:multiLevelType w:val="hybridMultilevel"/>
    <w:tmpl w:val="68888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756BC2"/>
    <w:multiLevelType w:val="hybridMultilevel"/>
    <w:tmpl w:val="75B6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E0332"/>
    <w:multiLevelType w:val="hybridMultilevel"/>
    <w:tmpl w:val="5E7AF192"/>
    <w:lvl w:ilvl="0" w:tplc="F22E6662">
      <w:start w:val="1"/>
      <w:numFmt w:val="lowerLetter"/>
      <w:pStyle w:val="TableListNumber2"/>
      <w:lvlText w:val="%1."/>
      <w:lvlJc w:val="left"/>
      <w:pPr>
        <w:ind w:left="720"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A02BA4"/>
    <w:multiLevelType w:val="hybridMultilevel"/>
    <w:tmpl w:val="30267BDE"/>
    <w:lvl w:ilvl="0" w:tplc="5854E5E0">
      <w:start w:val="1"/>
      <w:numFmt w:val="decimal"/>
      <w:pStyle w:val="TableListNumber1"/>
      <w:lvlText w:val="%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31D51"/>
    <w:multiLevelType w:val="hybridMultilevel"/>
    <w:tmpl w:val="EC38E24E"/>
    <w:lvl w:ilvl="0" w:tplc="59E2A918">
      <w:start w:val="1"/>
      <w:numFmt w:val="bullet"/>
      <w:pStyle w:val="TableListBullet1"/>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5380F"/>
    <w:multiLevelType w:val="hybridMultilevel"/>
    <w:tmpl w:val="726ABEF6"/>
    <w:lvl w:ilvl="0" w:tplc="4E0C7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27F938"/>
    <w:multiLevelType w:val="hybridMultilevel"/>
    <w:tmpl w:val="316666AA"/>
    <w:lvl w:ilvl="0" w:tplc="0AC44716">
      <w:start w:val="1"/>
      <w:numFmt w:val="bullet"/>
      <w:lvlText w:val=""/>
      <w:lvlJc w:val="left"/>
      <w:pPr>
        <w:ind w:left="720" w:hanging="360"/>
      </w:pPr>
      <w:rPr>
        <w:rFonts w:ascii="Symbol" w:hAnsi="Symbol" w:hint="default"/>
      </w:rPr>
    </w:lvl>
    <w:lvl w:ilvl="1" w:tplc="64DE170E">
      <w:start w:val="1"/>
      <w:numFmt w:val="bullet"/>
      <w:lvlText w:val="o"/>
      <w:lvlJc w:val="left"/>
      <w:pPr>
        <w:ind w:left="1440" w:hanging="360"/>
      </w:pPr>
      <w:rPr>
        <w:rFonts w:ascii="Courier New" w:hAnsi="Courier New" w:hint="default"/>
      </w:rPr>
    </w:lvl>
    <w:lvl w:ilvl="2" w:tplc="BFDCEA4A">
      <w:start w:val="1"/>
      <w:numFmt w:val="bullet"/>
      <w:lvlText w:val=""/>
      <w:lvlJc w:val="left"/>
      <w:pPr>
        <w:ind w:left="2160" w:hanging="360"/>
      </w:pPr>
      <w:rPr>
        <w:rFonts w:ascii="Wingdings" w:hAnsi="Wingdings" w:hint="default"/>
      </w:rPr>
    </w:lvl>
    <w:lvl w:ilvl="3" w:tplc="9762F18A">
      <w:start w:val="1"/>
      <w:numFmt w:val="bullet"/>
      <w:lvlText w:val=""/>
      <w:lvlJc w:val="left"/>
      <w:pPr>
        <w:ind w:left="2880" w:hanging="360"/>
      </w:pPr>
      <w:rPr>
        <w:rFonts w:ascii="Symbol" w:hAnsi="Symbol" w:hint="default"/>
      </w:rPr>
    </w:lvl>
    <w:lvl w:ilvl="4" w:tplc="F4DC6802">
      <w:start w:val="1"/>
      <w:numFmt w:val="bullet"/>
      <w:lvlText w:val="o"/>
      <w:lvlJc w:val="left"/>
      <w:pPr>
        <w:ind w:left="3600" w:hanging="360"/>
      </w:pPr>
      <w:rPr>
        <w:rFonts w:ascii="Courier New" w:hAnsi="Courier New" w:hint="default"/>
      </w:rPr>
    </w:lvl>
    <w:lvl w:ilvl="5" w:tplc="87D8CC40">
      <w:start w:val="1"/>
      <w:numFmt w:val="bullet"/>
      <w:lvlText w:val=""/>
      <w:lvlJc w:val="left"/>
      <w:pPr>
        <w:ind w:left="4320" w:hanging="360"/>
      </w:pPr>
      <w:rPr>
        <w:rFonts w:ascii="Wingdings" w:hAnsi="Wingdings" w:hint="default"/>
      </w:rPr>
    </w:lvl>
    <w:lvl w:ilvl="6" w:tplc="3C88A880">
      <w:start w:val="1"/>
      <w:numFmt w:val="bullet"/>
      <w:lvlText w:val=""/>
      <w:lvlJc w:val="left"/>
      <w:pPr>
        <w:ind w:left="5040" w:hanging="360"/>
      </w:pPr>
      <w:rPr>
        <w:rFonts w:ascii="Symbol" w:hAnsi="Symbol" w:hint="default"/>
      </w:rPr>
    </w:lvl>
    <w:lvl w:ilvl="7" w:tplc="EA4E537C">
      <w:start w:val="1"/>
      <w:numFmt w:val="bullet"/>
      <w:lvlText w:val="o"/>
      <w:lvlJc w:val="left"/>
      <w:pPr>
        <w:ind w:left="5760" w:hanging="360"/>
      </w:pPr>
      <w:rPr>
        <w:rFonts w:ascii="Courier New" w:hAnsi="Courier New" w:hint="default"/>
      </w:rPr>
    </w:lvl>
    <w:lvl w:ilvl="8" w:tplc="3A44C7AE">
      <w:start w:val="1"/>
      <w:numFmt w:val="bullet"/>
      <w:lvlText w:val=""/>
      <w:lvlJc w:val="left"/>
      <w:pPr>
        <w:ind w:left="6480" w:hanging="360"/>
      </w:pPr>
      <w:rPr>
        <w:rFonts w:ascii="Wingdings" w:hAnsi="Wingdings" w:hint="default"/>
      </w:rPr>
    </w:lvl>
  </w:abstractNum>
  <w:abstractNum w:abstractNumId="25" w15:restartNumberingAfterBreak="0">
    <w:nsid w:val="61653C96"/>
    <w:multiLevelType w:val="hybridMultilevel"/>
    <w:tmpl w:val="F0A69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2A21C17"/>
    <w:multiLevelType w:val="hybridMultilevel"/>
    <w:tmpl w:val="C57CC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195B1C"/>
    <w:multiLevelType w:val="hybridMultilevel"/>
    <w:tmpl w:val="4A2CC9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12405"/>
    <w:multiLevelType w:val="hybridMultilevel"/>
    <w:tmpl w:val="C9C4F3B2"/>
    <w:lvl w:ilvl="0" w:tplc="787C89C8">
      <w:start w:val="1"/>
      <w:numFmt w:val="decimal"/>
      <w:lvlText w:val="%1."/>
      <w:lvlJc w:val="left"/>
      <w:pPr>
        <w:ind w:left="720" w:hanging="360"/>
      </w:pPr>
    </w:lvl>
    <w:lvl w:ilvl="1" w:tplc="2C92293C">
      <w:start w:val="1"/>
      <w:numFmt w:val="lowerLetter"/>
      <w:lvlText w:val="%2."/>
      <w:lvlJc w:val="left"/>
      <w:pPr>
        <w:ind w:left="1440" w:hanging="360"/>
      </w:pPr>
    </w:lvl>
    <w:lvl w:ilvl="2" w:tplc="3022F618">
      <w:start w:val="1"/>
      <w:numFmt w:val="lowerRoman"/>
      <w:lvlText w:val="%3."/>
      <w:lvlJc w:val="right"/>
      <w:pPr>
        <w:ind w:left="2160" w:hanging="180"/>
      </w:pPr>
    </w:lvl>
    <w:lvl w:ilvl="3" w:tplc="A9906A56">
      <w:start w:val="1"/>
      <w:numFmt w:val="decimal"/>
      <w:lvlText w:val="%4."/>
      <w:lvlJc w:val="left"/>
      <w:pPr>
        <w:ind w:left="2880" w:hanging="360"/>
      </w:pPr>
    </w:lvl>
    <w:lvl w:ilvl="4" w:tplc="BD88AAEA">
      <w:start w:val="1"/>
      <w:numFmt w:val="lowerLetter"/>
      <w:lvlText w:val="%5."/>
      <w:lvlJc w:val="left"/>
      <w:pPr>
        <w:ind w:left="3600" w:hanging="360"/>
      </w:pPr>
    </w:lvl>
    <w:lvl w:ilvl="5" w:tplc="4D483490">
      <w:start w:val="1"/>
      <w:numFmt w:val="lowerRoman"/>
      <w:lvlText w:val="%6."/>
      <w:lvlJc w:val="right"/>
      <w:pPr>
        <w:ind w:left="4320" w:hanging="180"/>
      </w:pPr>
    </w:lvl>
    <w:lvl w:ilvl="6" w:tplc="DDDE119C">
      <w:start w:val="1"/>
      <w:numFmt w:val="decimal"/>
      <w:lvlText w:val="%7."/>
      <w:lvlJc w:val="left"/>
      <w:pPr>
        <w:ind w:left="5040" w:hanging="360"/>
      </w:pPr>
    </w:lvl>
    <w:lvl w:ilvl="7" w:tplc="DA14BB24">
      <w:start w:val="1"/>
      <w:numFmt w:val="lowerLetter"/>
      <w:lvlText w:val="%8."/>
      <w:lvlJc w:val="left"/>
      <w:pPr>
        <w:ind w:left="5760" w:hanging="360"/>
      </w:pPr>
    </w:lvl>
    <w:lvl w:ilvl="8" w:tplc="C49C0A1C">
      <w:start w:val="1"/>
      <w:numFmt w:val="lowerRoman"/>
      <w:lvlText w:val="%9."/>
      <w:lvlJc w:val="right"/>
      <w:pPr>
        <w:ind w:left="6480" w:hanging="180"/>
      </w:pPr>
    </w:lvl>
  </w:abstractNum>
  <w:abstractNum w:abstractNumId="29" w15:restartNumberingAfterBreak="0">
    <w:nsid w:val="6A591957"/>
    <w:multiLevelType w:val="hybridMultilevel"/>
    <w:tmpl w:val="BFF46E30"/>
    <w:lvl w:ilvl="0" w:tplc="4364CA78">
      <w:start w:val="1"/>
      <w:numFmt w:val="bullet"/>
      <w:pStyle w:val="Footnote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E7F8C"/>
    <w:multiLevelType w:val="hybridMultilevel"/>
    <w:tmpl w:val="F30C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215014"/>
    <w:multiLevelType w:val="hybridMultilevel"/>
    <w:tmpl w:val="8F3A1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7100AE"/>
    <w:multiLevelType w:val="hybridMultilevel"/>
    <w:tmpl w:val="9DF2B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26509C"/>
    <w:multiLevelType w:val="hybridMultilevel"/>
    <w:tmpl w:val="722C7790"/>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D5630D4"/>
    <w:multiLevelType w:val="hybridMultilevel"/>
    <w:tmpl w:val="7D800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13738">
    <w:abstractNumId w:val="29"/>
  </w:num>
  <w:num w:numId="2" w16cid:durableId="664094504">
    <w:abstractNumId w:val="4"/>
  </w:num>
  <w:num w:numId="3" w16cid:durableId="1062948390">
    <w:abstractNumId w:val="2"/>
  </w:num>
  <w:num w:numId="4" w16cid:durableId="1071853058">
    <w:abstractNumId w:val="3"/>
  </w:num>
  <w:num w:numId="5" w16cid:durableId="401104646">
    <w:abstractNumId w:val="1"/>
  </w:num>
  <w:num w:numId="6" w16cid:durableId="460735976">
    <w:abstractNumId w:val="15"/>
  </w:num>
  <w:num w:numId="7" w16cid:durableId="1101757252">
    <w:abstractNumId w:val="22"/>
  </w:num>
  <w:num w:numId="8" w16cid:durableId="607588176">
    <w:abstractNumId w:val="8"/>
  </w:num>
  <w:num w:numId="9" w16cid:durableId="700589621">
    <w:abstractNumId w:val="0"/>
    <w:lvlOverride w:ilvl="0">
      <w:startOverride w:val="1"/>
    </w:lvlOverride>
  </w:num>
  <w:num w:numId="10" w16cid:durableId="258176420">
    <w:abstractNumId w:val="10"/>
  </w:num>
  <w:num w:numId="11" w16cid:durableId="1540319263">
    <w:abstractNumId w:val="21"/>
    <w:lvlOverride w:ilvl="0">
      <w:startOverride w:val="1"/>
    </w:lvlOverride>
  </w:num>
  <w:num w:numId="12" w16cid:durableId="1600526465">
    <w:abstractNumId w:val="20"/>
    <w:lvlOverride w:ilvl="0">
      <w:startOverride w:val="1"/>
    </w:lvlOverride>
  </w:num>
  <w:num w:numId="13" w16cid:durableId="404226293">
    <w:abstractNumId w:val="25"/>
  </w:num>
  <w:num w:numId="14" w16cid:durableId="1315065478">
    <w:abstractNumId w:val="18"/>
  </w:num>
  <w:num w:numId="15" w16cid:durableId="643579596">
    <w:abstractNumId w:val="31"/>
  </w:num>
  <w:num w:numId="16" w16cid:durableId="400910098">
    <w:abstractNumId w:val="11"/>
  </w:num>
  <w:num w:numId="17" w16cid:durableId="1060327929">
    <w:abstractNumId w:val="5"/>
  </w:num>
  <w:num w:numId="18" w16cid:durableId="2120176729">
    <w:abstractNumId w:val="17"/>
  </w:num>
  <w:num w:numId="19" w16cid:durableId="439298669">
    <w:abstractNumId w:val="20"/>
  </w:num>
  <w:num w:numId="20" w16cid:durableId="1802459485">
    <w:abstractNumId w:val="6"/>
  </w:num>
  <w:num w:numId="21" w16cid:durableId="703093079">
    <w:abstractNumId w:val="16"/>
  </w:num>
  <w:num w:numId="22" w16cid:durableId="708720358">
    <w:abstractNumId w:val="23"/>
  </w:num>
  <w:num w:numId="23" w16cid:durableId="131605209">
    <w:abstractNumId w:val="14"/>
  </w:num>
  <w:num w:numId="24" w16cid:durableId="1526014154">
    <w:abstractNumId w:val="9"/>
  </w:num>
  <w:num w:numId="25" w16cid:durableId="308168041">
    <w:abstractNumId w:val="12"/>
  </w:num>
  <w:num w:numId="26" w16cid:durableId="1676151673">
    <w:abstractNumId w:val="30"/>
  </w:num>
  <w:num w:numId="27" w16cid:durableId="2093506663">
    <w:abstractNumId w:val="7"/>
  </w:num>
  <w:num w:numId="28" w16cid:durableId="1234463596">
    <w:abstractNumId w:val="26"/>
  </w:num>
  <w:num w:numId="29" w16cid:durableId="1421220149">
    <w:abstractNumId w:val="19"/>
  </w:num>
  <w:num w:numId="30" w16cid:durableId="609237288">
    <w:abstractNumId w:val="33"/>
  </w:num>
  <w:num w:numId="31" w16cid:durableId="1060518774">
    <w:abstractNumId w:val="27"/>
  </w:num>
  <w:num w:numId="32" w16cid:durableId="1003818043">
    <w:abstractNumId w:val="34"/>
  </w:num>
  <w:num w:numId="33" w16cid:durableId="1605186640">
    <w:abstractNumId w:val="13"/>
  </w:num>
  <w:num w:numId="34" w16cid:durableId="909078828">
    <w:abstractNumId w:val="28"/>
  </w:num>
  <w:num w:numId="35" w16cid:durableId="1880625098">
    <w:abstractNumId w:val="24"/>
  </w:num>
  <w:num w:numId="36" w16cid:durableId="1204632038">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fr-FR" w:vendorID="64" w:dllVersion="0" w:nlCheck="1" w:checkStyle="0"/>
  <w:activeWritingStyle w:appName="MSWord" w:lang="en-US" w:vendorID="64" w:dllVersion="0" w:nlCheck="1" w:checkStyle="0"/>
  <w:activeWritingStyle w:appName="MSWord" w:lang="pt-BR" w:vendorID="64" w:dllVersion="0" w:nlCheck="1" w:checkStyle="0"/>
  <w:activeWritingStyle w:appName="MSWord" w:lang="es-MX" w:vendorID="64" w:dllVersion="0" w:nlCheck="1" w:checkStyle="0"/>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B4"/>
    <w:rsid w:val="000005EB"/>
    <w:rsid w:val="00001302"/>
    <w:rsid w:val="000013E2"/>
    <w:rsid w:val="00001985"/>
    <w:rsid w:val="00002030"/>
    <w:rsid w:val="000020E8"/>
    <w:rsid w:val="00002613"/>
    <w:rsid w:val="00002697"/>
    <w:rsid w:val="0000297C"/>
    <w:rsid w:val="00003699"/>
    <w:rsid w:val="00005A8E"/>
    <w:rsid w:val="00006315"/>
    <w:rsid w:val="00006369"/>
    <w:rsid w:val="00006656"/>
    <w:rsid w:val="000068F1"/>
    <w:rsid w:val="00006D12"/>
    <w:rsid w:val="000071FE"/>
    <w:rsid w:val="000104C0"/>
    <w:rsid w:val="00010769"/>
    <w:rsid w:val="00010B92"/>
    <w:rsid w:val="00010E3A"/>
    <w:rsid w:val="00011556"/>
    <w:rsid w:val="00011684"/>
    <w:rsid w:val="000119F2"/>
    <w:rsid w:val="00011E02"/>
    <w:rsid w:val="00012497"/>
    <w:rsid w:val="00012C5C"/>
    <w:rsid w:val="000132BE"/>
    <w:rsid w:val="0001385B"/>
    <w:rsid w:val="000139AB"/>
    <w:rsid w:val="000146FD"/>
    <w:rsid w:val="0001485E"/>
    <w:rsid w:val="00014976"/>
    <w:rsid w:val="00015353"/>
    <w:rsid w:val="00015863"/>
    <w:rsid w:val="0001599E"/>
    <w:rsid w:val="00015AEC"/>
    <w:rsid w:val="00015C85"/>
    <w:rsid w:val="000167C1"/>
    <w:rsid w:val="00016EFA"/>
    <w:rsid w:val="00017563"/>
    <w:rsid w:val="00017BF2"/>
    <w:rsid w:val="00017C3D"/>
    <w:rsid w:val="00017C40"/>
    <w:rsid w:val="00017C8A"/>
    <w:rsid w:val="00020097"/>
    <w:rsid w:val="000200EB"/>
    <w:rsid w:val="00020F23"/>
    <w:rsid w:val="00021730"/>
    <w:rsid w:val="00022284"/>
    <w:rsid w:val="000225E1"/>
    <w:rsid w:val="00022A72"/>
    <w:rsid w:val="00023275"/>
    <w:rsid w:val="000236F3"/>
    <w:rsid w:val="00023745"/>
    <w:rsid w:val="00023CAD"/>
    <w:rsid w:val="00024605"/>
    <w:rsid w:val="000247DB"/>
    <w:rsid w:val="000248D8"/>
    <w:rsid w:val="00024BE1"/>
    <w:rsid w:val="00025097"/>
    <w:rsid w:val="0002561A"/>
    <w:rsid w:val="000256F6"/>
    <w:rsid w:val="00025BB9"/>
    <w:rsid w:val="0002617B"/>
    <w:rsid w:val="000269D3"/>
    <w:rsid w:val="00026CB3"/>
    <w:rsid w:val="0002738D"/>
    <w:rsid w:val="000276DB"/>
    <w:rsid w:val="0002789D"/>
    <w:rsid w:val="00027B87"/>
    <w:rsid w:val="00030188"/>
    <w:rsid w:val="000306D8"/>
    <w:rsid w:val="0003079C"/>
    <w:rsid w:val="00030942"/>
    <w:rsid w:val="00030EB6"/>
    <w:rsid w:val="000311E5"/>
    <w:rsid w:val="00031B6E"/>
    <w:rsid w:val="00031EBB"/>
    <w:rsid w:val="00031F32"/>
    <w:rsid w:val="0003210C"/>
    <w:rsid w:val="0003221E"/>
    <w:rsid w:val="00032CDA"/>
    <w:rsid w:val="00033499"/>
    <w:rsid w:val="000335E0"/>
    <w:rsid w:val="000338A0"/>
    <w:rsid w:val="00033900"/>
    <w:rsid w:val="00033AFF"/>
    <w:rsid w:val="00033C23"/>
    <w:rsid w:val="00033CBB"/>
    <w:rsid w:val="00034051"/>
    <w:rsid w:val="00034370"/>
    <w:rsid w:val="00034404"/>
    <w:rsid w:val="00034751"/>
    <w:rsid w:val="0003576B"/>
    <w:rsid w:val="000359CD"/>
    <w:rsid w:val="00035B44"/>
    <w:rsid w:val="00035F13"/>
    <w:rsid w:val="00035FBF"/>
    <w:rsid w:val="000366CE"/>
    <w:rsid w:val="00036B43"/>
    <w:rsid w:val="00036BBD"/>
    <w:rsid w:val="0003711D"/>
    <w:rsid w:val="00037291"/>
    <w:rsid w:val="00037F38"/>
    <w:rsid w:val="000402F5"/>
    <w:rsid w:val="00040E0B"/>
    <w:rsid w:val="00040E0F"/>
    <w:rsid w:val="000411A0"/>
    <w:rsid w:val="0004211A"/>
    <w:rsid w:val="00042697"/>
    <w:rsid w:val="0004323B"/>
    <w:rsid w:val="00043D52"/>
    <w:rsid w:val="00043EE4"/>
    <w:rsid w:val="000447E3"/>
    <w:rsid w:val="000447F1"/>
    <w:rsid w:val="00045C29"/>
    <w:rsid w:val="00047151"/>
    <w:rsid w:val="00047F44"/>
    <w:rsid w:val="000506FB"/>
    <w:rsid w:val="00050A96"/>
    <w:rsid w:val="000510DD"/>
    <w:rsid w:val="000520F1"/>
    <w:rsid w:val="0005264B"/>
    <w:rsid w:val="00052797"/>
    <w:rsid w:val="00052A03"/>
    <w:rsid w:val="00052ECE"/>
    <w:rsid w:val="00053C3C"/>
    <w:rsid w:val="00054892"/>
    <w:rsid w:val="00054ABC"/>
    <w:rsid w:val="000556C5"/>
    <w:rsid w:val="00055754"/>
    <w:rsid w:val="00055FAD"/>
    <w:rsid w:val="00056202"/>
    <w:rsid w:val="000565C7"/>
    <w:rsid w:val="00056B0B"/>
    <w:rsid w:val="00056E6B"/>
    <w:rsid w:val="00056FC9"/>
    <w:rsid w:val="000572DC"/>
    <w:rsid w:val="00057CB2"/>
    <w:rsid w:val="00060141"/>
    <w:rsid w:val="00060278"/>
    <w:rsid w:val="0006057C"/>
    <w:rsid w:val="00061258"/>
    <w:rsid w:val="00061519"/>
    <w:rsid w:val="00061871"/>
    <w:rsid w:val="000621E0"/>
    <w:rsid w:val="0006228F"/>
    <w:rsid w:val="00062578"/>
    <w:rsid w:val="00062C7D"/>
    <w:rsid w:val="00063C07"/>
    <w:rsid w:val="000644C3"/>
    <w:rsid w:val="00064A1F"/>
    <w:rsid w:val="00064EE1"/>
    <w:rsid w:val="00065019"/>
    <w:rsid w:val="00065079"/>
    <w:rsid w:val="0006524B"/>
    <w:rsid w:val="0006585F"/>
    <w:rsid w:val="00065B10"/>
    <w:rsid w:val="0006623E"/>
    <w:rsid w:val="000669CE"/>
    <w:rsid w:val="00066EDD"/>
    <w:rsid w:val="000674A9"/>
    <w:rsid w:val="000675EA"/>
    <w:rsid w:val="000701C8"/>
    <w:rsid w:val="000702C7"/>
    <w:rsid w:val="000703C8"/>
    <w:rsid w:val="00070616"/>
    <w:rsid w:val="000711F9"/>
    <w:rsid w:val="00071433"/>
    <w:rsid w:val="0007145A"/>
    <w:rsid w:val="00071A20"/>
    <w:rsid w:val="00071D26"/>
    <w:rsid w:val="00072037"/>
    <w:rsid w:val="0007265E"/>
    <w:rsid w:val="000734CD"/>
    <w:rsid w:val="00073805"/>
    <w:rsid w:val="00074023"/>
    <w:rsid w:val="00074582"/>
    <w:rsid w:val="00074CC0"/>
    <w:rsid w:val="00074F25"/>
    <w:rsid w:val="00074F70"/>
    <w:rsid w:val="00074FE5"/>
    <w:rsid w:val="0007540E"/>
    <w:rsid w:val="00075A59"/>
    <w:rsid w:val="00076118"/>
    <w:rsid w:val="000763DC"/>
    <w:rsid w:val="0007642A"/>
    <w:rsid w:val="0007658A"/>
    <w:rsid w:val="00076611"/>
    <w:rsid w:val="000766C8"/>
    <w:rsid w:val="000771AA"/>
    <w:rsid w:val="00077298"/>
    <w:rsid w:val="000774D4"/>
    <w:rsid w:val="00077B00"/>
    <w:rsid w:val="00077BC4"/>
    <w:rsid w:val="00077DC0"/>
    <w:rsid w:val="00077DEC"/>
    <w:rsid w:val="00077E53"/>
    <w:rsid w:val="00077E5B"/>
    <w:rsid w:val="000807FF"/>
    <w:rsid w:val="00080BF1"/>
    <w:rsid w:val="00080C47"/>
    <w:rsid w:val="00080FAA"/>
    <w:rsid w:val="0008104C"/>
    <w:rsid w:val="0008171E"/>
    <w:rsid w:val="00081CB6"/>
    <w:rsid w:val="00081EBF"/>
    <w:rsid w:val="000821C3"/>
    <w:rsid w:val="0008327B"/>
    <w:rsid w:val="00083E4B"/>
    <w:rsid w:val="00083FDE"/>
    <w:rsid w:val="00084321"/>
    <w:rsid w:val="000850EB"/>
    <w:rsid w:val="000852AC"/>
    <w:rsid w:val="00085678"/>
    <w:rsid w:val="00085BC5"/>
    <w:rsid w:val="000861FF"/>
    <w:rsid w:val="00086424"/>
    <w:rsid w:val="000864A9"/>
    <w:rsid w:val="000864DC"/>
    <w:rsid w:val="00086661"/>
    <w:rsid w:val="00086D0C"/>
    <w:rsid w:val="00086F49"/>
    <w:rsid w:val="00087308"/>
    <w:rsid w:val="000877D8"/>
    <w:rsid w:val="0008788A"/>
    <w:rsid w:val="00087DB4"/>
    <w:rsid w:val="00090427"/>
    <w:rsid w:val="000904AF"/>
    <w:rsid w:val="00091002"/>
    <w:rsid w:val="00091100"/>
    <w:rsid w:val="000913B1"/>
    <w:rsid w:val="0009274D"/>
    <w:rsid w:val="00092F27"/>
    <w:rsid w:val="0009384B"/>
    <w:rsid w:val="000947E2"/>
    <w:rsid w:val="0009496B"/>
    <w:rsid w:val="00094E43"/>
    <w:rsid w:val="00094EFB"/>
    <w:rsid w:val="0009525C"/>
    <w:rsid w:val="00095747"/>
    <w:rsid w:val="00095B25"/>
    <w:rsid w:val="00096064"/>
    <w:rsid w:val="000962F3"/>
    <w:rsid w:val="0009676D"/>
    <w:rsid w:val="00096883"/>
    <w:rsid w:val="000969E8"/>
    <w:rsid w:val="00096B5F"/>
    <w:rsid w:val="00096BA1"/>
    <w:rsid w:val="00097742"/>
    <w:rsid w:val="00097875"/>
    <w:rsid w:val="000979C6"/>
    <w:rsid w:val="00097EE6"/>
    <w:rsid w:val="000A02FB"/>
    <w:rsid w:val="000A0DA6"/>
    <w:rsid w:val="000A0E0A"/>
    <w:rsid w:val="000A182C"/>
    <w:rsid w:val="000A1ACA"/>
    <w:rsid w:val="000A1D3E"/>
    <w:rsid w:val="000A248C"/>
    <w:rsid w:val="000A24A1"/>
    <w:rsid w:val="000A289A"/>
    <w:rsid w:val="000A2A90"/>
    <w:rsid w:val="000A30DA"/>
    <w:rsid w:val="000A3F10"/>
    <w:rsid w:val="000A3F23"/>
    <w:rsid w:val="000A4999"/>
    <w:rsid w:val="000A4E9A"/>
    <w:rsid w:val="000A55E6"/>
    <w:rsid w:val="000A5818"/>
    <w:rsid w:val="000A582B"/>
    <w:rsid w:val="000A5A68"/>
    <w:rsid w:val="000A5AD7"/>
    <w:rsid w:val="000A6458"/>
    <w:rsid w:val="000A65E3"/>
    <w:rsid w:val="000A68B0"/>
    <w:rsid w:val="000A6A51"/>
    <w:rsid w:val="000A6B2B"/>
    <w:rsid w:val="000A6D18"/>
    <w:rsid w:val="000A6E51"/>
    <w:rsid w:val="000A752C"/>
    <w:rsid w:val="000A7CAA"/>
    <w:rsid w:val="000A7F1A"/>
    <w:rsid w:val="000B01FB"/>
    <w:rsid w:val="000B03E2"/>
    <w:rsid w:val="000B0507"/>
    <w:rsid w:val="000B0A6B"/>
    <w:rsid w:val="000B0E52"/>
    <w:rsid w:val="000B1131"/>
    <w:rsid w:val="000B1316"/>
    <w:rsid w:val="000B1CCC"/>
    <w:rsid w:val="000B1D0C"/>
    <w:rsid w:val="000B1D65"/>
    <w:rsid w:val="000B20CB"/>
    <w:rsid w:val="000B24EE"/>
    <w:rsid w:val="000B2590"/>
    <w:rsid w:val="000B260D"/>
    <w:rsid w:val="000B2BC1"/>
    <w:rsid w:val="000B2EB0"/>
    <w:rsid w:val="000B2F4B"/>
    <w:rsid w:val="000B3293"/>
    <w:rsid w:val="000B3A21"/>
    <w:rsid w:val="000B3C10"/>
    <w:rsid w:val="000B3F2A"/>
    <w:rsid w:val="000B40EE"/>
    <w:rsid w:val="000B433C"/>
    <w:rsid w:val="000B4A06"/>
    <w:rsid w:val="000B4C3C"/>
    <w:rsid w:val="000B4CFD"/>
    <w:rsid w:val="000B5173"/>
    <w:rsid w:val="000B519F"/>
    <w:rsid w:val="000B551A"/>
    <w:rsid w:val="000B5D75"/>
    <w:rsid w:val="000B6874"/>
    <w:rsid w:val="000B6A66"/>
    <w:rsid w:val="000B6F43"/>
    <w:rsid w:val="000B716A"/>
    <w:rsid w:val="000B7271"/>
    <w:rsid w:val="000B72B6"/>
    <w:rsid w:val="000B7505"/>
    <w:rsid w:val="000B7EE3"/>
    <w:rsid w:val="000C0130"/>
    <w:rsid w:val="000C01F7"/>
    <w:rsid w:val="000C0227"/>
    <w:rsid w:val="000C02FB"/>
    <w:rsid w:val="000C078E"/>
    <w:rsid w:val="000C0CAF"/>
    <w:rsid w:val="000C0D27"/>
    <w:rsid w:val="000C0F8F"/>
    <w:rsid w:val="000C11D1"/>
    <w:rsid w:val="000C181D"/>
    <w:rsid w:val="000C1CC0"/>
    <w:rsid w:val="000C1F0E"/>
    <w:rsid w:val="000C2150"/>
    <w:rsid w:val="000C283D"/>
    <w:rsid w:val="000C290C"/>
    <w:rsid w:val="000C2E64"/>
    <w:rsid w:val="000C30C1"/>
    <w:rsid w:val="000C327B"/>
    <w:rsid w:val="000C3F73"/>
    <w:rsid w:val="000C45DF"/>
    <w:rsid w:val="000C4880"/>
    <w:rsid w:val="000C4910"/>
    <w:rsid w:val="000C4A97"/>
    <w:rsid w:val="000C4F85"/>
    <w:rsid w:val="000C5B07"/>
    <w:rsid w:val="000C5B42"/>
    <w:rsid w:val="000C5C0A"/>
    <w:rsid w:val="000C5C12"/>
    <w:rsid w:val="000C6015"/>
    <w:rsid w:val="000C6087"/>
    <w:rsid w:val="000C60F7"/>
    <w:rsid w:val="000C656B"/>
    <w:rsid w:val="000C6643"/>
    <w:rsid w:val="000C6B3F"/>
    <w:rsid w:val="000C7132"/>
    <w:rsid w:val="000C7252"/>
    <w:rsid w:val="000C7724"/>
    <w:rsid w:val="000C7742"/>
    <w:rsid w:val="000D0410"/>
    <w:rsid w:val="000D05DC"/>
    <w:rsid w:val="000D0689"/>
    <w:rsid w:val="000D1104"/>
    <w:rsid w:val="000D11BA"/>
    <w:rsid w:val="000D1697"/>
    <w:rsid w:val="000D18D1"/>
    <w:rsid w:val="000D1A2D"/>
    <w:rsid w:val="000D1ED6"/>
    <w:rsid w:val="000D221E"/>
    <w:rsid w:val="000D28A6"/>
    <w:rsid w:val="000D2F03"/>
    <w:rsid w:val="000D33A3"/>
    <w:rsid w:val="000D356B"/>
    <w:rsid w:val="000D3AF0"/>
    <w:rsid w:val="000D3CF1"/>
    <w:rsid w:val="000D3DF1"/>
    <w:rsid w:val="000D3E40"/>
    <w:rsid w:val="000D44F0"/>
    <w:rsid w:val="000D501C"/>
    <w:rsid w:val="000D508A"/>
    <w:rsid w:val="000D55D5"/>
    <w:rsid w:val="000D58E9"/>
    <w:rsid w:val="000D5B16"/>
    <w:rsid w:val="000D5C32"/>
    <w:rsid w:val="000D5CEE"/>
    <w:rsid w:val="000D6729"/>
    <w:rsid w:val="000D6AA8"/>
    <w:rsid w:val="000D6CA4"/>
    <w:rsid w:val="000D6EE9"/>
    <w:rsid w:val="000D6FA9"/>
    <w:rsid w:val="000D73CC"/>
    <w:rsid w:val="000D79A7"/>
    <w:rsid w:val="000D7C1D"/>
    <w:rsid w:val="000E04BA"/>
    <w:rsid w:val="000E08FB"/>
    <w:rsid w:val="000E09AB"/>
    <w:rsid w:val="000E0B75"/>
    <w:rsid w:val="000E0B7C"/>
    <w:rsid w:val="000E0BD9"/>
    <w:rsid w:val="000E0F47"/>
    <w:rsid w:val="000E1354"/>
    <w:rsid w:val="000E13B6"/>
    <w:rsid w:val="000E1541"/>
    <w:rsid w:val="000E1937"/>
    <w:rsid w:val="000E1D70"/>
    <w:rsid w:val="000E2327"/>
    <w:rsid w:val="000E23C7"/>
    <w:rsid w:val="000E254A"/>
    <w:rsid w:val="000E2881"/>
    <w:rsid w:val="000E2F0D"/>
    <w:rsid w:val="000E30D1"/>
    <w:rsid w:val="000E35FC"/>
    <w:rsid w:val="000E36AB"/>
    <w:rsid w:val="000E3AC7"/>
    <w:rsid w:val="000E3E6C"/>
    <w:rsid w:val="000E4068"/>
    <w:rsid w:val="000E411D"/>
    <w:rsid w:val="000E474A"/>
    <w:rsid w:val="000E4941"/>
    <w:rsid w:val="000E4DE0"/>
    <w:rsid w:val="000E5662"/>
    <w:rsid w:val="000E5854"/>
    <w:rsid w:val="000E5936"/>
    <w:rsid w:val="000E62E0"/>
    <w:rsid w:val="000E68B7"/>
    <w:rsid w:val="000E6CF1"/>
    <w:rsid w:val="000E7122"/>
    <w:rsid w:val="000E7FCE"/>
    <w:rsid w:val="000F005A"/>
    <w:rsid w:val="000F0299"/>
    <w:rsid w:val="000F0D90"/>
    <w:rsid w:val="000F1017"/>
    <w:rsid w:val="000F1F1A"/>
    <w:rsid w:val="000F2A42"/>
    <w:rsid w:val="000F2A54"/>
    <w:rsid w:val="000F326E"/>
    <w:rsid w:val="000F35F0"/>
    <w:rsid w:val="000F3932"/>
    <w:rsid w:val="000F3DAC"/>
    <w:rsid w:val="000F3EDB"/>
    <w:rsid w:val="000F43B7"/>
    <w:rsid w:val="000F4552"/>
    <w:rsid w:val="000F4662"/>
    <w:rsid w:val="000F4698"/>
    <w:rsid w:val="000F4D5C"/>
    <w:rsid w:val="000F4FA8"/>
    <w:rsid w:val="000F68DB"/>
    <w:rsid w:val="000F693C"/>
    <w:rsid w:val="000F69D3"/>
    <w:rsid w:val="000F7234"/>
    <w:rsid w:val="000F76C4"/>
    <w:rsid w:val="000F7A3A"/>
    <w:rsid w:val="000F7ADF"/>
    <w:rsid w:val="000F7BFA"/>
    <w:rsid w:val="000F7DF3"/>
    <w:rsid w:val="000F7E5F"/>
    <w:rsid w:val="000F7E97"/>
    <w:rsid w:val="00101747"/>
    <w:rsid w:val="00101A0E"/>
    <w:rsid w:val="00101CC4"/>
    <w:rsid w:val="0010213C"/>
    <w:rsid w:val="00102413"/>
    <w:rsid w:val="0010254F"/>
    <w:rsid w:val="00102B47"/>
    <w:rsid w:val="00102BDA"/>
    <w:rsid w:val="0010327A"/>
    <w:rsid w:val="00103342"/>
    <w:rsid w:val="001035E7"/>
    <w:rsid w:val="001036AE"/>
    <w:rsid w:val="0010391B"/>
    <w:rsid w:val="00103C16"/>
    <w:rsid w:val="00103CB9"/>
    <w:rsid w:val="00103D90"/>
    <w:rsid w:val="0010495B"/>
    <w:rsid w:val="00105215"/>
    <w:rsid w:val="001054B9"/>
    <w:rsid w:val="0010567D"/>
    <w:rsid w:val="00105A2E"/>
    <w:rsid w:val="00105AEE"/>
    <w:rsid w:val="00105CDA"/>
    <w:rsid w:val="00105F23"/>
    <w:rsid w:val="0010653E"/>
    <w:rsid w:val="001065D3"/>
    <w:rsid w:val="001069ED"/>
    <w:rsid w:val="001074BF"/>
    <w:rsid w:val="001077EB"/>
    <w:rsid w:val="00107976"/>
    <w:rsid w:val="00107D44"/>
    <w:rsid w:val="00107D46"/>
    <w:rsid w:val="00107D4E"/>
    <w:rsid w:val="001100BE"/>
    <w:rsid w:val="00110958"/>
    <w:rsid w:val="001111A3"/>
    <w:rsid w:val="00111D65"/>
    <w:rsid w:val="00111DCB"/>
    <w:rsid w:val="00111E1B"/>
    <w:rsid w:val="00112286"/>
    <w:rsid w:val="001123E3"/>
    <w:rsid w:val="00112A89"/>
    <w:rsid w:val="00112F4F"/>
    <w:rsid w:val="0011302B"/>
    <w:rsid w:val="001132A9"/>
    <w:rsid w:val="00113476"/>
    <w:rsid w:val="00113872"/>
    <w:rsid w:val="00113A13"/>
    <w:rsid w:val="00113A30"/>
    <w:rsid w:val="00114737"/>
    <w:rsid w:val="0011477D"/>
    <w:rsid w:val="00114A09"/>
    <w:rsid w:val="00114A10"/>
    <w:rsid w:val="00114C62"/>
    <w:rsid w:val="001152D2"/>
    <w:rsid w:val="0011587D"/>
    <w:rsid w:val="00115B75"/>
    <w:rsid w:val="00115F78"/>
    <w:rsid w:val="00116058"/>
    <w:rsid w:val="001160D9"/>
    <w:rsid w:val="001163BE"/>
    <w:rsid w:val="00116767"/>
    <w:rsid w:val="00116919"/>
    <w:rsid w:val="00116F7F"/>
    <w:rsid w:val="00116FD1"/>
    <w:rsid w:val="0011746F"/>
    <w:rsid w:val="001203D8"/>
    <w:rsid w:val="001206C1"/>
    <w:rsid w:val="00120B6F"/>
    <w:rsid w:val="0012157E"/>
    <w:rsid w:val="00121670"/>
    <w:rsid w:val="0012176C"/>
    <w:rsid w:val="00121AE7"/>
    <w:rsid w:val="0012257D"/>
    <w:rsid w:val="00122832"/>
    <w:rsid w:val="00122E26"/>
    <w:rsid w:val="001232DE"/>
    <w:rsid w:val="0012345D"/>
    <w:rsid w:val="00124DB1"/>
    <w:rsid w:val="0012564B"/>
    <w:rsid w:val="00125665"/>
    <w:rsid w:val="00126325"/>
    <w:rsid w:val="0012647D"/>
    <w:rsid w:val="00126722"/>
    <w:rsid w:val="00126836"/>
    <w:rsid w:val="00126A1E"/>
    <w:rsid w:val="00126E3E"/>
    <w:rsid w:val="001271C1"/>
    <w:rsid w:val="0012744A"/>
    <w:rsid w:val="00127700"/>
    <w:rsid w:val="00127964"/>
    <w:rsid w:val="00127A91"/>
    <w:rsid w:val="00127B63"/>
    <w:rsid w:val="001304A8"/>
    <w:rsid w:val="00131184"/>
    <w:rsid w:val="00131270"/>
    <w:rsid w:val="00131296"/>
    <w:rsid w:val="001317DD"/>
    <w:rsid w:val="00131A21"/>
    <w:rsid w:val="00131BFC"/>
    <w:rsid w:val="00131D86"/>
    <w:rsid w:val="00132373"/>
    <w:rsid w:val="00132411"/>
    <w:rsid w:val="00132EEB"/>
    <w:rsid w:val="00133774"/>
    <w:rsid w:val="00133EB0"/>
    <w:rsid w:val="00134A43"/>
    <w:rsid w:val="00134BA1"/>
    <w:rsid w:val="001351E4"/>
    <w:rsid w:val="0013532A"/>
    <w:rsid w:val="00135624"/>
    <w:rsid w:val="00135812"/>
    <w:rsid w:val="00135CEA"/>
    <w:rsid w:val="0013611F"/>
    <w:rsid w:val="001361D6"/>
    <w:rsid w:val="001362E3"/>
    <w:rsid w:val="0013658B"/>
    <w:rsid w:val="00136BE7"/>
    <w:rsid w:val="00136C16"/>
    <w:rsid w:val="001370CA"/>
    <w:rsid w:val="0013767C"/>
    <w:rsid w:val="001378B6"/>
    <w:rsid w:val="0014073E"/>
    <w:rsid w:val="00140E83"/>
    <w:rsid w:val="001412D1"/>
    <w:rsid w:val="00141890"/>
    <w:rsid w:val="00141A5F"/>
    <w:rsid w:val="00141A96"/>
    <w:rsid w:val="00141BDC"/>
    <w:rsid w:val="00142AFB"/>
    <w:rsid w:val="00143183"/>
    <w:rsid w:val="001431D9"/>
    <w:rsid w:val="00143433"/>
    <w:rsid w:val="0014385D"/>
    <w:rsid w:val="00144313"/>
    <w:rsid w:val="00144B21"/>
    <w:rsid w:val="00144B49"/>
    <w:rsid w:val="00144BFC"/>
    <w:rsid w:val="00145084"/>
    <w:rsid w:val="00145284"/>
    <w:rsid w:val="001458E4"/>
    <w:rsid w:val="00145CF9"/>
    <w:rsid w:val="00145F07"/>
    <w:rsid w:val="00145FC4"/>
    <w:rsid w:val="00145FE7"/>
    <w:rsid w:val="001468EE"/>
    <w:rsid w:val="00146AE3"/>
    <w:rsid w:val="00146BE5"/>
    <w:rsid w:val="00146C9A"/>
    <w:rsid w:val="00146FFD"/>
    <w:rsid w:val="00147034"/>
    <w:rsid w:val="001470C1"/>
    <w:rsid w:val="001470D3"/>
    <w:rsid w:val="001477B6"/>
    <w:rsid w:val="001478D5"/>
    <w:rsid w:val="00150C2E"/>
    <w:rsid w:val="00150E93"/>
    <w:rsid w:val="0015147B"/>
    <w:rsid w:val="001516B8"/>
    <w:rsid w:val="00151D15"/>
    <w:rsid w:val="00151D40"/>
    <w:rsid w:val="00152366"/>
    <w:rsid w:val="001523FF"/>
    <w:rsid w:val="0015260A"/>
    <w:rsid w:val="001529E6"/>
    <w:rsid w:val="00152C36"/>
    <w:rsid w:val="00152DE0"/>
    <w:rsid w:val="00152F5F"/>
    <w:rsid w:val="00153010"/>
    <w:rsid w:val="00153B9C"/>
    <w:rsid w:val="00153BE5"/>
    <w:rsid w:val="001542E6"/>
    <w:rsid w:val="00154C6B"/>
    <w:rsid w:val="00154F9E"/>
    <w:rsid w:val="001552A4"/>
    <w:rsid w:val="00155A87"/>
    <w:rsid w:val="0015601D"/>
    <w:rsid w:val="00156599"/>
    <w:rsid w:val="00156686"/>
    <w:rsid w:val="001566F4"/>
    <w:rsid w:val="00156856"/>
    <w:rsid w:val="00156CB8"/>
    <w:rsid w:val="00156E15"/>
    <w:rsid w:val="001573F7"/>
    <w:rsid w:val="00157D89"/>
    <w:rsid w:val="0016037E"/>
    <w:rsid w:val="001606B7"/>
    <w:rsid w:val="00161290"/>
    <w:rsid w:val="00161395"/>
    <w:rsid w:val="001613B5"/>
    <w:rsid w:val="0016145E"/>
    <w:rsid w:val="001618B1"/>
    <w:rsid w:val="001618E9"/>
    <w:rsid w:val="00161C0F"/>
    <w:rsid w:val="00161C10"/>
    <w:rsid w:val="00161CC0"/>
    <w:rsid w:val="00162872"/>
    <w:rsid w:val="00162A7D"/>
    <w:rsid w:val="00163173"/>
    <w:rsid w:val="00163941"/>
    <w:rsid w:val="001639B3"/>
    <w:rsid w:val="00163DD3"/>
    <w:rsid w:val="00163E2D"/>
    <w:rsid w:val="0016421D"/>
    <w:rsid w:val="001642BC"/>
    <w:rsid w:val="001646B3"/>
    <w:rsid w:val="00164D50"/>
    <w:rsid w:val="00165175"/>
    <w:rsid w:val="001655BA"/>
    <w:rsid w:val="00165B9B"/>
    <w:rsid w:val="001660A0"/>
    <w:rsid w:val="001660F8"/>
    <w:rsid w:val="00166180"/>
    <w:rsid w:val="00166475"/>
    <w:rsid w:val="0016745D"/>
    <w:rsid w:val="0016759D"/>
    <w:rsid w:val="0016775F"/>
    <w:rsid w:val="00167B1E"/>
    <w:rsid w:val="00167DE5"/>
    <w:rsid w:val="00167E64"/>
    <w:rsid w:val="00167EE4"/>
    <w:rsid w:val="001709A3"/>
    <w:rsid w:val="00170C3B"/>
    <w:rsid w:val="00170DB6"/>
    <w:rsid w:val="00171858"/>
    <w:rsid w:val="001718F0"/>
    <w:rsid w:val="0017238A"/>
    <w:rsid w:val="001725E6"/>
    <w:rsid w:val="00172971"/>
    <w:rsid w:val="00173517"/>
    <w:rsid w:val="0017393F"/>
    <w:rsid w:val="00174574"/>
    <w:rsid w:val="001748CA"/>
    <w:rsid w:val="00174A97"/>
    <w:rsid w:val="0017584A"/>
    <w:rsid w:val="00175930"/>
    <w:rsid w:val="00175B82"/>
    <w:rsid w:val="00175F42"/>
    <w:rsid w:val="001763BD"/>
    <w:rsid w:val="001768AB"/>
    <w:rsid w:val="001771CD"/>
    <w:rsid w:val="001771D5"/>
    <w:rsid w:val="00177208"/>
    <w:rsid w:val="00177C2A"/>
    <w:rsid w:val="0018054C"/>
    <w:rsid w:val="00180DC7"/>
    <w:rsid w:val="00180E0F"/>
    <w:rsid w:val="00181074"/>
    <w:rsid w:val="001810E2"/>
    <w:rsid w:val="00182068"/>
    <w:rsid w:val="001823AF"/>
    <w:rsid w:val="00182F49"/>
    <w:rsid w:val="00183142"/>
    <w:rsid w:val="001831AE"/>
    <w:rsid w:val="0018341C"/>
    <w:rsid w:val="001835C2"/>
    <w:rsid w:val="00183E8C"/>
    <w:rsid w:val="001841AF"/>
    <w:rsid w:val="0018425D"/>
    <w:rsid w:val="00184627"/>
    <w:rsid w:val="00184963"/>
    <w:rsid w:val="00184A6B"/>
    <w:rsid w:val="00184A94"/>
    <w:rsid w:val="0018500A"/>
    <w:rsid w:val="0018509C"/>
    <w:rsid w:val="001852B1"/>
    <w:rsid w:val="001853FA"/>
    <w:rsid w:val="00185A97"/>
    <w:rsid w:val="00186482"/>
    <w:rsid w:val="00186D36"/>
    <w:rsid w:val="00186E11"/>
    <w:rsid w:val="001870A7"/>
    <w:rsid w:val="001874FC"/>
    <w:rsid w:val="001900D2"/>
    <w:rsid w:val="00190861"/>
    <w:rsid w:val="00190D0A"/>
    <w:rsid w:val="00190DD5"/>
    <w:rsid w:val="00191020"/>
    <w:rsid w:val="001913D0"/>
    <w:rsid w:val="00191FA0"/>
    <w:rsid w:val="00192BCF"/>
    <w:rsid w:val="0019349E"/>
    <w:rsid w:val="00193B56"/>
    <w:rsid w:val="001940C5"/>
    <w:rsid w:val="001947C2"/>
    <w:rsid w:val="001949E3"/>
    <w:rsid w:val="00194AD2"/>
    <w:rsid w:val="0019538A"/>
    <w:rsid w:val="00195A41"/>
    <w:rsid w:val="00195CE9"/>
    <w:rsid w:val="00195F29"/>
    <w:rsid w:val="0019620B"/>
    <w:rsid w:val="00196258"/>
    <w:rsid w:val="00196308"/>
    <w:rsid w:val="00196A88"/>
    <w:rsid w:val="00196ADB"/>
    <w:rsid w:val="001972FC"/>
    <w:rsid w:val="00197318"/>
    <w:rsid w:val="00197A29"/>
    <w:rsid w:val="00197B0D"/>
    <w:rsid w:val="00197D80"/>
    <w:rsid w:val="00197F04"/>
    <w:rsid w:val="00197F98"/>
    <w:rsid w:val="001A07B0"/>
    <w:rsid w:val="001A0991"/>
    <w:rsid w:val="001A0ABB"/>
    <w:rsid w:val="001A1025"/>
    <w:rsid w:val="001A1469"/>
    <w:rsid w:val="001A18A5"/>
    <w:rsid w:val="001A1F78"/>
    <w:rsid w:val="001A25EB"/>
    <w:rsid w:val="001A297B"/>
    <w:rsid w:val="001A3211"/>
    <w:rsid w:val="001A3E45"/>
    <w:rsid w:val="001A42B4"/>
    <w:rsid w:val="001A43F6"/>
    <w:rsid w:val="001A4DA4"/>
    <w:rsid w:val="001A4DE9"/>
    <w:rsid w:val="001A5BD2"/>
    <w:rsid w:val="001A5BF7"/>
    <w:rsid w:val="001A5C15"/>
    <w:rsid w:val="001A733B"/>
    <w:rsid w:val="001A76C5"/>
    <w:rsid w:val="001A78B9"/>
    <w:rsid w:val="001A792D"/>
    <w:rsid w:val="001B007D"/>
    <w:rsid w:val="001B03BC"/>
    <w:rsid w:val="001B0823"/>
    <w:rsid w:val="001B092B"/>
    <w:rsid w:val="001B09A2"/>
    <w:rsid w:val="001B09C5"/>
    <w:rsid w:val="001B0C91"/>
    <w:rsid w:val="001B11F6"/>
    <w:rsid w:val="001B1CCE"/>
    <w:rsid w:val="001B1CDA"/>
    <w:rsid w:val="001B1D11"/>
    <w:rsid w:val="001B20AD"/>
    <w:rsid w:val="001B213E"/>
    <w:rsid w:val="001B2285"/>
    <w:rsid w:val="001B2501"/>
    <w:rsid w:val="001B25E3"/>
    <w:rsid w:val="001B2766"/>
    <w:rsid w:val="001B2C87"/>
    <w:rsid w:val="001B3116"/>
    <w:rsid w:val="001B3F26"/>
    <w:rsid w:val="001B41D5"/>
    <w:rsid w:val="001B46B2"/>
    <w:rsid w:val="001B524B"/>
    <w:rsid w:val="001B553F"/>
    <w:rsid w:val="001B565E"/>
    <w:rsid w:val="001B5AA0"/>
    <w:rsid w:val="001B5C3D"/>
    <w:rsid w:val="001B5C52"/>
    <w:rsid w:val="001B5D32"/>
    <w:rsid w:val="001B5EF9"/>
    <w:rsid w:val="001B61CF"/>
    <w:rsid w:val="001B6933"/>
    <w:rsid w:val="001B6FD1"/>
    <w:rsid w:val="001B7560"/>
    <w:rsid w:val="001B7818"/>
    <w:rsid w:val="001B7AA8"/>
    <w:rsid w:val="001C048F"/>
    <w:rsid w:val="001C06EA"/>
    <w:rsid w:val="001C09E0"/>
    <w:rsid w:val="001C10DE"/>
    <w:rsid w:val="001C1169"/>
    <w:rsid w:val="001C13DC"/>
    <w:rsid w:val="001C147A"/>
    <w:rsid w:val="001C1A47"/>
    <w:rsid w:val="001C1FF9"/>
    <w:rsid w:val="001C2FAD"/>
    <w:rsid w:val="001C3134"/>
    <w:rsid w:val="001C31C6"/>
    <w:rsid w:val="001C3615"/>
    <w:rsid w:val="001C3692"/>
    <w:rsid w:val="001C3E6E"/>
    <w:rsid w:val="001C447E"/>
    <w:rsid w:val="001C4AB8"/>
    <w:rsid w:val="001C4FEE"/>
    <w:rsid w:val="001C5611"/>
    <w:rsid w:val="001C571B"/>
    <w:rsid w:val="001C5824"/>
    <w:rsid w:val="001C5B2A"/>
    <w:rsid w:val="001C6DA3"/>
    <w:rsid w:val="001C788A"/>
    <w:rsid w:val="001D0B87"/>
    <w:rsid w:val="001D19D5"/>
    <w:rsid w:val="001D1A6C"/>
    <w:rsid w:val="001D1D68"/>
    <w:rsid w:val="001D1F6E"/>
    <w:rsid w:val="001D1FDD"/>
    <w:rsid w:val="001D2128"/>
    <w:rsid w:val="001D2726"/>
    <w:rsid w:val="001D2B6E"/>
    <w:rsid w:val="001D2C0B"/>
    <w:rsid w:val="001D2C58"/>
    <w:rsid w:val="001D3474"/>
    <w:rsid w:val="001D3552"/>
    <w:rsid w:val="001D45A3"/>
    <w:rsid w:val="001D45ED"/>
    <w:rsid w:val="001D486C"/>
    <w:rsid w:val="001D4CDD"/>
    <w:rsid w:val="001D534B"/>
    <w:rsid w:val="001D53E0"/>
    <w:rsid w:val="001D54B8"/>
    <w:rsid w:val="001D5618"/>
    <w:rsid w:val="001D56C2"/>
    <w:rsid w:val="001D58D7"/>
    <w:rsid w:val="001D5FE4"/>
    <w:rsid w:val="001D65E7"/>
    <w:rsid w:val="001D6FA5"/>
    <w:rsid w:val="001D77F8"/>
    <w:rsid w:val="001D7A3C"/>
    <w:rsid w:val="001D7AEB"/>
    <w:rsid w:val="001D7BA7"/>
    <w:rsid w:val="001D7E0F"/>
    <w:rsid w:val="001E01C1"/>
    <w:rsid w:val="001E01D2"/>
    <w:rsid w:val="001E090F"/>
    <w:rsid w:val="001E1128"/>
    <w:rsid w:val="001E1906"/>
    <w:rsid w:val="001E2BF8"/>
    <w:rsid w:val="001E2F50"/>
    <w:rsid w:val="001E30C7"/>
    <w:rsid w:val="001E33DD"/>
    <w:rsid w:val="001E3ACF"/>
    <w:rsid w:val="001E456A"/>
    <w:rsid w:val="001E48FB"/>
    <w:rsid w:val="001E490D"/>
    <w:rsid w:val="001E4A14"/>
    <w:rsid w:val="001E500D"/>
    <w:rsid w:val="001E562B"/>
    <w:rsid w:val="001E66A9"/>
    <w:rsid w:val="001E672B"/>
    <w:rsid w:val="001E6AB9"/>
    <w:rsid w:val="001E6BE6"/>
    <w:rsid w:val="001E6E37"/>
    <w:rsid w:val="001E72A5"/>
    <w:rsid w:val="001E7319"/>
    <w:rsid w:val="001E7E88"/>
    <w:rsid w:val="001F18AA"/>
    <w:rsid w:val="001F1E07"/>
    <w:rsid w:val="001F1F0B"/>
    <w:rsid w:val="001F2762"/>
    <w:rsid w:val="001F27C9"/>
    <w:rsid w:val="001F2BA9"/>
    <w:rsid w:val="001F2C3D"/>
    <w:rsid w:val="001F3891"/>
    <w:rsid w:val="001F3E5F"/>
    <w:rsid w:val="001F42CF"/>
    <w:rsid w:val="001F43F6"/>
    <w:rsid w:val="001F4A10"/>
    <w:rsid w:val="001F4BB1"/>
    <w:rsid w:val="001F54CC"/>
    <w:rsid w:val="001F584A"/>
    <w:rsid w:val="001F5B1D"/>
    <w:rsid w:val="001F65E6"/>
    <w:rsid w:val="001F6818"/>
    <w:rsid w:val="001F686B"/>
    <w:rsid w:val="001F6994"/>
    <w:rsid w:val="001F6B73"/>
    <w:rsid w:val="001F6C6A"/>
    <w:rsid w:val="001F6E92"/>
    <w:rsid w:val="001F72B4"/>
    <w:rsid w:val="00200113"/>
    <w:rsid w:val="0020020F"/>
    <w:rsid w:val="00200AB9"/>
    <w:rsid w:val="00201020"/>
    <w:rsid w:val="00201323"/>
    <w:rsid w:val="00201A1C"/>
    <w:rsid w:val="00201F08"/>
    <w:rsid w:val="00202F35"/>
    <w:rsid w:val="002031A2"/>
    <w:rsid w:val="00203617"/>
    <w:rsid w:val="002036C2"/>
    <w:rsid w:val="00204348"/>
    <w:rsid w:val="002053BD"/>
    <w:rsid w:val="00205548"/>
    <w:rsid w:val="00205590"/>
    <w:rsid w:val="00205633"/>
    <w:rsid w:val="00205C36"/>
    <w:rsid w:val="00205CAE"/>
    <w:rsid w:val="00205F4C"/>
    <w:rsid w:val="00206225"/>
    <w:rsid w:val="00206762"/>
    <w:rsid w:val="00206D36"/>
    <w:rsid w:val="00207151"/>
    <w:rsid w:val="00207217"/>
    <w:rsid w:val="00207740"/>
    <w:rsid w:val="0021021C"/>
    <w:rsid w:val="0021046F"/>
    <w:rsid w:val="00210478"/>
    <w:rsid w:val="0021093E"/>
    <w:rsid w:val="002109C5"/>
    <w:rsid w:val="00210D32"/>
    <w:rsid w:val="00210EDE"/>
    <w:rsid w:val="002110E7"/>
    <w:rsid w:val="00211171"/>
    <w:rsid w:val="002111A1"/>
    <w:rsid w:val="00211942"/>
    <w:rsid w:val="00211BBA"/>
    <w:rsid w:val="00211EB1"/>
    <w:rsid w:val="00212026"/>
    <w:rsid w:val="00212239"/>
    <w:rsid w:val="00212E65"/>
    <w:rsid w:val="0021301E"/>
    <w:rsid w:val="002138B0"/>
    <w:rsid w:val="00213E1B"/>
    <w:rsid w:val="0021474A"/>
    <w:rsid w:val="00214890"/>
    <w:rsid w:val="00214B74"/>
    <w:rsid w:val="00214D5D"/>
    <w:rsid w:val="00215024"/>
    <w:rsid w:val="00215025"/>
    <w:rsid w:val="0021556C"/>
    <w:rsid w:val="002155DC"/>
    <w:rsid w:val="0021589D"/>
    <w:rsid w:val="002159F2"/>
    <w:rsid w:val="00215FBE"/>
    <w:rsid w:val="002162E0"/>
    <w:rsid w:val="002163DE"/>
    <w:rsid w:val="00216544"/>
    <w:rsid w:val="00216D47"/>
    <w:rsid w:val="0021761A"/>
    <w:rsid w:val="00217FDA"/>
    <w:rsid w:val="00220B4C"/>
    <w:rsid w:val="00220E18"/>
    <w:rsid w:val="00220ECC"/>
    <w:rsid w:val="00221188"/>
    <w:rsid w:val="00221B59"/>
    <w:rsid w:val="00221D30"/>
    <w:rsid w:val="002220C3"/>
    <w:rsid w:val="00222B04"/>
    <w:rsid w:val="00222B50"/>
    <w:rsid w:val="00222B74"/>
    <w:rsid w:val="00222BCA"/>
    <w:rsid w:val="002238B5"/>
    <w:rsid w:val="00224486"/>
    <w:rsid w:val="0022487E"/>
    <w:rsid w:val="002249A4"/>
    <w:rsid w:val="002249A5"/>
    <w:rsid w:val="00225CF0"/>
    <w:rsid w:val="00226295"/>
    <w:rsid w:val="00226715"/>
    <w:rsid w:val="00226742"/>
    <w:rsid w:val="0022691C"/>
    <w:rsid w:val="00226F4E"/>
    <w:rsid w:val="00227652"/>
    <w:rsid w:val="00227866"/>
    <w:rsid w:val="00227A4E"/>
    <w:rsid w:val="00227F44"/>
    <w:rsid w:val="00230EDF"/>
    <w:rsid w:val="00231186"/>
    <w:rsid w:val="0023149B"/>
    <w:rsid w:val="00231E8C"/>
    <w:rsid w:val="0023238F"/>
    <w:rsid w:val="00232496"/>
    <w:rsid w:val="002332CF"/>
    <w:rsid w:val="0023344D"/>
    <w:rsid w:val="002334BF"/>
    <w:rsid w:val="00233B9D"/>
    <w:rsid w:val="00233D7E"/>
    <w:rsid w:val="002341E7"/>
    <w:rsid w:val="002343A0"/>
    <w:rsid w:val="002343E3"/>
    <w:rsid w:val="00234503"/>
    <w:rsid w:val="002349CC"/>
    <w:rsid w:val="00234B57"/>
    <w:rsid w:val="002350F0"/>
    <w:rsid w:val="002353F4"/>
    <w:rsid w:val="002358A1"/>
    <w:rsid w:val="00235DC4"/>
    <w:rsid w:val="00235E9E"/>
    <w:rsid w:val="00235FF8"/>
    <w:rsid w:val="002360B4"/>
    <w:rsid w:val="002361B0"/>
    <w:rsid w:val="002362A7"/>
    <w:rsid w:val="00236312"/>
    <w:rsid w:val="002365D5"/>
    <w:rsid w:val="00236AB5"/>
    <w:rsid w:val="00236D3C"/>
    <w:rsid w:val="00237587"/>
    <w:rsid w:val="00237734"/>
    <w:rsid w:val="00237F9F"/>
    <w:rsid w:val="0024056E"/>
    <w:rsid w:val="00240D78"/>
    <w:rsid w:val="002416F2"/>
    <w:rsid w:val="00241EE3"/>
    <w:rsid w:val="00242748"/>
    <w:rsid w:val="00243246"/>
    <w:rsid w:val="0024395D"/>
    <w:rsid w:val="00243F42"/>
    <w:rsid w:val="00244BDA"/>
    <w:rsid w:val="00244D58"/>
    <w:rsid w:val="00244ED7"/>
    <w:rsid w:val="0024529D"/>
    <w:rsid w:val="002452AF"/>
    <w:rsid w:val="0024593A"/>
    <w:rsid w:val="00245A64"/>
    <w:rsid w:val="00245AB2"/>
    <w:rsid w:val="00245ACB"/>
    <w:rsid w:val="00245EDA"/>
    <w:rsid w:val="00246DA8"/>
    <w:rsid w:val="00246E43"/>
    <w:rsid w:val="00246E94"/>
    <w:rsid w:val="00246EBC"/>
    <w:rsid w:val="00247557"/>
    <w:rsid w:val="00247696"/>
    <w:rsid w:val="00247AB5"/>
    <w:rsid w:val="00247C95"/>
    <w:rsid w:val="00247CE7"/>
    <w:rsid w:val="00247D49"/>
    <w:rsid w:val="00247D5E"/>
    <w:rsid w:val="00247DED"/>
    <w:rsid w:val="00250003"/>
    <w:rsid w:val="00250023"/>
    <w:rsid w:val="00250B95"/>
    <w:rsid w:val="00250E1A"/>
    <w:rsid w:val="00250F0F"/>
    <w:rsid w:val="002515B6"/>
    <w:rsid w:val="002518E2"/>
    <w:rsid w:val="002523C3"/>
    <w:rsid w:val="002524C6"/>
    <w:rsid w:val="002529DC"/>
    <w:rsid w:val="00252A7C"/>
    <w:rsid w:val="00253025"/>
    <w:rsid w:val="0025339A"/>
    <w:rsid w:val="002533D8"/>
    <w:rsid w:val="00253892"/>
    <w:rsid w:val="00253A13"/>
    <w:rsid w:val="0025449D"/>
    <w:rsid w:val="002544AB"/>
    <w:rsid w:val="00254902"/>
    <w:rsid w:val="00254A2B"/>
    <w:rsid w:val="00255321"/>
    <w:rsid w:val="00255F05"/>
    <w:rsid w:val="00256069"/>
    <w:rsid w:val="002561B0"/>
    <w:rsid w:val="0025645F"/>
    <w:rsid w:val="00256612"/>
    <w:rsid w:val="00256948"/>
    <w:rsid w:val="00256D56"/>
    <w:rsid w:val="00256DDD"/>
    <w:rsid w:val="00257004"/>
    <w:rsid w:val="002571BD"/>
    <w:rsid w:val="002579EB"/>
    <w:rsid w:val="00257B30"/>
    <w:rsid w:val="0026007A"/>
    <w:rsid w:val="0026102F"/>
    <w:rsid w:val="002610FB"/>
    <w:rsid w:val="0026133E"/>
    <w:rsid w:val="0026176F"/>
    <w:rsid w:val="002618D2"/>
    <w:rsid w:val="00261A0F"/>
    <w:rsid w:val="0026203A"/>
    <w:rsid w:val="00262BC8"/>
    <w:rsid w:val="00262E08"/>
    <w:rsid w:val="002631FA"/>
    <w:rsid w:val="00263316"/>
    <w:rsid w:val="00263C99"/>
    <w:rsid w:val="00264375"/>
    <w:rsid w:val="0026471C"/>
    <w:rsid w:val="0026526C"/>
    <w:rsid w:val="002655CD"/>
    <w:rsid w:val="00265CD2"/>
    <w:rsid w:val="00267172"/>
    <w:rsid w:val="00267B44"/>
    <w:rsid w:val="002701D6"/>
    <w:rsid w:val="002708B5"/>
    <w:rsid w:val="00270A86"/>
    <w:rsid w:val="00270ACC"/>
    <w:rsid w:val="00270DC9"/>
    <w:rsid w:val="00270E8D"/>
    <w:rsid w:val="002714DF"/>
    <w:rsid w:val="00271999"/>
    <w:rsid w:val="00271EF1"/>
    <w:rsid w:val="002721E5"/>
    <w:rsid w:val="00272B5D"/>
    <w:rsid w:val="00272EE1"/>
    <w:rsid w:val="002737DB"/>
    <w:rsid w:val="00273A02"/>
    <w:rsid w:val="00273BD2"/>
    <w:rsid w:val="00273C70"/>
    <w:rsid w:val="0027435B"/>
    <w:rsid w:val="00274379"/>
    <w:rsid w:val="00274395"/>
    <w:rsid w:val="0027475A"/>
    <w:rsid w:val="00274B41"/>
    <w:rsid w:val="00274CA9"/>
    <w:rsid w:val="00275465"/>
    <w:rsid w:val="00275A98"/>
    <w:rsid w:val="00275F2B"/>
    <w:rsid w:val="00276234"/>
    <w:rsid w:val="002766B4"/>
    <w:rsid w:val="00276F2E"/>
    <w:rsid w:val="0027722D"/>
    <w:rsid w:val="00277B78"/>
    <w:rsid w:val="002804AA"/>
    <w:rsid w:val="00280635"/>
    <w:rsid w:val="00280A10"/>
    <w:rsid w:val="00280FDB"/>
    <w:rsid w:val="002810A7"/>
    <w:rsid w:val="0028199A"/>
    <w:rsid w:val="00281A2B"/>
    <w:rsid w:val="00281BAA"/>
    <w:rsid w:val="00281C65"/>
    <w:rsid w:val="00281F66"/>
    <w:rsid w:val="0028260E"/>
    <w:rsid w:val="00282BF4"/>
    <w:rsid w:val="00283026"/>
    <w:rsid w:val="00283B32"/>
    <w:rsid w:val="00284207"/>
    <w:rsid w:val="0028428E"/>
    <w:rsid w:val="00284334"/>
    <w:rsid w:val="00284D03"/>
    <w:rsid w:val="00284EC6"/>
    <w:rsid w:val="0028506E"/>
    <w:rsid w:val="002855A6"/>
    <w:rsid w:val="00285C01"/>
    <w:rsid w:val="00286C5D"/>
    <w:rsid w:val="00286EB5"/>
    <w:rsid w:val="00287295"/>
    <w:rsid w:val="00287476"/>
    <w:rsid w:val="002878C6"/>
    <w:rsid w:val="0028795C"/>
    <w:rsid w:val="00287DAC"/>
    <w:rsid w:val="00290311"/>
    <w:rsid w:val="00290394"/>
    <w:rsid w:val="00290A1A"/>
    <w:rsid w:val="00290B8A"/>
    <w:rsid w:val="00290C00"/>
    <w:rsid w:val="002911BF"/>
    <w:rsid w:val="00291481"/>
    <w:rsid w:val="00291953"/>
    <w:rsid w:val="00291EA1"/>
    <w:rsid w:val="002924C9"/>
    <w:rsid w:val="002925E1"/>
    <w:rsid w:val="00292EC7"/>
    <w:rsid w:val="00292EF1"/>
    <w:rsid w:val="00293109"/>
    <w:rsid w:val="00293111"/>
    <w:rsid w:val="002935DF"/>
    <w:rsid w:val="00294104"/>
    <w:rsid w:val="00294E9A"/>
    <w:rsid w:val="00294F24"/>
    <w:rsid w:val="002950D6"/>
    <w:rsid w:val="00295CD2"/>
    <w:rsid w:val="0029610D"/>
    <w:rsid w:val="0029674C"/>
    <w:rsid w:val="0029695F"/>
    <w:rsid w:val="00296AFE"/>
    <w:rsid w:val="00296B50"/>
    <w:rsid w:val="00296EF0"/>
    <w:rsid w:val="00296F8F"/>
    <w:rsid w:val="002971E3"/>
    <w:rsid w:val="0029785C"/>
    <w:rsid w:val="00297A7A"/>
    <w:rsid w:val="00297E0B"/>
    <w:rsid w:val="002A00AD"/>
    <w:rsid w:val="002A02A8"/>
    <w:rsid w:val="002A17F7"/>
    <w:rsid w:val="002A1EAD"/>
    <w:rsid w:val="002A1F5C"/>
    <w:rsid w:val="002A23FC"/>
    <w:rsid w:val="002A259F"/>
    <w:rsid w:val="002A26B1"/>
    <w:rsid w:val="002A2D4A"/>
    <w:rsid w:val="002A2FD2"/>
    <w:rsid w:val="002A30FE"/>
    <w:rsid w:val="002A34A8"/>
    <w:rsid w:val="002A3576"/>
    <w:rsid w:val="002A3942"/>
    <w:rsid w:val="002A50CB"/>
    <w:rsid w:val="002A5690"/>
    <w:rsid w:val="002A58BF"/>
    <w:rsid w:val="002A5FD0"/>
    <w:rsid w:val="002A6186"/>
    <w:rsid w:val="002A6746"/>
    <w:rsid w:val="002A6E8A"/>
    <w:rsid w:val="002A7C3A"/>
    <w:rsid w:val="002B02E7"/>
    <w:rsid w:val="002B11ED"/>
    <w:rsid w:val="002B138F"/>
    <w:rsid w:val="002B191F"/>
    <w:rsid w:val="002B1F49"/>
    <w:rsid w:val="002B219C"/>
    <w:rsid w:val="002B266B"/>
    <w:rsid w:val="002B27EE"/>
    <w:rsid w:val="002B29F8"/>
    <w:rsid w:val="002B2D0E"/>
    <w:rsid w:val="002B2F8B"/>
    <w:rsid w:val="002B3DFB"/>
    <w:rsid w:val="002B405A"/>
    <w:rsid w:val="002B4451"/>
    <w:rsid w:val="002B461E"/>
    <w:rsid w:val="002B4882"/>
    <w:rsid w:val="002B4B80"/>
    <w:rsid w:val="002B5128"/>
    <w:rsid w:val="002B59F4"/>
    <w:rsid w:val="002B5FAA"/>
    <w:rsid w:val="002B6454"/>
    <w:rsid w:val="002B6C60"/>
    <w:rsid w:val="002B6CCB"/>
    <w:rsid w:val="002C015C"/>
    <w:rsid w:val="002C0D83"/>
    <w:rsid w:val="002C0E24"/>
    <w:rsid w:val="002C1056"/>
    <w:rsid w:val="002C120D"/>
    <w:rsid w:val="002C121D"/>
    <w:rsid w:val="002C134B"/>
    <w:rsid w:val="002C1460"/>
    <w:rsid w:val="002C1839"/>
    <w:rsid w:val="002C23C8"/>
    <w:rsid w:val="002C23C9"/>
    <w:rsid w:val="002C2D7D"/>
    <w:rsid w:val="002C3356"/>
    <w:rsid w:val="002C3828"/>
    <w:rsid w:val="002C3964"/>
    <w:rsid w:val="002C498E"/>
    <w:rsid w:val="002C5186"/>
    <w:rsid w:val="002C5374"/>
    <w:rsid w:val="002C5730"/>
    <w:rsid w:val="002C57DD"/>
    <w:rsid w:val="002C5829"/>
    <w:rsid w:val="002C5DD4"/>
    <w:rsid w:val="002C63B3"/>
    <w:rsid w:val="002C69AE"/>
    <w:rsid w:val="002C6A7E"/>
    <w:rsid w:val="002C6E37"/>
    <w:rsid w:val="002C7B4D"/>
    <w:rsid w:val="002C7FB9"/>
    <w:rsid w:val="002C7FE5"/>
    <w:rsid w:val="002D0505"/>
    <w:rsid w:val="002D065A"/>
    <w:rsid w:val="002D0A8F"/>
    <w:rsid w:val="002D0CB2"/>
    <w:rsid w:val="002D0F3E"/>
    <w:rsid w:val="002D1002"/>
    <w:rsid w:val="002D1187"/>
    <w:rsid w:val="002D29C3"/>
    <w:rsid w:val="002D3051"/>
    <w:rsid w:val="002D3849"/>
    <w:rsid w:val="002D3A7D"/>
    <w:rsid w:val="002D495E"/>
    <w:rsid w:val="002D4C7A"/>
    <w:rsid w:val="002D4C96"/>
    <w:rsid w:val="002D5566"/>
    <w:rsid w:val="002D5F50"/>
    <w:rsid w:val="002D610C"/>
    <w:rsid w:val="002D61FC"/>
    <w:rsid w:val="002D631E"/>
    <w:rsid w:val="002D6A73"/>
    <w:rsid w:val="002D6B48"/>
    <w:rsid w:val="002D6E30"/>
    <w:rsid w:val="002D7141"/>
    <w:rsid w:val="002D7816"/>
    <w:rsid w:val="002D7B93"/>
    <w:rsid w:val="002E0167"/>
    <w:rsid w:val="002E0287"/>
    <w:rsid w:val="002E0630"/>
    <w:rsid w:val="002E076E"/>
    <w:rsid w:val="002E07A8"/>
    <w:rsid w:val="002E0DA5"/>
    <w:rsid w:val="002E14A8"/>
    <w:rsid w:val="002E2392"/>
    <w:rsid w:val="002E23E4"/>
    <w:rsid w:val="002E26E3"/>
    <w:rsid w:val="002E2AAE"/>
    <w:rsid w:val="002E2D55"/>
    <w:rsid w:val="002E31B5"/>
    <w:rsid w:val="002E342C"/>
    <w:rsid w:val="002E3627"/>
    <w:rsid w:val="002E3FC1"/>
    <w:rsid w:val="002E4216"/>
    <w:rsid w:val="002E44DC"/>
    <w:rsid w:val="002E6383"/>
    <w:rsid w:val="002E6C32"/>
    <w:rsid w:val="002E6F69"/>
    <w:rsid w:val="002E73D9"/>
    <w:rsid w:val="002E76BD"/>
    <w:rsid w:val="002E7891"/>
    <w:rsid w:val="002F016F"/>
    <w:rsid w:val="002F0589"/>
    <w:rsid w:val="002F116D"/>
    <w:rsid w:val="002F124B"/>
    <w:rsid w:val="002F18BE"/>
    <w:rsid w:val="002F1D8E"/>
    <w:rsid w:val="002F271B"/>
    <w:rsid w:val="002F2A24"/>
    <w:rsid w:val="002F347E"/>
    <w:rsid w:val="002F3893"/>
    <w:rsid w:val="002F415F"/>
    <w:rsid w:val="002F446C"/>
    <w:rsid w:val="002F459E"/>
    <w:rsid w:val="002F4862"/>
    <w:rsid w:val="002F4FC5"/>
    <w:rsid w:val="002F50B3"/>
    <w:rsid w:val="002F576A"/>
    <w:rsid w:val="002F5895"/>
    <w:rsid w:val="002F5CB2"/>
    <w:rsid w:val="002F62B1"/>
    <w:rsid w:val="002F66EB"/>
    <w:rsid w:val="002F6903"/>
    <w:rsid w:val="002F6A0F"/>
    <w:rsid w:val="002F6DD6"/>
    <w:rsid w:val="002F764D"/>
    <w:rsid w:val="002F76E4"/>
    <w:rsid w:val="002F7799"/>
    <w:rsid w:val="002F7F34"/>
    <w:rsid w:val="00300590"/>
    <w:rsid w:val="003005BC"/>
    <w:rsid w:val="003006F9"/>
    <w:rsid w:val="0030089A"/>
    <w:rsid w:val="003008DA"/>
    <w:rsid w:val="00300901"/>
    <w:rsid w:val="0030092B"/>
    <w:rsid w:val="00300C11"/>
    <w:rsid w:val="00300F9A"/>
    <w:rsid w:val="00301808"/>
    <w:rsid w:val="0030191F"/>
    <w:rsid w:val="003020BD"/>
    <w:rsid w:val="003022D0"/>
    <w:rsid w:val="0030277C"/>
    <w:rsid w:val="0030293A"/>
    <w:rsid w:val="0030323C"/>
    <w:rsid w:val="00303308"/>
    <w:rsid w:val="0030367F"/>
    <w:rsid w:val="00303738"/>
    <w:rsid w:val="0030378B"/>
    <w:rsid w:val="00303859"/>
    <w:rsid w:val="0030400B"/>
    <w:rsid w:val="00304B62"/>
    <w:rsid w:val="00304BFD"/>
    <w:rsid w:val="00305871"/>
    <w:rsid w:val="00305C40"/>
    <w:rsid w:val="00305CD0"/>
    <w:rsid w:val="00305D30"/>
    <w:rsid w:val="00306794"/>
    <w:rsid w:val="0030709C"/>
    <w:rsid w:val="003073AC"/>
    <w:rsid w:val="003073B5"/>
    <w:rsid w:val="0030766C"/>
    <w:rsid w:val="00307EC7"/>
    <w:rsid w:val="0031053E"/>
    <w:rsid w:val="003106AD"/>
    <w:rsid w:val="00310D1E"/>
    <w:rsid w:val="00311014"/>
    <w:rsid w:val="00311407"/>
    <w:rsid w:val="00311F16"/>
    <w:rsid w:val="003124A3"/>
    <w:rsid w:val="00312C45"/>
    <w:rsid w:val="00313153"/>
    <w:rsid w:val="0031319F"/>
    <w:rsid w:val="003134F8"/>
    <w:rsid w:val="00313664"/>
    <w:rsid w:val="00313798"/>
    <w:rsid w:val="00313A50"/>
    <w:rsid w:val="00313A9E"/>
    <w:rsid w:val="00313AE9"/>
    <w:rsid w:val="00313B95"/>
    <w:rsid w:val="00314034"/>
    <w:rsid w:val="003141B3"/>
    <w:rsid w:val="003141C3"/>
    <w:rsid w:val="003141F0"/>
    <w:rsid w:val="003142B2"/>
    <w:rsid w:val="00315010"/>
    <w:rsid w:val="00315320"/>
    <w:rsid w:val="003157B0"/>
    <w:rsid w:val="0031609C"/>
    <w:rsid w:val="003160C3"/>
    <w:rsid w:val="0031610D"/>
    <w:rsid w:val="0031653C"/>
    <w:rsid w:val="00316730"/>
    <w:rsid w:val="00316BB3"/>
    <w:rsid w:val="0031766E"/>
    <w:rsid w:val="003177FC"/>
    <w:rsid w:val="00317E15"/>
    <w:rsid w:val="00317E64"/>
    <w:rsid w:val="00320158"/>
    <w:rsid w:val="0032044A"/>
    <w:rsid w:val="0032060A"/>
    <w:rsid w:val="0032068A"/>
    <w:rsid w:val="00320B6C"/>
    <w:rsid w:val="00320BD0"/>
    <w:rsid w:val="00321D18"/>
    <w:rsid w:val="00322185"/>
    <w:rsid w:val="0032285B"/>
    <w:rsid w:val="003229FC"/>
    <w:rsid w:val="00322BDA"/>
    <w:rsid w:val="003236AB"/>
    <w:rsid w:val="00323B1A"/>
    <w:rsid w:val="003241A0"/>
    <w:rsid w:val="003241A5"/>
    <w:rsid w:val="0032443C"/>
    <w:rsid w:val="003248D5"/>
    <w:rsid w:val="0032551B"/>
    <w:rsid w:val="003256A3"/>
    <w:rsid w:val="003260A6"/>
    <w:rsid w:val="003263DE"/>
    <w:rsid w:val="00326521"/>
    <w:rsid w:val="00326649"/>
    <w:rsid w:val="0032682D"/>
    <w:rsid w:val="00326859"/>
    <w:rsid w:val="00326908"/>
    <w:rsid w:val="00326EF9"/>
    <w:rsid w:val="00327301"/>
    <w:rsid w:val="0032759B"/>
    <w:rsid w:val="0032782C"/>
    <w:rsid w:val="00327A33"/>
    <w:rsid w:val="00327BC2"/>
    <w:rsid w:val="00327BD6"/>
    <w:rsid w:val="00327D44"/>
    <w:rsid w:val="0033062D"/>
    <w:rsid w:val="00331113"/>
    <w:rsid w:val="00331BD3"/>
    <w:rsid w:val="00331E9B"/>
    <w:rsid w:val="00331EDA"/>
    <w:rsid w:val="00331F36"/>
    <w:rsid w:val="00332587"/>
    <w:rsid w:val="00332F01"/>
    <w:rsid w:val="003330C7"/>
    <w:rsid w:val="00333177"/>
    <w:rsid w:val="00333FC2"/>
    <w:rsid w:val="003340C0"/>
    <w:rsid w:val="0033449C"/>
    <w:rsid w:val="0033482C"/>
    <w:rsid w:val="0033484B"/>
    <w:rsid w:val="003348A8"/>
    <w:rsid w:val="00334C50"/>
    <w:rsid w:val="00334C74"/>
    <w:rsid w:val="00334C9D"/>
    <w:rsid w:val="00334D50"/>
    <w:rsid w:val="00335A1D"/>
    <w:rsid w:val="00335C83"/>
    <w:rsid w:val="00336289"/>
    <w:rsid w:val="00336B92"/>
    <w:rsid w:val="00336C17"/>
    <w:rsid w:val="00336D85"/>
    <w:rsid w:val="00336E18"/>
    <w:rsid w:val="00337175"/>
    <w:rsid w:val="003379BD"/>
    <w:rsid w:val="003405E3"/>
    <w:rsid w:val="00340720"/>
    <w:rsid w:val="003407D1"/>
    <w:rsid w:val="00340829"/>
    <w:rsid w:val="003409D1"/>
    <w:rsid w:val="00340B91"/>
    <w:rsid w:val="00340C56"/>
    <w:rsid w:val="00340CBA"/>
    <w:rsid w:val="00340EBC"/>
    <w:rsid w:val="003412EE"/>
    <w:rsid w:val="00341446"/>
    <w:rsid w:val="00341882"/>
    <w:rsid w:val="003418BB"/>
    <w:rsid w:val="00341E1E"/>
    <w:rsid w:val="00341F95"/>
    <w:rsid w:val="0034242B"/>
    <w:rsid w:val="003426C1"/>
    <w:rsid w:val="00342BF2"/>
    <w:rsid w:val="00343096"/>
    <w:rsid w:val="003438BD"/>
    <w:rsid w:val="003440FF"/>
    <w:rsid w:val="0034416B"/>
    <w:rsid w:val="003442F0"/>
    <w:rsid w:val="0034494E"/>
    <w:rsid w:val="003449E8"/>
    <w:rsid w:val="00344A20"/>
    <w:rsid w:val="00344FF6"/>
    <w:rsid w:val="003454C1"/>
    <w:rsid w:val="0034564B"/>
    <w:rsid w:val="00345AAE"/>
    <w:rsid w:val="003460DF"/>
    <w:rsid w:val="003462DA"/>
    <w:rsid w:val="00346589"/>
    <w:rsid w:val="0034662C"/>
    <w:rsid w:val="00346D5E"/>
    <w:rsid w:val="00347D3B"/>
    <w:rsid w:val="00347EE6"/>
    <w:rsid w:val="00350700"/>
    <w:rsid w:val="00350900"/>
    <w:rsid w:val="00350D39"/>
    <w:rsid w:val="00351306"/>
    <w:rsid w:val="00351AE3"/>
    <w:rsid w:val="00351E44"/>
    <w:rsid w:val="00352201"/>
    <w:rsid w:val="00352261"/>
    <w:rsid w:val="00352566"/>
    <w:rsid w:val="003525A1"/>
    <w:rsid w:val="003526C0"/>
    <w:rsid w:val="003527CD"/>
    <w:rsid w:val="00353A01"/>
    <w:rsid w:val="003541B2"/>
    <w:rsid w:val="003541E0"/>
    <w:rsid w:val="003542D1"/>
    <w:rsid w:val="0035461E"/>
    <w:rsid w:val="003548FD"/>
    <w:rsid w:val="0035522C"/>
    <w:rsid w:val="0035530D"/>
    <w:rsid w:val="003554EB"/>
    <w:rsid w:val="0035580A"/>
    <w:rsid w:val="0035590D"/>
    <w:rsid w:val="00355D6D"/>
    <w:rsid w:val="00356163"/>
    <w:rsid w:val="003561E2"/>
    <w:rsid w:val="003561EF"/>
    <w:rsid w:val="00356373"/>
    <w:rsid w:val="003565CC"/>
    <w:rsid w:val="00357602"/>
    <w:rsid w:val="00357964"/>
    <w:rsid w:val="00357A6E"/>
    <w:rsid w:val="00357BBF"/>
    <w:rsid w:val="003606B1"/>
    <w:rsid w:val="0036080B"/>
    <w:rsid w:val="00360D73"/>
    <w:rsid w:val="003610EA"/>
    <w:rsid w:val="00361758"/>
    <w:rsid w:val="003617FD"/>
    <w:rsid w:val="00361937"/>
    <w:rsid w:val="00361A64"/>
    <w:rsid w:val="00361AFA"/>
    <w:rsid w:val="003628A4"/>
    <w:rsid w:val="003629C6"/>
    <w:rsid w:val="00363A51"/>
    <w:rsid w:val="00363CC5"/>
    <w:rsid w:val="00363EC5"/>
    <w:rsid w:val="00363F31"/>
    <w:rsid w:val="00363F59"/>
    <w:rsid w:val="003642E1"/>
    <w:rsid w:val="003644B7"/>
    <w:rsid w:val="00364743"/>
    <w:rsid w:val="00364750"/>
    <w:rsid w:val="00364CB1"/>
    <w:rsid w:val="00364D14"/>
    <w:rsid w:val="00364E30"/>
    <w:rsid w:val="003656EC"/>
    <w:rsid w:val="00365DE5"/>
    <w:rsid w:val="00365FE8"/>
    <w:rsid w:val="00366099"/>
    <w:rsid w:val="003660DA"/>
    <w:rsid w:val="00366476"/>
    <w:rsid w:val="003665F4"/>
    <w:rsid w:val="00366D06"/>
    <w:rsid w:val="00366D12"/>
    <w:rsid w:val="00366F22"/>
    <w:rsid w:val="0036788B"/>
    <w:rsid w:val="00367ECE"/>
    <w:rsid w:val="003706D1"/>
    <w:rsid w:val="003709A0"/>
    <w:rsid w:val="00370E18"/>
    <w:rsid w:val="00370E3E"/>
    <w:rsid w:val="00371B8A"/>
    <w:rsid w:val="0037209D"/>
    <w:rsid w:val="003722FC"/>
    <w:rsid w:val="0037352F"/>
    <w:rsid w:val="003738D3"/>
    <w:rsid w:val="00373E9F"/>
    <w:rsid w:val="00374686"/>
    <w:rsid w:val="00374954"/>
    <w:rsid w:val="00374D3D"/>
    <w:rsid w:val="003750A3"/>
    <w:rsid w:val="00375F86"/>
    <w:rsid w:val="00376276"/>
    <w:rsid w:val="00376570"/>
    <w:rsid w:val="0037671C"/>
    <w:rsid w:val="0037697B"/>
    <w:rsid w:val="00376C76"/>
    <w:rsid w:val="00376FC5"/>
    <w:rsid w:val="003770DE"/>
    <w:rsid w:val="00377333"/>
    <w:rsid w:val="0037737F"/>
    <w:rsid w:val="00380264"/>
    <w:rsid w:val="00380A83"/>
    <w:rsid w:val="003813AE"/>
    <w:rsid w:val="003816E8"/>
    <w:rsid w:val="003818CF"/>
    <w:rsid w:val="00381C7C"/>
    <w:rsid w:val="00381CAB"/>
    <w:rsid w:val="003821E3"/>
    <w:rsid w:val="0038243C"/>
    <w:rsid w:val="003827C5"/>
    <w:rsid w:val="00383181"/>
    <w:rsid w:val="00383250"/>
    <w:rsid w:val="003833A4"/>
    <w:rsid w:val="003835C3"/>
    <w:rsid w:val="003836EE"/>
    <w:rsid w:val="00383AE7"/>
    <w:rsid w:val="00383EA7"/>
    <w:rsid w:val="00383F84"/>
    <w:rsid w:val="00383FF7"/>
    <w:rsid w:val="0038438E"/>
    <w:rsid w:val="00384460"/>
    <w:rsid w:val="00384869"/>
    <w:rsid w:val="0038488F"/>
    <w:rsid w:val="00384C23"/>
    <w:rsid w:val="00384E79"/>
    <w:rsid w:val="00385733"/>
    <w:rsid w:val="0038597C"/>
    <w:rsid w:val="00385AAE"/>
    <w:rsid w:val="00385C90"/>
    <w:rsid w:val="00385CC8"/>
    <w:rsid w:val="00386190"/>
    <w:rsid w:val="003864B6"/>
    <w:rsid w:val="0038654F"/>
    <w:rsid w:val="00386632"/>
    <w:rsid w:val="0038672D"/>
    <w:rsid w:val="00386AB5"/>
    <w:rsid w:val="00386DF9"/>
    <w:rsid w:val="00387044"/>
    <w:rsid w:val="00387593"/>
    <w:rsid w:val="003878C3"/>
    <w:rsid w:val="003878DA"/>
    <w:rsid w:val="003879E8"/>
    <w:rsid w:val="00387EC7"/>
    <w:rsid w:val="003908FA"/>
    <w:rsid w:val="00390B73"/>
    <w:rsid w:val="00390D36"/>
    <w:rsid w:val="00390E3A"/>
    <w:rsid w:val="0039101A"/>
    <w:rsid w:val="0039214D"/>
    <w:rsid w:val="00392348"/>
    <w:rsid w:val="00392588"/>
    <w:rsid w:val="003927D4"/>
    <w:rsid w:val="003928DF"/>
    <w:rsid w:val="00393D5B"/>
    <w:rsid w:val="00393F73"/>
    <w:rsid w:val="00393FE5"/>
    <w:rsid w:val="00394092"/>
    <w:rsid w:val="0039412B"/>
    <w:rsid w:val="003947C1"/>
    <w:rsid w:val="00395570"/>
    <w:rsid w:val="00395830"/>
    <w:rsid w:val="00396441"/>
    <w:rsid w:val="0039649D"/>
    <w:rsid w:val="003967E6"/>
    <w:rsid w:val="00396CFB"/>
    <w:rsid w:val="00396D4C"/>
    <w:rsid w:val="00397039"/>
    <w:rsid w:val="003975FB"/>
    <w:rsid w:val="003978C0"/>
    <w:rsid w:val="00397955"/>
    <w:rsid w:val="00397E71"/>
    <w:rsid w:val="003A0678"/>
    <w:rsid w:val="003A07BE"/>
    <w:rsid w:val="003A0A97"/>
    <w:rsid w:val="003A0B3E"/>
    <w:rsid w:val="003A0B98"/>
    <w:rsid w:val="003A0E75"/>
    <w:rsid w:val="003A1200"/>
    <w:rsid w:val="003A1A32"/>
    <w:rsid w:val="003A2068"/>
    <w:rsid w:val="003A216C"/>
    <w:rsid w:val="003A2709"/>
    <w:rsid w:val="003A273D"/>
    <w:rsid w:val="003A27B1"/>
    <w:rsid w:val="003A2B9A"/>
    <w:rsid w:val="003A349A"/>
    <w:rsid w:val="003A3A72"/>
    <w:rsid w:val="003A44D6"/>
    <w:rsid w:val="003A4BDD"/>
    <w:rsid w:val="003A51CF"/>
    <w:rsid w:val="003A52F0"/>
    <w:rsid w:val="003A5453"/>
    <w:rsid w:val="003A5888"/>
    <w:rsid w:val="003A5BBE"/>
    <w:rsid w:val="003A5D48"/>
    <w:rsid w:val="003A70B0"/>
    <w:rsid w:val="003A7246"/>
    <w:rsid w:val="003A74EA"/>
    <w:rsid w:val="003A7A39"/>
    <w:rsid w:val="003A7AC4"/>
    <w:rsid w:val="003B02C6"/>
    <w:rsid w:val="003B07BE"/>
    <w:rsid w:val="003B0AC1"/>
    <w:rsid w:val="003B1046"/>
    <w:rsid w:val="003B10FD"/>
    <w:rsid w:val="003B1734"/>
    <w:rsid w:val="003B1829"/>
    <w:rsid w:val="003B19C1"/>
    <w:rsid w:val="003B2359"/>
    <w:rsid w:val="003B2720"/>
    <w:rsid w:val="003B2CE4"/>
    <w:rsid w:val="003B2CFB"/>
    <w:rsid w:val="003B3633"/>
    <w:rsid w:val="003B37E4"/>
    <w:rsid w:val="003B3EC7"/>
    <w:rsid w:val="003B453F"/>
    <w:rsid w:val="003B4743"/>
    <w:rsid w:val="003B4CBB"/>
    <w:rsid w:val="003B4D17"/>
    <w:rsid w:val="003B4FC2"/>
    <w:rsid w:val="003B566D"/>
    <w:rsid w:val="003B592F"/>
    <w:rsid w:val="003B59E2"/>
    <w:rsid w:val="003B5A7E"/>
    <w:rsid w:val="003B5DF5"/>
    <w:rsid w:val="003B5E3D"/>
    <w:rsid w:val="003B65B6"/>
    <w:rsid w:val="003B685E"/>
    <w:rsid w:val="003B68B4"/>
    <w:rsid w:val="003B68C0"/>
    <w:rsid w:val="003B7381"/>
    <w:rsid w:val="003B7506"/>
    <w:rsid w:val="003B76EA"/>
    <w:rsid w:val="003B7C70"/>
    <w:rsid w:val="003C04CB"/>
    <w:rsid w:val="003C1393"/>
    <w:rsid w:val="003C1A01"/>
    <w:rsid w:val="003C1B5A"/>
    <w:rsid w:val="003C1D1D"/>
    <w:rsid w:val="003C1DC0"/>
    <w:rsid w:val="003C2BF4"/>
    <w:rsid w:val="003C2D3F"/>
    <w:rsid w:val="003C2ED6"/>
    <w:rsid w:val="003C30DA"/>
    <w:rsid w:val="003C3241"/>
    <w:rsid w:val="003C3651"/>
    <w:rsid w:val="003C3F69"/>
    <w:rsid w:val="003C475F"/>
    <w:rsid w:val="003C5616"/>
    <w:rsid w:val="003C647A"/>
    <w:rsid w:val="003C66EF"/>
    <w:rsid w:val="003C6B55"/>
    <w:rsid w:val="003C6EA7"/>
    <w:rsid w:val="003C7259"/>
    <w:rsid w:val="003C7984"/>
    <w:rsid w:val="003C79B0"/>
    <w:rsid w:val="003C7D2E"/>
    <w:rsid w:val="003C7D89"/>
    <w:rsid w:val="003C7E6B"/>
    <w:rsid w:val="003D01F4"/>
    <w:rsid w:val="003D03B1"/>
    <w:rsid w:val="003D0413"/>
    <w:rsid w:val="003D067E"/>
    <w:rsid w:val="003D08A3"/>
    <w:rsid w:val="003D0AB0"/>
    <w:rsid w:val="003D1687"/>
    <w:rsid w:val="003D1913"/>
    <w:rsid w:val="003D1A60"/>
    <w:rsid w:val="003D2148"/>
    <w:rsid w:val="003D2484"/>
    <w:rsid w:val="003D2718"/>
    <w:rsid w:val="003D2731"/>
    <w:rsid w:val="003D2B80"/>
    <w:rsid w:val="003D2F0C"/>
    <w:rsid w:val="003D3010"/>
    <w:rsid w:val="003D34F6"/>
    <w:rsid w:val="003D3A24"/>
    <w:rsid w:val="003D401F"/>
    <w:rsid w:val="003D4031"/>
    <w:rsid w:val="003D40FB"/>
    <w:rsid w:val="003D4166"/>
    <w:rsid w:val="003D4573"/>
    <w:rsid w:val="003D4C50"/>
    <w:rsid w:val="003D5477"/>
    <w:rsid w:val="003D54AB"/>
    <w:rsid w:val="003D58FA"/>
    <w:rsid w:val="003D5AC6"/>
    <w:rsid w:val="003D5BF6"/>
    <w:rsid w:val="003D6F72"/>
    <w:rsid w:val="003D744B"/>
    <w:rsid w:val="003D77DE"/>
    <w:rsid w:val="003D7818"/>
    <w:rsid w:val="003D789D"/>
    <w:rsid w:val="003D7A86"/>
    <w:rsid w:val="003D7B45"/>
    <w:rsid w:val="003D7EFF"/>
    <w:rsid w:val="003D7FC8"/>
    <w:rsid w:val="003E020A"/>
    <w:rsid w:val="003E03D3"/>
    <w:rsid w:val="003E04A9"/>
    <w:rsid w:val="003E0970"/>
    <w:rsid w:val="003E149B"/>
    <w:rsid w:val="003E177F"/>
    <w:rsid w:val="003E1E10"/>
    <w:rsid w:val="003E22FF"/>
    <w:rsid w:val="003E2F74"/>
    <w:rsid w:val="003E3CF7"/>
    <w:rsid w:val="003E3E37"/>
    <w:rsid w:val="003E4330"/>
    <w:rsid w:val="003E4F18"/>
    <w:rsid w:val="003E51A9"/>
    <w:rsid w:val="003E5241"/>
    <w:rsid w:val="003E5465"/>
    <w:rsid w:val="003E5CFE"/>
    <w:rsid w:val="003E651E"/>
    <w:rsid w:val="003E6862"/>
    <w:rsid w:val="003E6B3E"/>
    <w:rsid w:val="003E7204"/>
    <w:rsid w:val="003E77FD"/>
    <w:rsid w:val="003E7A61"/>
    <w:rsid w:val="003E7B04"/>
    <w:rsid w:val="003E7C44"/>
    <w:rsid w:val="003F00BF"/>
    <w:rsid w:val="003F01B6"/>
    <w:rsid w:val="003F0225"/>
    <w:rsid w:val="003F04FA"/>
    <w:rsid w:val="003F0861"/>
    <w:rsid w:val="003F0F6C"/>
    <w:rsid w:val="003F10F2"/>
    <w:rsid w:val="003F1667"/>
    <w:rsid w:val="003F263A"/>
    <w:rsid w:val="003F3262"/>
    <w:rsid w:val="003F33E5"/>
    <w:rsid w:val="003F3796"/>
    <w:rsid w:val="003F3B6D"/>
    <w:rsid w:val="003F3DF3"/>
    <w:rsid w:val="003F43CA"/>
    <w:rsid w:val="003F4A61"/>
    <w:rsid w:val="003F4CC7"/>
    <w:rsid w:val="003F5207"/>
    <w:rsid w:val="003F56AF"/>
    <w:rsid w:val="003F590A"/>
    <w:rsid w:val="003F5E52"/>
    <w:rsid w:val="003F60FE"/>
    <w:rsid w:val="003F67C9"/>
    <w:rsid w:val="003F690F"/>
    <w:rsid w:val="003F797A"/>
    <w:rsid w:val="00400169"/>
    <w:rsid w:val="0040019D"/>
    <w:rsid w:val="00400615"/>
    <w:rsid w:val="00400F34"/>
    <w:rsid w:val="004017A2"/>
    <w:rsid w:val="004020B8"/>
    <w:rsid w:val="00402411"/>
    <w:rsid w:val="0040286D"/>
    <w:rsid w:val="00402A01"/>
    <w:rsid w:val="00402C5E"/>
    <w:rsid w:val="00404189"/>
    <w:rsid w:val="0040433E"/>
    <w:rsid w:val="004044C2"/>
    <w:rsid w:val="0040461D"/>
    <w:rsid w:val="00404913"/>
    <w:rsid w:val="00404C2B"/>
    <w:rsid w:val="00404C2D"/>
    <w:rsid w:val="00404CA7"/>
    <w:rsid w:val="004055B3"/>
    <w:rsid w:val="00405667"/>
    <w:rsid w:val="00405B27"/>
    <w:rsid w:val="0040662E"/>
    <w:rsid w:val="0040694A"/>
    <w:rsid w:val="004074C6"/>
    <w:rsid w:val="004103FD"/>
    <w:rsid w:val="00410C15"/>
    <w:rsid w:val="00410E2A"/>
    <w:rsid w:val="0041116B"/>
    <w:rsid w:val="00411193"/>
    <w:rsid w:val="004115AA"/>
    <w:rsid w:val="004116E1"/>
    <w:rsid w:val="0041172C"/>
    <w:rsid w:val="004119BB"/>
    <w:rsid w:val="00411B7E"/>
    <w:rsid w:val="00411EC3"/>
    <w:rsid w:val="00412361"/>
    <w:rsid w:val="00412683"/>
    <w:rsid w:val="004128AA"/>
    <w:rsid w:val="004128E3"/>
    <w:rsid w:val="00412B8D"/>
    <w:rsid w:val="00412D0B"/>
    <w:rsid w:val="00412D79"/>
    <w:rsid w:val="0041336A"/>
    <w:rsid w:val="00413A05"/>
    <w:rsid w:val="00413B69"/>
    <w:rsid w:val="00413F44"/>
    <w:rsid w:val="004140C6"/>
    <w:rsid w:val="00414661"/>
    <w:rsid w:val="00414DCE"/>
    <w:rsid w:val="00414F85"/>
    <w:rsid w:val="00414FE1"/>
    <w:rsid w:val="00415091"/>
    <w:rsid w:val="004152DE"/>
    <w:rsid w:val="004157C9"/>
    <w:rsid w:val="00415F2B"/>
    <w:rsid w:val="00416085"/>
    <w:rsid w:val="004163AE"/>
    <w:rsid w:val="004165F8"/>
    <w:rsid w:val="00416993"/>
    <w:rsid w:val="004169A3"/>
    <w:rsid w:val="00416DAE"/>
    <w:rsid w:val="00416DD1"/>
    <w:rsid w:val="00417C51"/>
    <w:rsid w:val="00417DEC"/>
    <w:rsid w:val="00420346"/>
    <w:rsid w:val="0042041B"/>
    <w:rsid w:val="004206A5"/>
    <w:rsid w:val="004207B6"/>
    <w:rsid w:val="0042093E"/>
    <w:rsid w:val="004210C8"/>
    <w:rsid w:val="004213BF"/>
    <w:rsid w:val="00421788"/>
    <w:rsid w:val="00421BF7"/>
    <w:rsid w:val="00422166"/>
    <w:rsid w:val="004222A1"/>
    <w:rsid w:val="004225CB"/>
    <w:rsid w:val="004233BB"/>
    <w:rsid w:val="0042345A"/>
    <w:rsid w:val="00423570"/>
    <w:rsid w:val="00423611"/>
    <w:rsid w:val="00423A0E"/>
    <w:rsid w:val="004244F3"/>
    <w:rsid w:val="004249E2"/>
    <w:rsid w:val="00424E80"/>
    <w:rsid w:val="00425347"/>
    <w:rsid w:val="00425348"/>
    <w:rsid w:val="0042563F"/>
    <w:rsid w:val="00426491"/>
    <w:rsid w:val="004267BE"/>
    <w:rsid w:val="00426F66"/>
    <w:rsid w:val="00427196"/>
    <w:rsid w:val="00427858"/>
    <w:rsid w:val="0043028A"/>
    <w:rsid w:val="0043048D"/>
    <w:rsid w:val="004306C4"/>
    <w:rsid w:val="0043073D"/>
    <w:rsid w:val="00430DCB"/>
    <w:rsid w:val="00431289"/>
    <w:rsid w:val="004317C7"/>
    <w:rsid w:val="00431B4A"/>
    <w:rsid w:val="004325E9"/>
    <w:rsid w:val="0043299C"/>
    <w:rsid w:val="00432B1C"/>
    <w:rsid w:val="00433869"/>
    <w:rsid w:val="00433A61"/>
    <w:rsid w:val="004340E7"/>
    <w:rsid w:val="00434101"/>
    <w:rsid w:val="004342DF"/>
    <w:rsid w:val="004343BC"/>
    <w:rsid w:val="00434569"/>
    <w:rsid w:val="00434ADD"/>
    <w:rsid w:val="0043512D"/>
    <w:rsid w:val="0043579A"/>
    <w:rsid w:val="00435BE6"/>
    <w:rsid w:val="00435F75"/>
    <w:rsid w:val="00436470"/>
    <w:rsid w:val="00437201"/>
    <w:rsid w:val="0043762D"/>
    <w:rsid w:val="00437E37"/>
    <w:rsid w:val="004400FA"/>
    <w:rsid w:val="00440294"/>
    <w:rsid w:val="0044039F"/>
    <w:rsid w:val="00440869"/>
    <w:rsid w:val="00440AB3"/>
    <w:rsid w:val="004410F9"/>
    <w:rsid w:val="0044162D"/>
    <w:rsid w:val="00441826"/>
    <w:rsid w:val="0044185E"/>
    <w:rsid w:val="00441A53"/>
    <w:rsid w:val="00441C47"/>
    <w:rsid w:val="0044214D"/>
    <w:rsid w:val="0044238D"/>
    <w:rsid w:val="00442E05"/>
    <w:rsid w:val="00442E0A"/>
    <w:rsid w:val="00442E28"/>
    <w:rsid w:val="00443A53"/>
    <w:rsid w:val="00443C38"/>
    <w:rsid w:val="00443EDE"/>
    <w:rsid w:val="00443F50"/>
    <w:rsid w:val="0044433E"/>
    <w:rsid w:val="004448BE"/>
    <w:rsid w:val="00444EBF"/>
    <w:rsid w:val="00445694"/>
    <w:rsid w:val="00445B5D"/>
    <w:rsid w:val="00446837"/>
    <w:rsid w:val="00446885"/>
    <w:rsid w:val="004468DE"/>
    <w:rsid w:val="004469E7"/>
    <w:rsid w:val="00446CB3"/>
    <w:rsid w:val="00447109"/>
    <w:rsid w:val="004478CA"/>
    <w:rsid w:val="00447CEF"/>
    <w:rsid w:val="00450140"/>
    <w:rsid w:val="00450416"/>
    <w:rsid w:val="0045099A"/>
    <w:rsid w:val="004509E3"/>
    <w:rsid w:val="00450F24"/>
    <w:rsid w:val="004513D7"/>
    <w:rsid w:val="0045172B"/>
    <w:rsid w:val="00451819"/>
    <w:rsid w:val="00451972"/>
    <w:rsid w:val="004522CF"/>
    <w:rsid w:val="004528DB"/>
    <w:rsid w:val="00452B18"/>
    <w:rsid w:val="00452B7F"/>
    <w:rsid w:val="00452E86"/>
    <w:rsid w:val="00453094"/>
    <w:rsid w:val="0045360D"/>
    <w:rsid w:val="004539AB"/>
    <w:rsid w:val="00453B00"/>
    <w:rsid w:val="00453B51"/>
    <w:rsid w:val="00453D64"/>
    <w:rsid w:val="004545A3"/>
    <w:rsid w:val="00454CD1"/>
    <w:rsid w:val="00454D36"/>
    <w:rsid w:val="004552CF"/>
    <w:rsid w:val="0045535B"/>
    <w:rsid w:val="004558DC"/>
    <w:rsid w:val="004559DF"/>
    <w:rsid w:val="00455ED3"/>
    <w:rsid w:val="00456A49"/>
    <w:rsid w:val="00456BDE"/>
    <w:rsid w:val="00457109"/>
    <w:rsid w:val="004573C9"/>
    <w:rsid w:val="0045797A"/>
    <w:rsid w:val="004600C7"/>
    <w:rsid w:val="00460242"/>
    <w:rsid w:val="0046048F"/>
    <w:rsid w:val="004606CC"/>
    <w:rsid w:val="00461032"/>
    <w:rsid w:val="004613F3"/>
    <w:rsid w:val="0046164B"/>
    <w:rsid w:val="004618C7"/>
    <w:rsid w:val="00462FED"/>
    <w:rsid w:val="0046343E"/>
    <w:rsid w:val="00463596"/>
    <w:rsid w:val="00463727"/>
    <w:rsid w:val="004637AE"/>
    <w:rsid w:val="00463901"/>
    <w:rsid w:val="0046399E"/>
    <w:rsid w:val="004639BD"/>
    <w:rsid w:val="00463F97"/>
    <w:rsid w:val="00464244"/>
    <w:rsid w:val="00464828"/>
    <w:rsid w:val="004649B1"/>
    <w:rsid w:val="00464ADA"/>
    <w:rsid w:val="00464BFE"/>
    <w:rsid w:val="00464C0F"/>
    <w:rsid w:val="00465426"/>
    <w:rsid w:val="004661F9"/>
    <w:rsid w:val="004662A6"/>
    <w:rsid w:val="00466853"/>
    <w:rsid w:val="00466A4C"/>
    <w:rsid w:val="00466D1B"/>
    <w:rsid w:val="00466EC6"/>
    <w:rsid w:val="00466F4B"/>
    <w:rsid w:val="00466FED"/>
    <w:rsid w:val="00467359"/>
    <w:rsid w:val="00467604"/>
    <w:rsid w:val="004678A4"/>
    <w:rsid w:val="0047053C"/>
    <w:rsid w:val="00470E39"/>
    <w:rsid w:val="00470E58"/>
    <w:rsid w:val="0047119B"/>
    <w:rsid w:val="004714F1"/>
    <w:rsid w:val="00471714"/>
    <w:rsid w:val="00471BED"/>
    <w:rsid w:val="00472171"/>
    <w:rsid w:val="0047277F"/>
    <w:rsid w:val="00472D21"/>
    <w:rsid w:val="0047429A"/>
    <w:rsid w:val="004742E0"/>
    <w:rsid w:val="004745B0"/>
    <w:rsid w:val="00474A15"/>
    <w:rsid w:val="00474A36"/>
    <w:rsid w:val="0047546F"/>
    <w:rsid w:val="004757B5"/>
    <w:rsid w:val="00476445"/>
    <w:rsid w:val="0047652A"/>
    <w:rsid w:val="004766AB"/>
    <w:rsid w:val="00476B80"/>
    <w:rsid w:val="004772E0"/>
    <w:rsid w:val="00477308"/>
    <w:rsid w:val="00477CF7"/>
    <w:rsid w:val="00477E24"/>
    <w:rsid w:val="00477E5E"/>
    <w:rsid w:val="00477F15"/>
    <w:rsid w:val="00480272"/>
    <w:rsid w:val="00480435"/>
    <w:rsid w:val="00480CCE"/>
    <w:rsid w:val="00480DEF"/>
    <w:rsid w:val="004817BE"/>
    <w:rsid w:val="004818C6"/>
    <w:rsid w:val="00481BB1"/>
    <w:rsid w:val="00481C64"/>
    <w:rsid w:val="00482063"/>
    <w:rsid w:val="0048280B"/>
    <w:rsid w:val="00482E02"/>
    <w:rsid w:val="004836C2"/>
    <w:rsid w:val="00483A51"/>
    <w:rsid w:val="004843CB"/>
    <w:rsid w:val="0048590C"/>
    <w:rsid w:val="00485FD7"/>
    <w:rsid w:val="0048653A"/>
    <w:rsid w:val="00486883"/>
    <w:rsid w:val="00486BB8"/>
    <w:rsid w:val="00486EC7"/>
    <w:rsid w:val="00486FBF"/>
    <w:rsid w:val="004873A8"/>
    <w:rsid w:val="00487BD8"/>
    <w:rsid w:val="00490054"/>
    <w:rsid w:val="004907FC"/>
    <w:rsid w:val="00490B80"/>
    <w:rsid w:val="004911B9"/>
    <w:rsid w:val="00491563"/>
    <w:rsid w:val="0049174F"/>
    <w:rsid w:val="004919BD"/>
    <w:rsid w:val="004922C6"/>
    <w:rsid w:val="004922EE"/>
    <w:rsid w:val="00492904"/>
    <w:rsid w:val="0049299D"/>
    <w:rsid w:val="00492E4A"/>
    <w:rsid w:val="00492EEA"/>
    <w:rsid w:val="004938D7"/>
    <w:rsid w:val="0049391C"/>
    <w:rsid w:val="00493B4D"/>
    <w:rsid w:val="0049405A"/>
    <w:rsid w:val="00494113"/>
    <w:rsid w:val="004943FD"/>
    <w:rsid w:val="00494611"/>
    <w:rsid w:val="00494AA7"/>
    <w:rsid w:val="00494AAD"/>
    <w:rsid w:val="004956E0"/>
    <w:rsid w:val="00496076"/>
    <w:rsid w:val="0049614B"/>
    <w:rsid w:val="00496492"/>
    <w:rsid w:val="00497754"/>
    <w:rsid w:val="0049792C"/>
    <w:rsid w:val="004A02C3"/>
    <w:rsid w:val="004A075B"/>
    <w:rsid w:val="004A0DD4"/>
    <w:rsid w:val="004A105E"/>
    <w:rsid w:val="004A1CD1"/>
    <w:rsid w:val="004A26BE"/>
    <w:rsid w:val="004A290F"/>
    <w:rsid w:val="004A2970"/>
    <w:rsid w:val="004A2A0F"/>
    <w:rsid w:val="004A2A30"/>
    <w:rsid w:val="004A3922"/>
    <w:rsid w:val="004A3CC1"/>
    <w:rsid w:val="004A4011"/>
    <w:rsid w:val="004A4100"/>
    <w:rsid w:val="004A5BAA"/>
    <w:rsid w:val="004A5BC1"/>
    <w:rsid w:val="004A5BFA"/>
    <w:rsid w:val="004A5C6A"/>
    <w:rsid w:val="004A5DE1"/>
    <w:rsid w:val="004A5FCD"/>
    <w:rsid w:val="004A6245"/>
    <w:rsid w:val="004A6744"/>
    <w:rsid w:val="004A6C3A"/>
    <w:rsid w:val="004A7203"/>
    <w:rsid w:val="004A74EB"/>
    <w:rsid w:val="004A757F"/>
    <w:rsid w:val="004A79B7"/>
    <w:rsid w:val="004B061C"/>
    <w:rsid w:val="004B0809"/>
    <w:rsid w:val="004B0BDB"/>
    <w:rsid w:val="004B0D93"/>
    <w:rsid w:val="004B1447"/>
    <w:rsid w:val="004B186F"/>
    <w:rsid w:val="004B2158"/>
    <w:rsid w:val="004B236B"/>
    <w:rsid w:val="004B2707"/>
    <w:rsid w:val="004B2C01"/>
    <w:rsid w:val="004B2D09"/>
    <w:rsid w:val="004B2E24"/>
    <w:rsid w:val="004B3161"/>
    <w:rsid w:val="004B3889"/>
    <w:rsid w:val="004B3DA0"/>
    <w:rsid w:val="004B3E15"/>
    <w:rsid w:val="004B3E85"/>
    <w:rsid w:val="004B423F"/>
    <w:rsid w:val="004B482B"/>
    <w:rsid w:val="004B4DE7"/>
    <w:rsid w:val="004B4F91"/>
    <w:rsid w:val="004B50D0"/>
    <w:rsid w:val="004B51D6"/>
    <w:rsid w:val="004B55DB"/>
    <w:rsid w:val="004B5FD2"/>
    <w:rsid w:val="004B63ED"/>
    <w:rsid w:val="004B68AE"/>
    <w:rsid w:val="004B6A8B"/>
    <w:rsid w:val="004B71E8"/>
    <w:rsid w:val="004B75CE"/>
    <w:rsid w:val="004B7723"/>
    <w:rsid w:val="004C0835"/>
    <w:rsid w:val="004C0ACB"/>
    <w:rsid w:val="004C0BAB"/>
    <w:rsid w:val="004C11DC"/>
    <w:rsid w:val="004C1ABF"/>
    <w:rsid w:val="004C1C48"/>
    <w:rsid w:val="004C1E96"/>
    <w:rsid w:val="004C20D1"/>
    <w:rsid w:val="004C2521"/>
    <w:rsid w:val="004C2619"/>
    <w:rsid w:val="004C3278"/>
    <w:rsid w:val="004C3A59"/>
    <w:rsid w:val="004C3B59"/>
    <w:rsid w:val="004C3CC4"/>
    <w:rsid w:val="004C4201"/>
    <w:rsid w:val="004C423E"/>
    <w:rsid w:val="004C486D"/>
    <w:rsid w:val="004C4D6F"/>
    <w:rsid w:val="004C517C"/>
    <w:rsid w:val="004C51BE"/>
    <w:rsid w:val="004C5272"/>
    <w:rsid w:val="004C5334"/>
    <w:rsid w:val="004C539E"/>
    <w:rsid w:val="004C5A0C"/>
    <w:rsid w:val="004C5AE9"/>
    <w:rsid w:val="004C620B"/>
    <w:rsid w:val="004C6A4E"/>
    <w:rsid w:val="004C6E2D"/>
    <w:rsid w:val="004C6EAC"/>
    <w:rsid w:val="004C72BC"/>
    <w:rsid w:val="004C75FE"/>
    <w:rsid w:val="004D0005"/>
    <w:rsid w:val="004D044D"/>
    <w:rsid w:val="004D06E9"/>
    <w:rsid w:val="004D08B6"/>
    <w:rsid w:val="004D0900"/>
    <w:rsid w:val="004D0A1B"/>
    <w:rsid w:val="004D1153"/>
    <w:rsid w:val="004D1C21"/>
    <w:rsid w:val="004D1C91"/>
    <w:rsid w:val="004D1F7D"/>
    <w:rsid w:val="004D2221"/>
    <w:rsid w:val="004D26BC"/>
    <w:rsid w:val="004D3749"/>
    <w:rsid w:val="004D3C18"/>
    <w:rsid w:val="004D3CBC"/>
    <w:rsid w:val="004D3F37"/>
    <w:rsid w:val="004D414E"/>
    <w:rsid w:val="004D43FD"/>
    <w:rsid w:val="004D44EA"/>
    <w:rsid w:val="004D47CB"/>
    <w:rsid w:val="004D4981"/>
    <w:rsid w:val="004D49DE"/>
    <w:rsid w:val="004D5142"/>
    <w:rsid w:val="004D56B7"/>
    <w:rsid w:val="004D65C5"/>
    <w:rsid w:val="004D66D0"/>
    <w:rsid w:val="004D676B"/>
    <w:rsid w:val="004D688E"/>
    <w:rsid w:val="004D6A00"/>
    <w:rsid w:val="004D6AA0"/>
    <w:rsid w:val="004D6FB4"/>
    <w:rsid w:val="004D708D"/>
    <w:rsid w:val="004D715F"/>
    <w:rsid w:val="004D7319"/>
    <w:rsid w:val="004D7327"/>
    <w:rsid w:val="004D7A74"/>
    <w:rsid w:val="004E00B8"/>
    <w:rsid w:val="004E0654"/>
    <w:rsid w:val="004E0674"/>
    <w:rsid w:val="004E07E4"/>
    <w:rsid w:val="004E0D3B"/>
    <w:rsid w:val="004E0E1E"/>
    <w:rsid w:val="004E107C"/>
    <w:rsid w:val="004E146C"/>
    <w:rsid w:val="004E1633"/>
    <w:rsid w:val="004E1BAB"/>
    <w:rsid w:val="004E20E2"/>
    <w:rsid w:val="004E22EB"/>
    <w:rsid w:val="004E2780"/>
    <w:rsid w:val="004E2813"/>
    <w:rsid w:val="004E2CA9"/>
    <w:rsid w:val="004E2F71"/>
    <w:rsid w:val="004E33D8"/>
    <w:rsid w:val="004E36CA"/>
    <w:rsid w:val="004E379A"/>
    <w:rsid w:val="004E3B65"/>
    <w:rsid w:val="004E473E"/>
    <w:rsid w:val="004E4FE6"/>
    <w:rsid w:val="004E5024"/>
    <w:rsid w:val="004E520D"/>
    <w:rsid w:val="004E5753"/>
    <w:rsid w:val="004E5B8E"/>
    <w:rsid w:val="004E67EC"/>
    <w:rsid w:val="004E693B"/>
    <w:rsid w:val="004E6E51"/>
    <w:rsid w:val="004E71E3"/>
    <w:rsid w:val="004E727B"/>
    <w:rsid w:val="004E7560"/>
    <w:rsid w:val="004E7C96"/>
    <w:rsid w:val="004E7EFA"/>
    <w:rsid w:val="004F01C8"/>
    <w:rsid w:val="004F0670"/>
    <w:rsid w:val="004F0711"/>
    <w:rsid w:val="004F0AA6"/>
    <w:rsid w:val="004F0E78"/>
    <w:rsid w:val="004F1104"/>
    <w:rsid w:val="004F1D5D"/>
    <w:rsid w:val="004F1D68"/>
    <w:rsid w:val="004F21E6"/>
    <w:rsid w:val="004F2A4C"/>
    <w:rsid w:val="004F2BD8"/>
    <w:rsid w:val="004F2FEC"/>
    <w:rsid w:val="004F3011"/>
    <w:rsid w:val="004F3227"/>
    <w:rsid w:val="004F399B"/>
    <w:rsid w:val="004F3BEF"/>
    <w:rsid w:val="004F428E"/>
    <w:rsid w:val="004F4383"/>
    <w:rsid w:val="004F4992"/>
    <w:rsid w:val="004F49AF"/>
    <w:rsid w:val="004F4D4C"/>
    <w:rsid w:val="004F5A46"/>
    <w:rsid w:val="004F5B72"/>
    <w:rsid w:val="004F5B82"/>
    <w:rsid w:val="004F5B96"/>
    <w:rsid w:val="004F5BBA"/>
    <w:rsid w:val="004F63AC"/>
    <w:rsid w:val="004F6F85"/>
    <w:rsid w:val="004F77B5"/>
    <w:rsid w:val="004F77E2"/>
    <w:rsid w:val="004F7F73"/>
    <w:rsid w:val="00500314"/>
    <w:rsid w:val="005004DB"/>
    <w:rsid w:val="0050079F"/>
    <w:rsid w:val="00500C21"/>
    <w:rsid w:val="00500C3D"/>
    <w:rsid w:val="00500D6E"/>
    <w:rsid w:val="00500EE4"/>
    <w:rsid w:val="005020A6"/>
    <w:rsid w:val="00502966"/>
    <w:rsid w:val="00503812"/>
    <w:rsid w:val="00503951"/>
    <w:rsid w:val="00503BCB"/>
    <w:rsid w:val="00503C98"/>
    <w:rsid w:val="005041C7"/>
    <w:rsid w:val="00504680"/>
    <w:rsid w:val="005049A7"/>
    <w:rsid w:val="00504B05"/>
    <w:rsid w:val="0050505D"/>
    <w:rsid w:val="005051AC"/>
    <w:rsid w:val="005055EF"/>
    <w:rsid w:val="00505D85"/>
    <w:rsid w:val="005060A1"/>
    <w:rsid w:val="00506244"/>
    <w:rsid w:val="00506415"/>
    <w:rsid w:val="005066DE"/>
    <w:rsid w:val="005070E5"/>
    <w:rsid w:val="005071E4"/>
    <w:rsid w:val="0051036B"/>
    <w:rsid w:val="005104CA"/>
    <w:rsid w:val="00510943"/>
    <w:rsid w:val="00510CCA"/>
    <w:rsid w:val="00510DAD"/>
    <w:rsid w:val="00510EFD"/>
    <w:rsid w:val="005110DB"/>
    <w:rsid w:val="00511CC7"/>
    <w:rsid w:val="00512378"/>
    <w:rsid w:val="005124BF"/>
    <w:rsid w:val="00513A15"/>
    <w:rsid w:val="00513D86"/>
    <w:rsid w:val="00514071"/>
    <w:rsid w:val="00514188"/>
    <w:rsid w:val="005143BD"/>
    <w:rsid w:val="00514808"/>
    <w:rsid w:val="00514956"/>
    <w:rsid w:val="00514B7C"/>
    <w:rsid w:val="0051512D"/>
    <w:rsid w:val="005156CF"/>
    <w:rsid w:val="0051571F"/>
    <w:rsid w:val="005157DB"/>
    <w:rsid w:val="00515A22"/>
    <w:rsid w:val="00515B9C"/>
    <w:rsid w:val="00515C1F"/>
    <w:rsid w:val="00515E25"/>
    <w:rsid w:val="00515FC0"/>
    <w:rsid w:val="005167D3"/>
    <w:rsid w:val="0051693A"/>
    <w:rsid w:val="00516FDC"/>
    <w:rsid w:val="0051702E"/>
    <w:rsid w:val="00517387"/>
    <w:rsid w:val="00520295"/>
    <w:rsid w:val="00520307"/>
    <w:rsid w:val="005208E1"/>
    <w:rsid w:val="00521095"/>
    <w:rsid w:val="0052187A"/>
    <w:rsid w:val="00521942"/>
    <w:rsid w:val="0052260D"/>
    <w:rsid w:val="0052262F"/>
    <w:rsid w:val="00522E45"/>
    <w:rsid w:val="00523060"/>
    <w:rsid w:val="00523182"/>
    <w:rsid w:val="005231FC"/>
    <w:rsid w:val="00523341"/>
    <w:rsid w:val="005234F7"/>
    <w:rsid w:val="00523783"/>
    <w:rsid w:val="00523A4F"/>
    <w:rsid w:val="00523C76"/>
    <w:rsid w:val="00523CDC"/>
    <w:rsid w:val="00523E13"/>
    <w:rsid w:val="00524F0C"/>
    <w:rsid w:val="00524FD7"/>
    <w:rsid w:val="00525320"/>
    <w:rsid w:val="0052548F"/>
    <w:rsid w:val="005259D0"/>
    <w:rsid w:val="00525A14"/>
    <w:rsid w:val="00525A89"/>
    <w:rsid w:val="00525E91"/>
    <w:rsid w:val="00525F6C"/>
    <w:rsid w:val="00526128"/>
    <w:rsid w:val="00526534"/>
    <w:rsid w:val="0052664D"/>
    <w:rsid w:val="00526B64"/>
    <w:rsid w:val="00526D45"/>
    <w:rsid w:val="00527007"/>
    <w:rsid w:val="00527045"/>
    <w:rsid w:val="00527086"/>
    <w:rsid w:val="00527215"/>
    <w:rsid w:val="00527348"/>
    <w:rsid w:val="005275AD"/>
    <w:rsid w:val="00527EAC"/>
    <w:rsid w:val="0053053B"/>
    <w:rsid w:val="00530C7A"/>
    <w:rsid w:val="00530CEA"/>
    <w:rsid w:val="0053169F"/>
    <w:rsid w:val="005316D3"/>
    <w:rsid w:val="005317E9"/>
    <w:rsid w:val="00531BE3"/>
    <w:rsid w:val="00531BF7"/>
    <w:rsid w:val="00532618"/>
    <w:rsid w:val="005329D6"/>
    <w:rsid w:val="00533356"/>
    <w:rsid w:val="005334A3"/>
    <w:rsid w:val="005336DB"/>
    <w:rsid w:val="005344BA"/>
    <w:rsid w:val="00534DBB"/>
    <w:rsid w:val="00535146"/>
    <w:rsid w:val="00535218"/>
    <w:rsid w:val="0053531F"/>
    <w:rsid w:val="00535B41"/>
    <w:rsid w:val="005362B4"/>
    <w:rsid w:val="005364A5"/>
    <w:rsid w:val="005365ED"/>
    <w:rsid w:val="00536EB2"/>
    <w:rsid w:val="00537520"/>
    <w:rsid w:val="00540341"/>
    <w:rsid w:val="005409E5"/>
    <w:rsid w:val="00540C76"/>
    <w:rsid w:val="00540EB1"/>
    <w:rsid w:val="00540FD7"/>
    <w:rsid w:val="0054107F"/>
    <w:rsid w:val="00541412"/>
    <w:rsid w:val="00541CCB"/>
    <w:rsid w:val="00541D57"/>
    <w:rsid w:val="00541D94"/>
    <w:rsid w:val="0054221C"/>
    <w:rsid w:val="00542808"/>
    <w:rsid w:val="00542814"/>
    <w:rsid w:val="005428AE"/>
    <w:rsid w:val="00542A85"/>
    <w:rsid w:val="00542A8F"/>
    <w:rsid w:val="00542EDC"/>
    <w:rsid w:val="00542F2A"/>
    <w:rsid w:val="005436D6"/>
    <w:rsid w:val="0054398B"/>
    <w:rsid w:val="00543C5A"/>
    <w:rsid w:val="0054424E"/>
    <w:rsid w:val="00544443"/>
    <w:rsid w:val="005447A0"/>
    <w:rsid w:val="00544F43"/>
    <w:rsid w:val="00545160"/>
    <w:rsid w:val="00545B18"/>
    <w:rsid w:val="00546113"/>
    <w:rsid w:val="005463CC"/>
    <w:rsid w:val="005465CB"/>
    <w:rsid w:val="00546C97"/>
    <w:rsid w:val="00546DF8"/>
    <w:rsid w:val="0054766E"/>
    <w:rsid w:val="00547B68"/>
    <w:rsid w:val="00550265"/>
    <w:rsid w:val="00550471"/>
    <w:rsid w:val="00551556"/>
    <w:rsid w:val="00551747"/>
    <w:rsid w:val="00552391"/>
    <w:rsid w:val="00552972"/>
    <w:rsid w:val="00553003"/>
    <w:rsid w:val="0055314E"/>
    <w:rsid w:val="0055347A"/>
    <w:rsid w:val="00553A30"/>
    <w:rsid w:val="00553F46"/>
    <w:rsid w:val="00553FE4"/>
    <w:rsid w:val="0055448E"/>
    <w:rsid w:val="0055496B"/>
    <w:rsid w:val="00554AF6"/>
    <w:rsid w:val="005552CC"/>
    <w:rsid w:val="005554F4"/>
    <w:rsid w:val="005557E8"/>
    <w:rsid w:val="00555843"/>
    <w:rsid w:val="00555D3E"/>
    <w:rsid w:val="00555DFC"/>
    <w:rsid w:val="00556283"/>
    <w:rsid w:val="00556712"/>
    <w:rsid w:val="0055688E"/>
    <w:rsid w:val="0055689C"/>
    <w:rsid w:val="00556E92"/>
    <w:rsid w:val="005570C2"/>
    <w:rsid w:val="00557604"/>
    <w:rsid w:val="00557D71"/>
    <w:rsid w:val="005600B1"/>
    <w:rsid w:val="00560193"/>
    <w:rsid w:val="005602F2"/>
    <w:rsid w:val="0056047B"/>
    <w:rsid w:val="005606E5"/>
    <w:rsid w:val="00560A97"/>
    <w:rsid w:val="00560E6A"/>
    <w:rsid w:val="00560E79"/>
    <w:rsid w:val="00560F69"/>
    <w:rsid w:val="005612B7"/>
    <w:rsid w:val="00561EC9"/>
    <w:rsid w:val="0056262F"/>
    <w:rsid w:val="00562C07"/>
    <w:rsid w:val="00563463"/>
    <w:rsid w:val="00563821"/>
    <w:rsid w:val="00563921"/>
    <w:rsid w:val="005640E1"/>
    <w:rsid w:val="005641CD"/>
    <w:rsid w:val="00564713"/>
    <w:rsid w:val="00564D7C"/>
    <w:rsid w:val="00565083"/>
    <w:rsid w:val="0056572B"/>
    <w:rsid w:val="00565BF9"/>
    <w:rsid w:val="00565FEC"/>
    <w:rsid w:val="0056662D"/>
    <w:rsid w:val="00566924"/>
    <w:rsid w:val="00567706"/>
    <w:rsid w:val="00567B49"/>
    <w:rsid w:val="00570758"/>
    <w:rsid w:val="005711F3"/>
    <w:rsid w:val="005720CE"/>
    <w:rsid w:val="00572166"/>
    <w:rsid w:val="00572817"/>
    <w:rsid w:val="00572AD5"/>
    <w:rsid w:val="00573456"/>
    <w:rsid w:val="005737C8"/>
    <w:rsid w:val="00573DDC"/>
    <w:rsid w:val="00574510"/>
    <w:rsid w:val="005752B3"/>
    <w:rsid w:val="0057537D"/>
    <w:rsid w:val="005759FA"/>
    <w:rsid w:val="00575BFC"/>
    <w:rsid w:val="00575D98"/>
    <w:rsid w:val="0057617C"/>
    <w:rsid w:val="005761E1"/>
    <w:rsid w:val="00576952"/>
    <w:rsid w:val="00576E24"/>
    <w:rsid w:val="00576F59"/>
    <w:rsid w:val="005770B0"/>
    <w:rsid w:val="0058065C"/>
    <w:rsid w:val="00580770"/>
    <w:rsid w:val="00580A18"/>
    <w:rsid w:val="00580C34"/>
    <w:rsid w:val="00580F75"/>
    <w:rsid w:val="00581905"/>
    <w:rsid w:val="00581AD1"/>
    <w:rsid w:val="0058235E"/>
    <w:rsid w:val="005824A9"/>
    <w:rsid w:val="00582D3F"/>
    <w:rsid w:val="00582E6A"/>
    <w:rsid w:val="00582EE3"/>
    <w:rsid w:val="005830D5"/>
    <w:rsid w:val="005833DB"/>
    <w:rsid w:val="005839FF"/>
    <w:rsid w:val="00583AEE"/>
    <w:rsid w:val="00583DEB"/>
    <w:rsid w:val="00583F67"/>
    <w:rsid w:val="00584345"/>
    <w:rsid w:val="00584794"/>
    <w:rsid w:val="00584E43"/>
    <w:rsid w:val="00584F7D"/>
    <w:rsid w:val="00585AB4"/>
    <w:rsid w:val="00585B4C"/>
    <w:rsid w:val="0058600D"/>
    <w:rsid w:val="0058635C"/>
    <w:rsid w:val="00586A57"/>
    <w:rsid w:val="00586E63"/>
    <w:rsid w:val="00587ED7"/>
    <w:rsid w:val="00587FE4"/>
    <w:rsid w:val="0059010E"/>
    <w:rsid w:val="00590250"/>
    <w:rsid w:val="00590253"/>
    <w:rsid w:val="00590B4D"/>
    <w:rsid w:val="00590D7A"/>
    <w:rsid w:val="00590E6E"/>
    <w:rsid w:val="00591243"/>
    <w:rsid w:val="00591525"/>
    <w:rsid w:val="00591637"/>
    <w:rsid w:val="00591B4F"/>
    <w:rsid w:val="00592891"/>
    <w:rsid w:val="00592E1B"/>
    <w:rsid w:val="00592EAE"/>
    <w:rsid w:val="005932D5"/>
    <w:rsid w:val="00593301"/>
    <w:rsid w:val="00593FB0"/>
    <w:rsid w:val="005940DE"/>
    <w:rsid w:val="0059442F"/>
    <w:rsid w:val="00594758"/>
    <w:rsid w:val="00594B90"/>
    <w:rsid w:val="00594EAC"/>
    <w:rsid w:val="0059502A"/>
    <w:rsid w:val="0059511E"/>
    <w:rsid w:val="0059517D"/>
    <w:rsid w:val="0059539E"/>
    <w:rsid w:val="0059586A"/>
    <w:rsid w:val="00595B76"/>
    <w:rsid w:val="00596293"/>
    <w:rsid w:val="00596893"/>
    <w:rsid w:val="00596C71"/>
    <w:rsid w:val="00596D82"/>
    <w:rsid w:val="00596FB3"/>
    <w:rsid w:val="0059724E"/>
    <w:rsid w:val="005977F7"/>
    <w:rsid w:val="005978BB"/>
    <w:rsid w:val="00597C41"/>
    <w:rsid w:val="005A00D4"/>
    <w:rsid w:val="005A02FB"/>
    <w:rsid w:val="005A0428"/>
    <w:rsid w:val="005A04A6"/>
    <w:rsid w:val="005A07C4"/>
    <w:rsid w:val="005A08BA"/>
    <w:rsid w:val="005A0988"/>
    <w:rsid w:val="005A0CC2"/>
    <w:rsid w:val="005A0ED5"/>
    <w:rsid w:val="005A13F5"/>
    <w:rsid w:val="005A17A9"/>
    <w:rsid w:val="005A1F37"/>
    <w:rsid w:val="005A2A02"/>
    <w:rsid w:val="005A2AC6"/>
    <w:rsid w:val="005A2ACE"/>
    <w:rsid w:val="005A3618"/>
    <w:rsid w:val="005A4C51"/>
    <w:rsid w:val="005A5299"/>
    <w:rsid w:val="005A54D6"/>
    <w:rsid w:val="005A562F"/>
    <w:rsid w:val="005A5C0F"/>
    <w:rsid w:val="005A5C63"/>
    <w:rsid w:val="005A607C"/>
    <w:rsid w:val="005A6B82"/>
    <w:rsid w:val="005A6FE6"/>
    <w:rsid w:val="005A7A86"/>
    <w:rsid w:val="005A7C3D"/>
    <w:rsid w:val="005A7D6E"/>
    <w:rsid w:val="005A7D82"/>
    <w:rsid w:val="005A7FB5"/>
    <w:rsid w:val="005B0116"/>
    <w:rsid w:val="005B094A"/>
    <w:rsid w:val="005B0EC5"/>
    <w:rsid w:val="005B0EE3"/>
    <w:rsid w:val="005B1122"/>
    <w:rsid w:val="005B12BB"/>
    <w:rsid w:val="005B15E8"/>
    <w:rsid w:val="005B2355"/>
    <w:rsid w:val="005B2357"/>
    <w:rsid w:val="005B2A7A"/>
    <w:rsid w:val="005B2AB1"/>
    <w:rsid w:val="005B2D6C"/>
    <w:rsid w:val="005B3332"/>
    <w:rsid w:val="005B35F0"/>
    <w:rsid w:val="005B388E"/>
    <w:rsid w:val="005B3904"/>
    <w:rsid w:val="005B3993"/>
    <w:rsid w:val="005B39D0"/>
    <w:rsid w:val="005B3ABC"/>
    <w:rsid w:val="005B3B95"/>
    <w:rsid w:val="005B3CBD"/>
    <w:rsid w:val="005B3E32"/>
    <w:rsid w:val="005B4581"/>
    <w:rsid w:val="005B46C3"/>
    <w:rsid w:val="005B476F"/>
    <w:rsid w:val="005B4D5E"/>
    <w:rsid w:val="005B4FA2"/>
    <w:rsid w:val="005B5740"/>
    <w:rsid w:val="005B5FFF"/>
    <w:rsid w:val="005B60FA"/>
    <w:rsid w:val="005B61CB"/>
    <w:rsid w:val="005B6314"/>
    <w:rsid w:val="005B6BE4"/>
    <w:rsid w:val="005B6DA9"/>
    <w:rsid w:val="005B782A"/>
    <w:rsid w:val="005B7E43"/>
    <w:rsid w:val="005C0844"/>
    <w:rsid w:val="005C09DC"/>
    <w:rsid w:val="005C0ABA"/>
    <w:rsid w:val="005C0C81"/>
    <w:rsid w:val="005C0F89"/>
    <w:rsid w:val="005C15C1"/>
    <w:rsid w:val="005C1B13"/>
    <w:rsid w:val="005C27FF"/>
    <w:rsid w:val="005C2F82"/>
    <w:rsid w:val="005C340B"/>
    <w:rsid w:val="005C374E"/>
    <w:rsid w:val="005C3B43"/>
    <w:rsid w:val="005C3D61"/>
    <w:rsid w:val="005C4D0F"/>
    <w:rsid w:val="005C4F48"/>
    <w:rsid w:val="005C52F7"/>
    <w:rsid w:val="005C540D"/>
    <w:rsid w:val="005C6392"/>
    <w:rsid w:val="005C66EC"/>
    <w:rsid w:val="005C67A4"/>
    <w:rsid w:val="005C6A10"/>
    <w:rsid w:val="005C6F1B"/>
    <w:rsid w:val="005C6F78"/>
    <w:rsid w:val="005C7634"/>
    <w:rsid w:val="005C7E7A"/>
    <w:rsid w:val="005C7E7E"/>
    <w:rsid w:val="005D091D"/>
    <w:rsid w:val="005D0EB3"/>
    <w:rsid w:val="005D0EB9"/>
    <w:rsid w:val="005D1ABD"/>
    <w:rsid w:val="005D2B2F"/>
    <w:rsid w:val="005D3AFD"/>
    <w:rsid w:val="005D4ACE"/>
    <w:rsid w:val="005D5E16"/>
    <w:rsid w:val="005D5E76"/>
    <w:rsid w:val="005D6079"/>
    <w:rsid w:val="005D6084"/>
    <w:rsid w:val="005D60EE"/>
    <w:rsid w:val="005D6334"/>
    <w:rsid w:val="005D6B51"/>
    <w:rsid w:val="005D7050"/>
    <w:rsid w:val="005D73DD"/>
    <w:rsid w:val="005D7528"/>
    <w:rsid w:val="005D7B19"/>
    <w:rsid w:val="005D7DAC"/>
    <w:rsid w:val="005E1845"/>
    <w:rsid w:val="005E1EA1"/>
    <w:rsid w:val="005E2727"/>
    <w:rsid w:val="005E3261"/>
    <w:rsid w:val="005E33D1"/>
    <w:rsid w:val="005E3973"/>
    <w:rsid w:val="005E3D3C"/>
    <w:rsid w:val="005E406E"/>
    <w:rsid w:val="005E44A7"/>
    <w:rsid w:val="005E4FBE"/>
    <w:rsid w:val="005E528B"/>
    <w:rsid w:val="005E55B9"/>
    <w:rsid w:val="005E5A15"/>
    <w:rsid w:val="005E5AAB"/>
    <w:rsid w:val="005E5C83"/>
    <w:rsid w:val="005E610C"/>
    <w:rsid w:val="005E65DE"/>
    <w:rsid w:val="005E6715"/>
    <w:rsid w:val="005E67F6"/>
    <w:rsid w:val="005E6845"/>
    <w:rsid w:val="005E6866"/>
    <w:rsid w:val="005E6A76"/>
    <w:rsid w:val="005E6E25"/>
    <w:rsid w:val="005E74EF"/>
    <w:rsid w:val="005E7A01"/>
    <w:rsid w:val="005E7ADA"/>
    <w:rsid w:val="005EA2ED"/>
    <w:rsid w:val="005F03B8"/>
    <w:rsid w:val="005F03D5"/>
    <w:rsid w:val="005F0A05"/>
    <w:rsid w:val="005F11EF"/>
    <w:rsid w:val="005F126A"/>
    <w:rsid w:val="005F1ABF"/>
    <w:rsid w:val="005F1B3A"/>
    <w:rsid w:val="005F1DAC"/>
    <w:rsid w:val="005F2192"/>
    <w:rsid w:val="005F2704"/>
    <w:rsid w:val="005F2790"/>
    <w:rsid w:val="005F281F"/>
    <w:rsid w:val="005F2F90"/>
    <w:rsid w:val="005F3211"/>
    <w:rsid w:val="005F3285"/>
    <w:rsid w:val="005F41AD"/>
    <w:rsid w:val="005F4733"/>
    <w:rsid w:val="005F4959"/>
    <w:rsid w:val="005F4DB5"/>
    <w:rsid w:val="005F4EF0"/>
    <w:rsid w:val="005F5512"/>
    <w:rsid w:val="005F5688"/>
    <w:rsid w:val="005F5EDE"/>
    <w:rsid w:val="005F6085"/>
    <w:rsid w:val="005F6387"/>
    <w:rsid w:val="005F710B"/>
    <w:rsid w:val="005F74A6"/>
    <w:rsid w:val="005F7C48"/>
    <w:rsid w:val="00600692"/>
    <w:rsid w:val="00600852"/>
    <w:rsid w:val="00600A3D"/>
    <w:rsid w:val="00601242"/>
    <w:rsid w:val="00601E60"/>
    <w:rsid w:val="00601E74"/>
    <w:rsid w:val="00602174"/>
    <w:rsid w:val="00602187"/>
    <w:rsid w:val="006024FB"/>
    <w:rsid w:val="006032F3"/>
    <w:rsid w:val="006034F8"/>
    <w:rsid w:val="00603F4F"/>
    <w:rsid w:val="00603F7E"/>
    <w:rsid w:val="006041F7"/>
    <w:rsid w:val="0060421D"/>
    <w:rsid w:val="0060429C"/>
    <w:rsid w:val="00604429"/>
    <w:rsid w:val="006046D6"/>
    <w:rsid w:val="0060520D"/>
    <w:rsid w:val="00605681"/>
    <w:rsid w:val="006058CD"/>
    <w:rsid w:val="00605C20"/>
    <w:rsid w:val="00606016"/>
    <w:rsid w:val="0060622D"/>
    <w:rsid w:val="006063D1"/>
    <w:rsid w:val="00606822"/>
    <w:rsid w:val="00606876"/>
    <w:rsid w:val="00606C6F"/>
    <w:rsid w:val="00606FB0"/>
    <w:rsid w:val="00607142"/>
    <w:rsid w:val="00607FE9"/>
    <w:rsid w:val="006102C1"/>
    <w:rsid w:val="006102F0"/>
    <w:rsid w:val="00610A86"/>
    <w:rsid w:val="00610A89"/>
    <w:rsid w:val="00610C04"/>
    <w:rsid w:val="00610CF7"/>
    <w:rsid w:val="00611049"/>
    <w:rsid w:val="006113A9"/>
    <w:rsid w:val="006113DC"/>
    <w:rsid w:val="006116A9"/>
    <w:rsid w:val="006116C0"/>
    <w:rsid w:val="0061215C"/>
    <w:rsid w:val="00612ED7"/>
    <w:rsid w:val="0061305C"/>
    <w:rsid w:val="00613262"/>
    <w:rsid w:val="00613340"/>
    <w:rsid w:val="006136D8"/>
    <w:rsid w:val="00615094"/>
    <w:rsid w:val="006151AF"/>
    <w:rsid w:val="0061591B"/>
    <w:rsid w:val="00615935"/>
    <w:rsid w:val="0061596E"/>
    <w:rsid w:val="00615A3F"/>
    <w:rsid w:val="00616870"/>
    <w:rsid w:val="0061705C"/>
    <w:rsid w:val="0061717C"/>
    <w:rsid w:val="006173A7"/>
    <w:rsid w:val="006176CC"/>
    <w:rsid w:val="006176F0"/>
    <w:rsid w:val="00617CB2"/>
    <w:rsid w:val="00617D27"/>
    <w:rsid w:val="00617EC0"/>
    <w:rsid w:val="00617F9B"/>
    <w:rsid w:val="00617FA8"/>
    <w:rsid w:val="0062029D"/>
    <w:rsid w:val="006207C6"/>
    <w:rsid w:val="00620E8F"/>
    <w:rsid w:val="00621281"/>
    <w:rsid w:val="006224C3"/>
    <w:rsid w:val="00622D12"/>
    <w:rsid w:val="00622D4B"/>
    <w:rsid w:val="00623043"/>
    <w:rsid w:val="006233FF"/>
    <w:rsid w:val="00623787"/>
    <w:rsid w:val="006238FF"/>
    <w:rsid w:val="00623A01"/>
    <w:rsid w:val="00623C0A"/>
    <w:rsid w:val="00624138"/>
    <w:rsid w:val="0062420D"/>
    <w:rsid w:val="00624231"/>
    <w:rsid w:val="006244AD"/>
    <w:rsid w:val="006244B2"/>
    <w:rsid w:val="00624522"/>
    <w:rsid w:val="00624AB7"/>
    <w:rsid w:val="00625B55"/>
    <w:rsid w:val="00625ECC"/>
    <w:rsid w:val="00626EF0"/>
    <w:rsid w:val="00627070"/>
    <w:rsid w:val="00627CA8"/>
    <w:rsid w:val="00627EAE"/>
    <w:rsid w:val="006300BE"/>
    <w:rsid w:val="006306F6"/>
    <w:rsid w:val="006307F4"/>
    <w:rsid w:val="00631451"/>
    <w:rsid w:val="006328AF"/>
    <w:rsid w:val="00632912"/>
    <w:rsid w:val="00632D1F"/>
    <w:rsid w:val="006332C2"/>
    <w:rsid w:val="00633F82"/>
    <w:rsid w:val="00634118"/>
    <w:rsid w:val="0063435D"/>
    <w:rsid w:val="00634613"/>
    <w:rsid w:val="00636194"/>
    <w:rsid w:val="00636700"/>
    <w:rsid w:val="00636C23"/>
    <w:rsid w:val="00637CB1"/>
    <w:rsid w:val="00637D21"/>
    <w:rsid w:val="00637F0B"/>
    <w:rsid w:val="00637F41"/>
    <w:rsid w:val="00640009"/>
    <w:rsid w:val="0064004B"/>
    <w:rsid w:val="00640339"/>
    <w:rsid w:val="00640AA0"/>
    <w:rsid w:val="00640B1C"/>
    <w:rsid w:val="00640F4A"/>
    <w:rsid w:val="00641C43"/>
    <w:rsid w:val="00641E9A"/>
    <w:rsid w:val="00641F18"/>
    <w:rsid w:val="00641F27"/>
    <w:rsid w:val="00642977"/>
    <w:rsid w:val="00642D23"/>
    <w:rsid w:val="00644237"/>
    <w:rsid w:val="00644B2C"/>
    <w:rsid w:val="00644C7B"/>
    <w:rsid w:val="00645389"/>
    <w:rsid w:val="00645976"/>
    <w:rsid w:val="006459D2"/>
    <w:rsid w:val="00645C4A"/>
    <w:rsid w:val="00645CFF"/>
    <w:rsid w:val="00646671"/>
    <w:rsid w:val="00646B19"/>
    <w:rsid w:val="00646DF0"/>
    <w:rsid w:val="00646FCC"/>
    <w:rsid w:val="00647E05"/>
    <w:rsid w:val="00650184"/>
    <w:rsid w:val="006501E7"/>
    <w:rsid w:val="006512B4"/>
    <w:rsid w:val="0065137C"/>
    <w:rsid w:val="0065142F"/>
    <w:rsid w:val="006519C2"/>
    <w:rsid w:val="00651EC0"/>
    <w:rsid w:val="006521CF"/>
    <w:rsid w:val="00652218"/>
    <w:rsid w:val="006524AD"/>
    <w:rsid w:val="00652805"/>
    <w:rsid w:val="006528B7"/>
    <w:rsid w:val="00652C61"/>
    <w:rsid w:val="00652F59"/>
    <w:rsid w:val="006533E3"/>
    <w:rsid w:val="00653B8A"/>
    <w:rsid w:val="00653E1C"/>
    <w:rsid w:val="006546A6"/>
    <w:rsid w:val="00654A5E"/>
    <w:rsid w:val="00654E65"/>
    <w:rsid w:val="006551AB"/>
    <w:rsid w:val="00655331"/>
    <w:rsid w:val="00655B6E"/>
    <w:rsid w:val="00656146"/>
    <w:rsid w:val="006568B7"/>
    <w:rsid w:val="00656B52"/>
    <w:rsid w:val="00656D0D"/>
    <w:rsid w:val="00656DAE"/>
    <w:rsid w:val="00656F11"/>
    <w:rsid w:val="00657326"/>
    <w:rsid w:val="00657790"/>
    <w:rsid w:val="0066068F"/>
    <w:rsid w:val="00660832"/>
    <w:rsid w:val="00660B69"/>
    <w:rsid w:val="00660D6B"/>
    <w:rsid w:val="00660F90"/>
    <w:rsid w:val="006612E4"/>
    <w:rsid w:val="00661373"/>
    <w:rsid w:val="00661399"/>
    <w:rsid w:val="006620DA"/>
    <w:rsid w:val="00662A27"/>
    <w:rsid w:val="00662A87"/>
    <w:rsid w:val="00662D7D"/>
    <w:rsid w:val="00662F18"/>
    <w:rsid w:val="006633C9"/>
    <w:rsid w:val="0066390B"/>
    <w:rsid w:val="00663F95"/>
    <w:rsid w:val="006642FA"/>
    <w:rsid w:val="0066464D"/>
    <w:rsid w:val="00664714"/>
    <w:rsid w:val="0066472A"/>
    <w:rsid w:val="006651B8"/>
    <w:rsid w:val="006657B6"/>
    <w:rsid w:val="00665B3C"/>
    <w:rsid w:val="00665C22"/>
    <w:rsid w:val="00665E8F"/>
    <w:rsid w:val="0066629B"/>
    <w:rsid w:val="00666D06"/>
    <w:rsid w:val="006670DA"/>
    <w:rsid w:val="00667175"/>
    <w:rsid w:val="00667429"/>
    <w:rsid w:val="006677F0"/>
    <w:rsid w:val="00667AB2"/>
    <w:rsid w:val="00667F88"/>
    <w:rsid w:val="00670C5D"/>
    <w:rsid w:val="00670FC3"/>
    <w:rsid w:val="006710F8"/>
    <w:rsid w:val="00671730"/>
    <w:rsid w:val="0067197C"/>
    <w:rsid w:val="00672030"/>
    <w:rsid w:val="0067254F"/>
    <w:rsid w:val="006733EC"/>
    <w:rsid w:val="00673818"/>
    <w:rsid w:val="00673E1B"/>
    <w:rsid w:val="00673FD0"/>
    <w:rsid w:val="00674094"/>
    <w:rsid w:val="006742C5"/>
    <w:rsid w:val="00674504"/>
    <w:rsid w:val="00674FF3"/>
    <w:rsid w:val="006751DC"/>
    <w:rsid w:val="006752E6"/>
    <w:rsid w:val="00675911"/>
    <w:rsid w:val="006761D6"/>
    <w:rsid w:val="0067650C"/>
    <w:rsid w:val="00676C28"/>
    <w:rsid w:val="0067713D"/>
    <w:rsid w:val="00677BE0"/>
    <w:rsid w:val="006808E1"/>
    <w:rsid w:val="00680922"/>
    <w:rsid w:val="00680998"/>
    <w:rsid w:val="0068129C"/>
    <w:rsid w:val="00682023"/>
    <w:rsid w:val="00682FF1"/>
    <w:rsid w:val="00683082"/>
    <w:rsid w:val="0068317B"/>
    <w:rsid w:val="00683EF9"/>
    <w:rsid w:val="00683FFE"/>
    <w:rsid w:val="00684014"/>
    <w:rsid w:val="0068435A"/>
    <w:rsid w:val="00684425"/>
    <w:rsid w:val="00684F56"/>
    <w:rsid w:val="00685239"/>
    <w:rsid w:val="006853E4"/>
    <w:rsid w:val="00685659"/>
    <w:rsid w:val="00686092"/>
    <w:rsid w:val="00686A10"/>
    <w:rsid w:val="00686E5F"/>
    <w:rsid w:val="00686F7C"/>
    <w:rsid w:val="00687193"/>
    <w:rsid w:val="00687341"/>
    <w:rsid w:val="00687D0E"/>
    <w:rsid w:val="006902BB"/>
    <w:rsid w:val="00690362"/>
    <w:rsid w:val="00690BB6"/>
    <w:rsid w:val="006922DA"/>
    <w:rsid w:val="006929F4"/>
    <w:rsid w:val="00692F78"/>
    <w:rsid w:val="00693483"/>
    <w:rsid w:val="00693713"/>
    <w:rsid w:val="0069437D"/>
    <w:rsid w:val="0069448E"/>
    <w:rsid w:val="0069458C"/>
    <w:rsid w:val="00694BE9"/>
    <w:rsid w:val="00694C8C"/>
    <w:rsid w:val="00694D32"/>
    <w:rsid w:val="006954F7"/>
    <w:rsid w:val="00695694"/>
    <w:rsid w:val="006956E3"/>
    <w:rsid w:val="006956F0"/>
    <w:rsid w:val="00695F60"/>
    <w:rsid w:val="00695F6A"/>
    <w:rsid w:val="00696EEC"/>
    <w:rsid w:val="0069731B"/>
    <w:rsid w:val="00697D1A"/>
    <w:rsid w:val="006A0B65"/>
    <w:rsid w:val="006A0DDE"/>
    <w:rsid w:val="006A18DD"/>
    <w:rsid w:val="006A1B28"/>
    <w:rsid w:val="006A1FC9"/>
    <w:rsid w:val="006A3196"/>
    <w:rsid w:val="006A3CB6"/>
    <w:rsid w:val="006A3F64"/>
    <w:rsid w:val="006A47BF"/>
    <w:rsid w:val="006A4D4B"/>
    <w:rsid w:val="006A4F63"/>
    <w:rsid w:val="006A51A2"/>
    <w:rsid w:val="006A538D"/>
    <w:rsid w:val="006A5F2A"/>
    <w:rsid w:val="006A6DA5"/>
    <w:rsid w:val="006A73AA"/>
    <w:rsid w:val="006A7B2E"/>
    <w:rsid w:val="006A7BB0"/>
    <w:rsid w:val="006A7BC1"/>
    <w:rsid w:val="006A7C60"/>
    <w:rsid w:val="006A7F99"/>
    <w:rsid w:val="006B0053"/>
    <w:rsid w:val="006B009D"/>
    <w:rsid w:val="006B0509"/>
    <w:rsid w:val="006B065F"/>
    <w:rsid w:val="006B10C5"/>
    <w:rsid w:val="006B12A8"/>
    <w:rsid w:val="006B131C"/>
    <w:rsid w:val="006B172F"/>
    <w:rsid w:val="006B1A21"/>
    <w:rsid w:val="006B1DC4"/>
    <w:rsid w:val="006B2090"/>
    <w:rsid w:val="006B261D"/>
    <w:rsid w:val="006B2924"/>
    <w:rsid w:val="006B2B8B"/>
    <w:rsid w:val="006B2E5E"/>
    <w:rsid w:val="006B333E"/>
    <w:rsid w:val="006B37B4"/>
    <w:rsid w:val="006B3966"/>
    <w:rsid w:val="006B3A90"/>
    <w:rsid w:val="006B3BCA"/>
    <w:rsid w:val="006B3C34"/>
    <w:rsid w:val="006B47F4"/>
    <w:rsid w:val="006B49B9"/>
    <w:rsid w:val="006B5235"/>
    <w:rsid w:val="006B523F"/>
    <w:rsid w:val="006B542A"/>
    <w:rsid w:val="006B5555"/>
    <w:rsid w:val="006B5675"/>
    <w:rsid w:val="006B5770"/>
    <w:rsid w:val="006B5775"/>
    <w:rsid w:val="006B5DAA"/>
    <w:rsid w:val="006B5EC5"/>
    <w:rsid w:val="006B63AC"/>
    <w:rsid w:val="006B646A"/>
    <w:rsid w:val="006B6839"/>
    <w:rsid w:val="006B6908"/>
    <w:rsid w:val="006B69A6"/>
    <w:rsid w:val="006B736E"/>
    <w:rsid w:val="006B778F"/>
    <w:rsid w:val="006B78A6"/>
    <w:rsid w:val="006B78C0"/>
    <w:rsid w:val="006C07EC"/>
    <w:rsid w:val="006C0931"/>
    <w:rsid w:val="006C0A77"/>
    <w:rsid w:val="006C0FD3"/>
    <w:rsid w:val="006C1193"/>
    <w:rsid w:val="006C13FD"/>
    <w:rsid w:val="006C1487"/>
    <w:rsid w:val="006C159C"/>
    <w:rsid w:val="006C1AC5"/>
    <w:rsid w:val="006C1AEC"/>
    <w:rsid w:val="006C1D41"/>
    <w:rsid w:val="006C1D82"/>
    <w:rsid w:val="006C1ED2"/>
    <w:rsid w:val="006C2324"/>
    <w:rsid w:val="006C2526"/>
    <w:rsid w:val="006C29E5"/>
    <w:rsid w:val="006C307F"/>
    <w:rsid w:val="006C3415"/>
    <w:rsid w:val="006C389B"/>
    <w:rsid w:val="006C3C57"/>
    <w:rsid w:val="006C436F"/>
    <w:rsid w:val="006C464D"/>
    <w:rsid w:val="006C4664"/>
    <w:rsid w:val="006C5421"/>
    <w:rsid w:val="006C560A"/>
    <w:rsid w:val="006C56A2"/>
    <w:rsid w:val="006C5917"/>
    <w:rsid w:val="006C5C7F"/>
    <w:rsid w:val="006C6183"/>
    <w:rsid w:val="006C653B"/>
    <w:rsid w:val="006C65E9"/>
    <w:rsid w:val="006C6689"/>
    <w:rsid w:val="006C69E9"/>
    <w:rsid w:val="006C736A"/>
    <w:rsid w:val="006C7F84"/>
    <w:rsid w:val="006D078F"/>
    <w:rsid w:val="006D0C2A"/>
    <w:rsid w:val="006D0EE3"/>
    <w:rsid w:val="006D173B"/>
    <w:rsid w:val="006D1842"/>
    <w:rsid w:val="006D1AD3"/>
    <w:rsid w:val="006D2776"/>
    <w:rsid w:val="006D307D"/>
    <w:rsid w:val="006D31EA"/>
    <w:rsid w:val="006D399E"/>
    <w:rsid w:val="006D3B09"/>
    <w:rsid w:val="006D40EA"/>
    <w:rsid w:val="006D455A"/>
    <w:rsid w:val="006D4C78"/>
    <w:rsid w:val="006D50B5"/>
    <w:rsid w:val="006D531C"/>
    <w:rsid w:val="006D53A3"/>
    <w:rsid w:val="006D5C79"/>
    <w:rsid w:val="006D5E70"/>
    <w:rsid w:val="006D68D8"/>
    <w:rsid w:val="006D6C12"/>
    <w:rsid w:val="006D6E2A"/>
    <w:rsid w:val="006D6F25"/>
    <w:rsid w:val="006D6FCF"/>
    <w:rsid w:val="006D7151"/>
    <w:rsid w:val="006D733F"/>
    <w:rsid w:val="006D74B7"/>
    <w:rsid w:val="006D7799"/>
    <w:rsid w:val="006E01E2"/>
    <w:rsid w:val="006E076B"/>
    <w:rsid w:val="006E08ED"/>
    <w:rsid w:val="006E2068"/>
    <w:rsid w:val="006E21A6"/>
    <w:rsid w:val="006E27EF"/>
    <w:rsid w:val="006E2963"/>
    <w:rsid w:val="006E2AA6"/>
    <w:rsid w:val="006E2B68"/>
    <w:rsid w:val="006E2DF4"/>
    <w:rsid w:val="006E2F31"/>
    <w:rsid w:val="006E307F"/>
    <w:rsid w:val="006E34B0"/>
    <w:rsid w:val="006E3750"/>
    <w:rsid w:val="006E3C54"/>
    <w:rsid w:val="006E3CD1"/>
    <w:rsid w:val="006E4649"/>
    <w:rsid w:val="006E4A0A"/>
    <w:rsid w:val="006E4AB4"/>
    <w:rsid w:val="006E4B98"/>
    <w:rsid w:val="006E53B7"/>
    <w:rsid w:val="006E5AB9"/>
    <w:rsid w:val="006E6075"/>
    <w:rsid w:val="006E642C"/>
    <w:rsid w:val="006E6508"/>
    <w:rsid w:val="006E6F11"/>
    <w:rsid w:val="006E7270"/>
    <w:rsid w:val="006E7391"/>
    <w:rsid w:val="006E748A"/>
    <w:rsid w:val="006E7E74"/>
    <w:rsid w:val="006E7ED8"/>
    <w:rsid w:val="006F006B"/>
    <w:rsid w:val="006F02C5"/>
    <w:rsid w:val="006F05BC"/>
    <w:rsid w:val="006F132C"/>
    <w:rsid w:val="006F16BC"/>
    <w:rsid w:val="006F172C"/>
    <w:rsid w:val="006F1AD5"/>
    <w:rsid w:val="006F1CC8"/>
    <w:rsid w:val="006F20BA"/>
    <w:rsid w:val="006F2361"/>
    <w:rsid w:val="006F3056"/>
    <w:rsid w:val="006F34F2"/>
    <w:rsid w:val="006F3EBC"/>
    <w:rsid w:val="006F4928"/>
    <w:rsid w:val="006F4AB0"/>
    <w:rsid w:val="006F4D0C"/>
    <w:rsid w:val="006F4D97"/>
    <w:rsid w:val="006F4E6E"/>
    <w:rsid w:val="006F4EAA"/>
    <w:rsid w:val="006F5349"/>
    <w:rsid w:val="006F54C0"/>
    <w:rsid w:val="006F5F9C"/>
    <w:rsid w:val="006F64EC"/>
    <w:rsid w:val="006F65C3"/>
    <w:rsid w:val="006F67D8"/>
    <w:rsid w:val="006F728E"/>
    <w:rsid w:val="006F72A3"/>
    <w:rsid w:val="006F73DF"/>
    <w:rsid w:val="006F7442"/>
    <w:rsid w:val="006F749F"/>
    <w:rsid w:val="006F756F"/>
    <w:rsid w:val="006F75EF"/>
    <w:rsid w:val="00700412"/>
    <w:rsid w:val="0070059D"/>
    <w:rsid w:val="007005C0"/>
    <w:rsid w:val="0070081A"/>
    <w:rsid w:val="00701280"/>
    <w:rsid w:val="00701DFA"/>
    <w:rsid w:val="00702138"/>
    <w:rsid w:val="007029F1"/>
    <w:rsid w:val="00702D44"/>
    <w:rsid w:val="00702E70"/>
    <w:rsid w:val="00702F7E"/>
    <w:rsid w:val="00703106"/>
    <w:rsid w:val="007033C2"/>
    <w:rsid w:val="00703542"/>
    <w:rsid w:val="007036E6"/>
    <w:rsid w:val="00703DC2"/>
    <w:rsid w:val="00703FAB"/>
    <w:rsid w:val="00704396"/>
    <w:rsid w:val="007044CE"/>
    <w:rsid w:val="00704C7D"/>
    <w:rsid w:val="0070500E"/>
    <w:rsid w:val="0070543C"/>
    <w:rsid w:val="0070574A"/>
    <w:rsid w:val="00705B7F"/>
    <w:rsid w:val="0070652B"/>
    <w:rsid w:val="007073A5"/>
    <w:rsid w:val="00707417"/>
    <w:rsid w:val="00707668"/>
    <w:rsid w:val="00707F6E"/>
    <w:rsid w:val="0070F394"/>
    <w:rsid w:val="0071069B"/>
    <w:rsid w:val="0071071E"/>
    <w:rsid w:val="007108D0"/>
    <w:rsid w:val="007108D3"/>
    <w:rsid w:val="00710EF6"/>
    <w:rsid w:val="007117A8"/>
    <w:rsid w:val="00712324"/>
    <w:rsid w:val="0071245C"/>
    <w:rsid w:val="0071266E"/>
    <w:rsid w:val="0071308E"/>
    <w:rsid w:val="00714465"/>
    <w:rsid w:val="007145C0"/>
    <w:rsid w:val="0071489D"/>
    <w:rsid w:val="00714905"/>
    <w:rsid w:val="00716301"/>
    <w:rsid w:val="007165AE"/>
    <w:rsid w:val="00716D02"/>
    <w:rsid w:val="0071748E"/>
    <w:rsid w:val="007174B8"/>
    <w:rsid w:val="00717B8D"/>
    <w:rsid w:val="00717E8D"/>
    <w:rsid w:val="00720097"/>
    <w:rsid w:val="0072025D"/>
    <w:rsid w:val="00720480"/>
    <w:rsid w:val="007205D6"/>
    <w:rsid w:val="007208E4"/>
    <w:rsid w:val="00720927"/>
    <w:rsid w:val="0072099D"/>
    <w:rsid w:val="00720C1A"/>
    <w:rsid w:val="00721A46"/>
    <w:rsid w:val="00721CB0"/>
    <w:rsid w:val="00721D63"/>
    <w:rsid w:val="00721E16"/>
    <w:rsid w:val="00722266"/>
    <w:rsid w:val="00722CAE"/>
    <w:rsid w:val="007230FE"/>
    <w:rsid w:val="00723179"/>
    <w:rsid w:val="00723C00"/>
    <w:rsid w:val="00723C15"/>
    <w:rsid w:val="00723DD5"/>
    <w:rsid w:val="00724A34"/>
    <w:rsid w:val="00724ABC"/>
    <w:rsid w:val="00724C08"/>
    <w:rsid w:val="00725353"/>
    <w:rsid w:val="00725668"/>
    <w:rsid w:val="00725A1A"/>
    <w:rsid w:val="007261B0"/>
    <w:rsid w:val="007262DE"/>
    <w:rsid w:val="00726394"/>
    <w:rsid w:val="0072680C"/>
    <w:rsid w:val="00726B9F"/>
    <w:rsid w:val="00726DF1"/>
    <w:rsid w:val="007271EB"/>
    <w:rsid w:val="0072738E"/>
    <w:rsid w:val="0072744E"/>
    <w:rsid w:val="00727E74"/>
    <w:rsid w:val="0073023B"/>
    <w:rsid w:val="0073030C"/>
    <w:rsid w:val="0073037C"/>
    <w:rsid w:val="007305DC"/>
    <w:rsid w:val="007305FC"/>
    <w:rsid w:val="00730863"/>
    <w:rsid w:val="0073139E"/>
    <w:rsid w:val="00731D34"/>
    <w:rsid w:val="00731DFA"/>
    <w:rsid w:val="007322A8"/>
    <w:rsid w:val="00732851"/>
    <w:rsid w:val="007330A0"/>
    <w:rsid w:val="0073329D"/>
    <w:rsid w:val="0073366C"/>
    <w:rsid w:val="00733734"/>
    <w:rsid w:val="00733A2D"/>
    <w:rsid w:val="00733F06"/>
    <w:rsid w:val="007341BC"/>
    <w:rsid w:val="007342A2"/>
    <w:rsid w:val="00734404"/>
    <w:rsid w:val="007345B6"/>
    <w:rsid w:val="0073485A"/>
    <w:rsid w:val="00734CDA"/>
    <w:rsid w:val="00735036"/>
    <w:rsid w:val="00735863"/>
    <w:rsid w:val="007365CA"/>
    <w:rsid w:val="007366F7"/>
    <w:rsid w:val="0073672F"/>
    <w:rsid w:val="00736DC3"/>
    <w:rsid w:val="00737981"/>
    <w:rsid w:val="00740735"/>
    <w:rsid w:val="00740991"/>
    <w:rsid w:val="00740A60"/>
    <w:rsid w:val="00740B26"/>
    <w:rsid w:val="0074100F"/>
    <w:rsid w:val="007411AC"/>
    <w:rsid w:val="00741387"/>
    <w:rsid w:val="00741ADD"/>
    <w:rsid w:val="00741BC0"/>
    <w:rsid w:val="00741C0E"/>
    <w:rsid w:val="00742063"/>
    <w:rsid w:val="00742458"/>
    <w:rsid w:val="00742599"/>
    <w:rsid w:val="00742A83"/>
    <w:rsid w:val="00742CDE"/>
    <w:rsid w:val="00743A34"/>
    <w:rsid w:val="00743C93"/>
    <w:rsid w:val="00743CED"/>
    <w:rsid w:val="00744045"/>
    <w:rsid w:val="007448BB"/>
    <w:rsid w:val="00744CBA"/>
    <w:rsid w:val="0074570D"/>
    <w:rsid w:val="0074581C"/>
    <w:rsid w:val="00745B15"/>
    <w:rsid w:val="00745B25"/>
    <w:rsid w:val="00745E5B"/>
    <w:rsid w:val="00746265"/>
    <w:rsid w:val="007462FD"/>
    <w:rsid w:val="00746550"/>
    <w:rsid w:val="007471CC"/>
    <w:rsid w:val="007509E1"/>
    <w:rsid w:val="00750AFE"/>
    <w:rsid w:val="00750DFC"/>
    <w:rsid w:val="007514BE"/>
    <w:rsid w:val="0075169A"/>
    <w:rsid w:val="007516BE"/>
    <w:rsid w:val="0075172C"/>
    <w:rsid w:val="007518A5"/>
    <w:rsid w:val="00751CD1"/>
    <w:rsid w:val="00752260"/>
    <w:rsid w:val="00752A2A"/>
    <w:rsid w:val="00752B0C"/>
    <w:rsid w:val="00752B4B"/>
    <w:rsid w:val="00752D5E"/>
    <w:rsid w:val="00753259"/>
    <w:rsid w:val="007534C0"/>
    <w:rsid w:val="0075358D"/>
    <w:rsid w:val="00753721"/>
    <w:rsid w:val="00753724"/>
    <w:rsid w:val="00754027"/>
    <w:rsid w:val="0075474D"/>
    <w:rsid w:val="00755C7F"/>
    <w:rsid w:val="00755E38"/>
    <w:rsid w:val="00755EF0"/>
    <w:rsid w:val="007562C0"/>
    <w:rsid w:val="0075635F"/>
    <w:rsid w:val="0075655C"/>
    <w:rsid w:val="00756762"/>
    <w:rsid w:val="00756CF8"/>
    <w:rsid w:val="00756DE8"/>
    <w:rsid w:val="00756EE9"/>
    <w:rsid w:val="00756F15"/>
    <w:rsid w:val="00757351"/>
    <w:rsid w:val="0075779E"/>
    <w:rsid w:val="007577F5"/>
    <w:rsid w:val="00757AE6"/>
    <w:rsid w:val="00757D16"/>
    <w:rsid w:val="00757E08"/>
    <w:rsid w:val="00760281"/>
    <w:rsid w:val="0076079C"/>
    <w:rsid w:val="00760891"/>
    <w:rsid w:val="00760935"/>
    <w:rsid w:val="00760C27"/>
    <w:rsid w:val="00760FEF"/>
    <w:rsid w:val="00762757"/>
    <w:rsid w:val="00762C3D"/>
    <w:rsid w:val="00762ECB"/>
    <w:rsid w:val="0076304B"/>
    <w:rsid w:val="00763316"/>
    <w:rsid w:val="00763D3F"/>
    <w:rsid w:val="0076417E"/>
    <w:rsid w:val="00764D49"/>
    <w:rsid w:val="00765388"/>
    <w:rsid w:val="00765D42"/>
    <w:rsid w:val="00766316"/>
    <w:rsid w:val="007669FF"/>
    <w:rsid w:val="00767038"/>
    <w:rsid w:val="007670ED"/>
    <w:rsid w:val="007673CF"/>
    <w:rsid w:val="0076751D"/>
    <w:rsid w:val="00767AAF"/>
    <w:rsid w:val="00767EB3"/>
    <w:rsid w:val="007702C7"/>
    <w:rsid w:val="00770F7D"/>
    <w:rsid w:val="0077106A"/>
    <w:rsid w:val="00771170"/>
    <w:rsid w:val="00771346"/>
    <w:rsid w:val="007714A4"/>
    <w:rsid w:val="007716F8"/>
    <w:rsid w:val="0077170A"/>
    <w:rsid w:val="00771E55"/>
    <w:rsid w:val="00771FF1"/>
    <w:rsid w:val="0077216A"/>
    <w:rsid w:val="007730E8"/>
    <w:rsid w:val="007733B6"/>
    <w:rsid w:val="00773617"/>
    <w:rsid w:val="007736A6"/>
    <w:rsid w:val="007738B3"/>
    <w:rsid w:val="00773DBF"/>
    <w:rsid w:val="007749B4"/>
    <w:rsid w:val="00775021"/>
    <w:rsid w:val="0077535C"/>
    <w:rsid w:val="0077536D"/>
    <w:rsid w:val="00775B7F"/>
    <w:rsid w:val="00775C26"/>
    <w:rsid w:val="00775F84"/>
    <w:rsid w:val="00776138"/>
    <w:rsid w:val="00776457"/>
    <w:rsid w:val="007764AD"/>
    <w:rsid w:val="007764BB"/>
    <w:rsid w:val="00777109"/>
    <w:rsid w:val="007771BF"/>
    <w:rsid w:val="007774B7"/>
    <w:rsid w:val="007800B8"/>
    <w:rsid w:val="0078014B"/>
    <w:rsid w:val="007814D5"/>
    <w:rsid w:val="00781E85"/>
    <w:rsid w:val="00782904"/>
    <w:rsid w:val="00782A2B"/>
    <w:rsid w:val="00782AE2"/>
    <w:rsid w:val="00783840"/>
    <w:rsid w:val="007838C0"/>
    <w:rsid w:val="0078394C"/>
    <w:rsid w:val="00783957"/>
    <w:rsid w:val="00784619"/>
    <w:rsid w:val="00784AAA"/>
    <w:rsid w:val="00784CFB"/>
    <w:rsid w:val="00785C5E"/>
    <w:rsid w:val="00785D33"/>
    <w:rsid w:val="0078648D"/>
    <w:rsid w:val="007866F9"/>
    <w:rsid w:val="00786E29"/>
    <w:rsid w:val="00787367"/>
    <w:rsid w:val="007879CB"/>
    <w:rsid w:val="00787B9D"/>
    <w:rsid w:val="00787C4D"/>
    <w:rsid w:val="00787F52"/>
    <w:rsid w:val="00790262"/>
    <w:rsid w:val="00790CF5"/>
    <w:rsid w:val="00790DC5"/>
    <w:rsid w:val="007912C0"/>
    <w:rsid w:val="007916C5"/>
    <w:rsid w:val="00792642"/>
    <w:rsid w:val="007926D6"/>
    <w:rsid w:val="0079362E"/>
    <w:rsid w:val="00793681"/>
    <w:rsid w:val="00793D10"/>
    <w:rsid w:val="00793F35"/>
    <w:rsid w:val="007943B8"/>
    <w:rsid w:val="0079469A"/>
    <w:rsid w:val="00794A5B"/>
    <w:rsid w:val="00794C3A"/>
    <w:rsid w:val="007951F7"/>
    <w:rsid w:val="00795635"/>
    <w:rsid w:val="00795CEB"/>
    <w:rsid w:val="00795D18"/>
    <w:rsid w:val="00795D6B"/>
    <w:rsid w:val="00795FFE"/>
    <w:rsid w:val="0079667C"/>
    <w:rsid w:val="007970AE"/>
    <w:rsid w:val="007977B9"/>
    <w:rsid w:val="00797A3D"/>
    <w:rsid w:val="00797E38"/>
    <w:rsid w:val="007A02E0"/>
    <w:rsid w:val="007A0FE9"/>
    <w:rsid w:val="007A1207"/>
    <w:rsid w:val="007A1431"/>
    <w:rsid w:val="007A14FC"/>
    <w:rsid w:val="007A16DD"/>
    <w:rsid w:val="007A179D"/>
    <w:rsid w:val="007A1850"/>
    <w:rsid w:val="007A1C1B"/>
    <w:rsid w:val="007A1E97"/>
    <w:rsid w:val="007A2506"/>
    <w:rsid w:val="007A25F2"/>
    <w:rsid w:val="007A332C"/>
    <w:rsid w:val="007A345C"/>
    <w:rsid w:val="007A3493"/>
    <w:rsid w:val="007A3652"/>
    <w:rsid w:val="007A3AD7"/>
    <w:rsid w:val="007A44AA"/>
    <w:rsid w:val="007A4B6F"/>
    <w:rsid w:val="007A5135"/>
    <w:rsid w:val="007A5878"/>
    <w:rsid w:val="007A5886"/>
    <w:rsid w:val="007A5995"/>
    <w:rsid w:val="007A5B5B"/>
    <w:rsid w:val="007A5BB4"/>
    <w:rsid w:val="007A5D47"/>
    <w:rsid w:val="007A618E"/>
    <w:rsid w:val="007A6607"/>
    <w:rsid w:val="007A66EB"/>
    <w:rsid w:val="007A79B3"/>
    <w:rsid w:val="007A79D2"/>
    <w:rsid w:val="007B061A"/>
    <w:rsid w:val="007B093B"/>
    <w:rsid w:val="007B0A87"/>
    <w:rsid w:val="007B0ADF"/>
    <w:rsid w:val="007B11E4"/>
    <w:rsid w:val="007B1B1D"/>
    <w:rsid w:val="007B23BF"/>
    <w:rsid w:val="007B240A"/>
    <w:rsid w:val="007B2A5B"/>
    <w:rsid w:val="007B2A97"/>
    <w:rsid w:val="007B2AE5"/>
    <w:rsid w:val="007B2AFF"/>
    <w:rsid w:val="007B2D1C"/>
    <w:rsid w:val="007B2D8A"/>
    <w:rsid w:val="007B313A"/>
    <w:rsid w:val="007B31FC"/>
    <w:rsid w:val="007B33AC"/>
    <w:rsid w:val="007B4610"/>
    <w:rsid w:val="007B4C69"/>
    <w:rsid w:val="007B5072"/>
    <w:rsid w:val="007B5A39"/>
    <w:rsid w:val="007B5B32"/>
    <w:rsid w:val="007B5F53"/>
    <w:rsid w:val="007B6278"/>
    <w:rsid w:val="007B67B6"/>
    <w:rsid w:val="007B6AB6"/>
    <w:rsid w:val="007B6B42"/>
    <w:rsid w:val="007B6F98"/>
    <w:rsid w:val="007B71D5"/>
    <w:rsid w:val="007B7579"/>
    <w:rsid w:val="007B76DF"/>
    <w:rsid w:val="007B78C1"/>
    <w:rsid w:val="007C033B"/>
    <w:rsid w:val="007C04D4"/>
    <w:rsid w:val="007C09D8"/>
    <w:rsid w:val="007C0C04"/>
    <w:rsid w:val="007C0F66"/>
    <w:rsid w:val="007C0F69"/>
    <w:rsid w:val="007C143B"/>
    <w:rsid w:val="007C18C0"/>
    <w:rsid w:val="007C2061"/>
    <w:rsid w:val="007C24A5"/>
    <w:rsid w:val="007C24E1"/>
    <w:rsid w:val="007C24FF"/>
    <w:rsid w:val="007C2723"/>
    <w:rsid w:val="007C27E2"/>
    <w:rsid w:val="007C28ED"/>
    <w:rsid w:val="007C2BB0"/>
    <w:rsid w:val="007C2FF9"/>
    <w:rsid w:val="007C31CC"/>
    <w:rsid w:val="007C38F5"/>
    <w:rsid w:val="007C40D7"/>
    <w:rsid w:val="007C4348"/>
    <w:rsid w:val="007C4423"/>
    <w:rsid w:val="007C44E9"/>
    <w:rsid w:val="007C4571"/>
    <w:rsid w:val="007C4909"/>
    <w:rsid w:val="007C4D9A"/>
    <w:rsid w:val="007C4FF2"/>
    <w:rsid w:val="007C50C8"/>
    <w:rsid w:val="007C516A"/>
    <w:rsid w:val="007C58DB"/>
    <w:rsid w:val="007C5EF5"/>
    <w:rsid w:val="007C5FE6"/>
    <w:rsid w:val="007C6716"/>
    <w:rsid w:val="007C6E4E"/>
    <w:rsid w:val="007C6EA6"/>
    <w:rsid w:val="007C75A9"/>
    <w:rsid w:val="007C7D57"/>
    <w:rsid w:val="007C7F20"/>
    <w:rsid w:val="007D091F"/>
    <w:rsid w:val="007D0AB1"/>
    <w:rsid w:val="007D0DC3"/>
    <w:rsid w:val="007D1E2F"/>
    <w:rsid w:val="007D1E56"/>
    <w:rsid w:val="007D1F93"/>
    <w:rsid w:val="007D20DD"/>
    <w:rsid w:val="007D20E0"/>
    <w:rsid w:val="007D21B1"/>
    <w:rsid w:val="007D2241"/>
    <w:rsid w:val="007D24EF"/>
    <w:rsid w:val="007D323D"/>
    <w:rsid w:val="007D350A"/>
    <w:rsid w:val="007D3F06"/>
    <w:rsid w:val="007D4748"/>
    <w:rsid w:val="007D4C1E"/>
    <w:rsid w:val="007D4D3A"/>
    <w:rsid w:val="007D4E69"/>
    <w:rsid w:val="007D56BB"/>
    <w:rsid w:val="007D56C8"/>
    <w:rsid w:val="007D60C4"/>
    <w:rsid w:val="007D61CD"/>
    <w:rsid w:val="007D6402"/>
    <w:rsid w:val="007D6488"/>
    <w:rsid w:val="007D67DB"/>
    <w:rsid w:val="007D685D"/>
    <w:rsid w:val="007D6AED"/>
    <w:rsid w:val="007D6CD6"/>
    <w:rsid w:val="007D6D1A"/>
    <w:rsid w:val="007D6D3D"/>
    <w:rsid w:val="007D6DC8"/>
    <w:rsid w:val="007D7387"/>
    <w:rsid w:val="007D75FD"/>
    <w:rsid w:val="007D76B3"/>
    <w:rsid w:val="007D7763"/>
    <w:rsid w:val="007D7843"/>
    <w:rsid w:val="007D7A27"/>
    <w:rsid w:val="007D7B64"/>
    <w:rsid w:val="007E07AE"/>
    <w:rsid w:val="007E11C5"/>
    <w:rsid w:val="007E1288"/>
    <w:rsid w:val="007E1821"/>
    <w:rsid w:val="007E1881"/>
    <w:rsid w:val="007E207F"/>
    <w:rsid w:val="007E2230"/>
    <w:rsid w:val="007E22C7"/>
    <w:rsid w:val="007E2357"/>
    <w:rsid w:val="007E2AFB"/>
    <w:rsid w:val="007E2B14"/>
    <w:rsid w:val="007E2CD3"/>
    <w:rsid w:val="007E30B2"/>
    <w:rsid w:val="007E3B89"/>
    <w:rsid w:val="007E3BA1"/>
    <w:rsid w:val="007E3E99"/>
    <w:rsid w:val="007E41ED"/>
    <w:rsid w:val="007E426B"/>
    <w:rsid w:val="007E4591"/>
    <w:rsid w:val="007E4B46"/>
    <w:rsid w:val="007E4F94"/>
    <w:rsid w:val="007E51A9"/>
    <w:rsid w:val="007E550F"/>
    <w:rsid w:val="007E5A5F"/>
    <w:rsid w:val="007E6B9C"/>
    <w:rsid w:val="007E74EA"/>
    <w:rsid w:val="007E7BD3"/>
    <w:rsid w:val="007F0338"/>
    <w:rsid w:val="007F06D1"/>
    <w:rsid w:val="007F0A77"/>
    <w:rsid w:val="007F106C"/>
    <w:rsid w:val="007F19FD"/>
    <w:rsid w:val="007F1DCD"/>
    <w:rsid w:val="007F2385"/>
    <w:rsid w:val="007F239A"/>
    <w:rsid w:val="007F290D"/>
    <w:rsid w:val="007F2C3D"/>
    <w:rsid w:val="007F2C6F"/>
    <w:rsid w:val="007F2FEE"/>
    <w:rsid w:val="007F310A"/>
    <w:rsid w:val="007F33E6"/>
    <w:rsid w:val="007F34B8"/>
    <w:rsid w:val="007F3C4F"/>
    <w:rsid w:val="007F3DDF"/>
    <w:rsid w:val="007F3F5B"/>
    <w:rsid w:val="007F4275"/>
    <w:rsid w:val="007F4432"/>
    <w:rsid w:val="007F44C3"/>
    <w:rsid w:val="007F4BA7"/>
    <w:rsid w:val="007F4E9D"/>
    <w:rsid w:val="007F4F05"/>
    <w:rsid w:val="007F50DB"/>
    <w:rsid w:val="007F5361"/>
    <w:rsid w:val="007F5D5B"/>
    <w:rsid w:val="007F674F"/>
    <w:rsid w:val="007F6E80"/>
    <w:rsid w:val="007F6E9E"/>
    <w:rsid w:val="007F76FF"/>
    <w:rsid w:val="007F7836"/>
    <w:rsid w:val="007F7DCB"/>
    <w:rsid w:val="00800400"/>
    <w:rsid w:val="00800519"/>
    <w:rsid w:val="00800623"/>
    <w:rsid w:val="008006A9"/>
    <w:rsid w:val="00800FB8"/>
    <w:rsid w:val="008010E1"/>
    <w:rsid w:val="008016FC"/>
    <w:rsid w:val="008019EE"/>
    <w:rsid w:val="008024DC"/>
    <w:rsid w:val="008024F5"/>
    <w:rsid w:val="00802753"/>
    <w:rsid w:val="00802791"/>
    <w:rsid w:val="008027DF"/>
    <w:rsid w:val="0080299D"/>
    <w:rsid w:val="00802A86"/>
    <w:rsid w:val="00802C11"/>
    <w:rsid w:val="008034C9"/>
    <w:rsid w:val="00803833"/>
    <w:rsid w:val="00803915"/>
    <w:rsid w:val="00803A97"/>
    <w:rsid w:val="00803DEB"/>
    <w:rsid w:val="00804697"/>
    <w:rsid w:val="0080486E"/>
    <w:rsid w:val="008048EF"/>
    <w:rsid w:val="00804B68"/>
    <w:rsid w:val="00804D2D"/>
    <w:rsid w:val="008050ED"/>
    <w:rsid w:val="008051C4"/>
    <w:rsid w:val="008053FF"/>
    <w:rsid w:val="00805414"/>
    <w:rsid w:val="008055E4"/>
    <w:rsid w:val="008056EF"/>
    <w:rsid w:val="00805C0F"/>
    <w:rsid w:val="008061AF"/>
    <w:rsid w:val="00806B2A"/>
    <w:rsid w:val="00806ED6"/>
    <w:rsid w:val="00807432"/>
    <w:rsid w:val="0080753C"/>
    <w:rsid w:val="008076A0"/>
    <w:rsid w:val="008079E7"/>
    <w:rsid w:val="00807D28"/>
    <w:rsid w:val="00807EF8"/>
    <w:rsid w:val="0081004A"/>
    <w:rsid w:val="008111C7"/>
    <w:rsid w:val="0081144A"/>
    <w:rsid w:val="00811715"/>
    <w:rsid w:val="0081192C"/>
    <w:rsid w:val="00811963"/>
    <w:rsid w:val="008119A8"/>
    <w:rsid w:val="008119B0"/>
    <w:rsid w:val="00811C46"/>
    <w:rsid w:val="00811F8A"/>
    <w:rsid w:val="0081242B"/>
    <w:rsid w:val="00812709"/>
    <w:rsid w:val="00812954"/>
    <w:rsid w:val="00812C6A"/>
    <w:rsid w:val="00813659"/>
    <w:rsid w:val="00813716"/>
    <w:rsid w:val="00813994"/>
    <w:rsid w:val="00813A48"/>
    <w:rsid w:val="00813C5B"/>
    <w:rsid w:val="00813F1A"/>
    <w:rsid w:val="00813F57"/>
    <w:rsid w:val="008140EF"/>
    <w:rsid w:val="008143C0"/>
    <w:rsid w:val="00814533"/>
    <w:rsid w:val="008146FB"/>
    <w:rsid w:val="008149FA"/>
    <w:rsid w:val="00814D8C"/>
    <w:rsid w:val="00815F32"/>
    <w:rsid w:val="008160EF"/>
    <w:rsid w:val="00816E25"/>
    <w:rsid w:val="00817C90"/>
    <w:rsid w:val="00817FEA"/>
    <w:rsid w:val="00820F0B"/>
    <w:rsid w:val="00820F41"/>
    <w:rsid w:val="00820F88"/>
    <w:rsid w:val="00821038"/>
    <w:rsid w:val="0082126A"/>
    <w:rsid w:val="00821496"/>
    <w:rsid w:val="00821614"/>
    <w:rsid w:val="00821934"/>
    <w:rsid w:val="00821D5A"/>
    <w:rsid w:val="00821DA4"/>
    <w:rsid w:val="0082207A"/>
    <w:rsid w:val="00822456"/>
    <w:rsid w:val="00822F43"/>
    <w:rsid w:val="0082386F"/>
    <w:rsid w:val="00823FB9"/>
    <w:rsid w:val="0082411F"/>
    <w:rsid w:val="008243BC"/>
    <w:rsid w:val="00824630"/>
    <w:rsid w:val="00824895"/>
    <w:rsid w:val="00825859"/>
    <w:rsid w:val="008258A1"/>
    <w:rsid w:val="008259B5"/>
    <w:rsid w:val="00826383"/>
    <w:rsid w:val="00826D8E"/>
    <w:rsid w:val="008272EC"/>
    <w:rsid w:val="00827966"/>
    <w:rsid w:val="00827F8C"/>
    <w:rsid w:val="00830AB3"/>
    <w:rsid w:val="00830F11"/>
    <w:rsid w:val="00831224"/>
    <w:rsid w:val="00831260"/>
    <w:rsid w:val="008320B0"/>
    <w:rsid w:val="008329C3"/>
    <w:rsid w:val="00832BCC"/>
    <w:rsid w:val="00832D32"/>
    <w:rsid w:val="008331A4"/>
    <w:rsid w:val="008338F3"/>
    <w:rsid w:val="00833BA0"/>
    <w:rsid w:val="00833DC0"/>
    <w:rsid w:val="0083411E"/>
    <w:rsid w:val="008341C6"/>
    <w:rsid w:val="0083426B"/>
    <w:rsid w:val="00834639"/>
    <w:rsid w:val="008349A1"/>
    <w:rsid w:val="00834A60"/>
    <w:rsid w:val="00834FF0"/>
    <w:rsid w:val="00835957"/>
    <w:rsid w:val="0083636B"/>
    <w:rsid w:val="0083662B"/>
    <w:rsid w:val="00836ED2"/>
    <w:rsid w:val="00837220"/>
    <w:rsid w:val="008400A6"/>
    <w:rsid w:val="008400B8"/>
    <w:rsid w:val="00840576"/>
    <w:rsid w:val="00840F30"/>
    <w:rsid w:val="008410BB"/>
    <w:rsid w:val="00841518"/>
    <w:rsid w:val="0084158D"/>
    <w:rsid w:val="00841895"/>
    <w:rsid w:val="00841D5A"/>
    <w:rsid w:val="00841D5E"/>
    <w:rsid w:val="008421E9"/>
    <w:rsid w:val="00842B23"/>
    <w:rsid w:val="00842C97"/>
    <w:rsid w:val="008434FE"/>
    <w:rsid w:val="008435FF"/>
    <w:rsid w:val="008438D9"/>
    <w:rsid w:val="00843E89"/>
    <w:rsid w:val="008444B5"/>
    <w:rsid w:val="008449C5"/>
    <w:rsid w:val="00844D8A"/>
    <w:rsid w:val="008453F2"/>
    <w:rsid w:val="0084577E"/>
    <w:rsid w:val="008457D4"/>
    <w:rsid w:val="008459C0"/>
    <w:rsid w:val="00845B12"/>
    <w:rsid w:val="00846364"/>
    <w:rsid w:val="008465FA"/>
    <w:rsid w:val="00846B66"/>
    <w:rsid w:val="00846D3E"/>
    <w:rsid w:val="00847370"/>
    <w:rsid w:val="00847D01"/>
    <w:rsid w:val="00847E9A"/>
    <w:rsid w:val="008501E7"/>
    <w:rsid w:val="008505DE"/>
    <w:rsid w:val="00850D84"/>
    <w:rsid w:val="008515D2"/>
    <w:rsid w:val="00851965"/>
    <w:rsid w:val="00851C7D"/>
    <w:rsid w:val="00852105"/>
    <w:rsid w:val="0085233A"/>
    <w:rsid w:val="0085290D"/>
    <w:rsid w:val="00852A11"/>
    <w:rsid w:val="00852BE8"/>
    <w:rsid w:val="00852BF2"/>
    <w:rsid w:val="00852DFC"/>
    <w:rsid w:val="00852E31"/>
    <w:rsid w:val="00852F07"/>
    <w:rsid w:val="008530D1"/>
    <w:rsid w:val="008533FC"/>
    <w:rsid w:val="00853613"/>
    <w:rsid w:val="00853A6D"/>
    <w:rsid w:val="00853BC5"/>
    <w:rsid w:val="00853C1E"/>
    <w:rsid w:val="0085462D"/>
    <w:rsid w:val="00854E66"/>
    <w:rsid w:val="00855758"/>
    <w:rsid w:val="00855991"/>
    <w:rsid w:val="00855CAA"/>
    <w:rsid w:val="00856732"/>
    <w:rsid w:val="00856B39"/>
    <w:rsid w:val="00856C1B"/>
    <w:rsid w:val="0085732E"/>
    <w:rsid w:val="0085756C"/>
    <w:rsid w:val="00857B98"/>
    <w:rsid w:val="00860246"/>
    <w:rsid w:val="008602F4"/>
    <w:rsid w:val="0086076A"/>
    <w:rsid w:val="0086096E"/>
    <w:rsid w:val="00860AC3"/>
    <w:rsid w:val="00861043"/>
    <w:rsid w:val="00861CE3"/>
    <w:rsid w:val="0086232D"/>
    <w:rsid w:val="00862433"/>
    <w:rsid w:val="00862741"/>
    <w:rsid w:val="00862AA0"/>
    <w:rsid w:val="0086361D"/>
    <w:rsid w:val="008639C8"/>
    <w:rsid w:val="00863F22"/>
    <w:rsid w:val="00863F9C"/>
    <w:rsid w:val="008640A2"/>
    <w:rsid w:val="008640E6"/>
    <w:rsid w:val="008641DE"/>
    <w:rsid w:val="00864732"/>
    <w:rsid w:val="00864FAB"/>
    <w:rsid w:val="00865131"/>
    <w:rsid w:val="0086541E"/>
    <w:rsid w:val="00865655"/>
    <w:rsid w:val="00865699"/>
    <w:rsid w:val="0086605D"/>
    <w:rsid w:val="0086629A"/>
    <w:rsid w:val="00866B07"/>
    <w:rsid w:val="00867154"/>
    <w:rsid w:val="0086730C"/>
    <w:rsid w:val="00867485"/>
    <w:rsid w:val="008675FC"/>
    <w:rsid w:val="008709CA"/>
    <w:rsid w:val="00870BEA"/>
    <w:rsid w:val="00870E15"/>
    <w:rsid w:val="0087102C"/>
    <w:rsid w:val="00871368"/>
    <w:rsid w:val="00871542"/>
    <w:rsid w:val="0087159D"/>
    <w:rsid w:val="00871689"/>
    <w:rsid w:val="008719AD"/>
    <w:rsid w:val="008719BB"/>
    <w:rsid w:val="008729A3"/>
    <w:rsid w:val="00872BAE"/>
    <w:rsid w:val="00873370"/>
    <w:rsid w:val="00873728"/>
    <w:rsid w:val="00873CD3"/>
    <w:rsid w:val="00874DE3"/>
    <w:rsid w:val="00875472"/>
    <w:rsid w:val="00875504"/>
    <w:rsid w:val="00876CB2"/>
    <w:rsid w:val="0087751F"/>
    <w:rsid w:val="00880086"/>
    <w:rsid w:val="00880621"/>
    <w:rsid w:val="00880697"/>
    <w:rsid w:val="00880B94"/>
    <w:rsid w:val="00880F0F"/>
    <w:rsid w:val="00880FC3"/>
    <w:rsid w:val="008810AB"/>
    <w:rsid w:val="00881202"/>
    <w:rsid w:val="00881625"/>
    <w:rsid w:val="008816DD"/>
    <w:rsid w:val="00881706"/>
    <w:rsid w:val="00882B93"/>
    <w:rsid w:val="00882E51"/>
    <w:rsid w:val="008832E1"/>
    <w:rsid w:val="00883B24"/>
    <w:rsid w:val="008842CB"/>
    <w:rsid w:val="008844EA"/>
    <w:rsid w:val="00884716"/>
    <w:rsid w:val="00884C7D"/>
    <w:rsid w:val="00885130"/>
    <w:rsid w:val="008853F8"/>
    <w:rsid w:val="00885CC1"/>
    <w:rsid w:val="00885D3A"/>
    <w:rsid w:val="00885EAF"/>
    <w:rsid w:val="008862C6"/>
    <w:rsid w:val="00886D17"/>
    <w:rsid w:val="008871F9"/>
    <w:rsid w:val="00887510"/>
    <w:rsid w:val="00887754"/>
    <w:rsid w:val="0089016E"/>
    <w:rsid w:val="008907F7"/>
    <w:rsid w:val="00890CD6"/>
    <w:rsid w:val="00890E19"/>
    <w:rsid w:val="00891166"/>
    <w:rsid w:val="008911CF"/>
    <w:rsid w:val="00891290"/>
    <w:rsid w:val="00891525"/>
    <w:rsid w:val="00891652"/>
    <w:rsid w:val="008917F4"/>
    <w:rsid w:val="00891900"/>
    <w:rsid w:val="00892414"/>
    <w:rsid w:val="00892744"/>
    <w:rsid w:val="00892AFF"/>
    <w:rsid w:val="008936C8"/>
    <w:rsid w:val="0089392E"/>
    <w:rsid w:val="00893CD0"/>
    <w:rsid w:val="00893D68"/>
    <w:rsid w:val="00893FA2"/>
    <w:rsid w:val="0089416D"/>
    <w:rsid w:val="008941C1"/>
    <w:rsid w:val="00894416"/>
    <w:rsid w:val="00894BAC"/>
    <w:rsid w:val="00894C6E"/>
    <w:rsid w:val="00895073"/>
    <w:rsid w:val="00895105"/>
    <w:rsid w:val="00895179"/>
    <w:rsid w:val="0089531B"/>
    <w:rsid w:val="00895922"/>
    <w:rsid w:val="00895FCC"/>
    <w:rsid w:val="00896284"/>
    <w:rsid w:val="008963F7"/>
    <w:rsid w:val="00896486"/>
    <w:rsid w:val="00896698"/>
    <w:rsid w:val="00896E94"/>
    <w:rsid w:val="008970AD"/>
    <w:rsid w:val="0089746C"/>
    <w:rsid w:val="008975A4"/>
    <w:rsid w:val="00897717"/>
    <w:rsid w:val="00897731"/>
    <w:rsid w:val="008978E0"/>
    <w:rsid w:val="00897B10"/>
    <w:rsid w:val="00897F41"/>
    <w:rsid w:val="008A0001"/>
    <w:rsid w:val="008A042C"/>
    <w:rsid w:val="008A118B"/>
    <w:rsid w:val="008A1630"/>
    <w:rsid w:val="008A165F"/>
    <w:rsid w:val="008A18B1"/>
    <w:rsid w:val="008A1B8A"/>
    <w:rsid w:val="008A2974"/>
    <w:rsid w:val="008A2A61"/>
    <w:rsid w:val="008A2AA1"/>
    <w:rsid w:val="008A2FA8"/>
    <w:rsid w:val="008A3227"/>
    <w:rsid w:val="008A3DCA"/>
    <w:rsid w:val="008A40E8"/>
    <w:rsid w:val="008A4ADC"/>
    <w:rsid w:val="008A5478"/>
    <w:rsid w:val="008A55FB"/>
    <w:rsid w:val="008A5C59"/>
    <w:rsid w:val="008A5D11"/>
    <w:rsid w:val="008A6305"/>
    <w:rsid w:val="008A6877"/>
    <w:rsid w:val="008A6B5E"/>
    <w:rsid w:val="008A7494"/>
    <w:rsid w:val="008A7575"/>
    <w:rsid w:val="008A7DD8"/>
    <w:rsid w:val="008B0375"/>
    <w:rsid w:val="008B0AB9"/>
    <w:rsid w:val="008B0DA9"/>
    <w:rsid w:val="008B0F2F"/>
    <w:rsid w:val="008B1085"/>
    <w:rsid w:val="008B128B"/>
    <w:rsid w:val="008B13C9"/>
    <w:rsid w:val="008B1429"/>
    <w:rsid w:val="008B17C6"/>
    <w:rsid w:val="008B1930"/>
    <w:rsid w:val="008B2041"/>
    <w:rsid w:val="008B2065"/>
    <w:rsid w:val="008B26D7"/>
    <w:rsid w:val="008B2885"/>
    <w:rsid w:val="008B2ACB"/>
    <w:rsid w:val="008B3501"/>
    <w:rsid w:val="008B3700"/>
    <w:rsid w:val="008B3982"/>
    <w:rsid w:val="008B40BC"/>
    <w:rsid w:val="008B420F"/>
    <w:rsid w:val="008B45CE"/>
    <w:rsid w:val="008B46B6"/>
    <w:rsid w:val="008B550E"/>
    <w:rsid w:val="008B55A2"/>
    <w:rsid w:val="008B56DE"/>
    <w:rsid w:val="008B5AA3"/>
    <w:rsid w:val="008B5E51"/>
    <w:rsid w:val="008B6262"/>
    <w:rsid w:val="008B650B"/>
    <w:rsid w:val="008B7467"/>
    <w:rsid w:val="008B7530"/>
    <w:rsid w:val="008B7559"/>
    <w:rsid w:val="008B77A7"/>
    <w:rsid w:val="008B77BB"/>
    <w:rsid w:val="008B7953"/>
    <w:rsid w:val="008B796B"/>
    <w:rsid w:val="008B7E72"/>
    <w:rsid w:val="008C01AE"/>
    <w:rsid w:val="008C052B"/>
    <w:rsid w:val="008C110B"/>
    <w:rsid w:val="008C12DD"/>
    <w:rsid w:val="008C131A"/>
    <w:rsid w:val="008C1772"/>
    <w:rsid w:val="008C19F8"/>
    <w:rsid w:val="008C1A3F"/>
    <w:rsid w:val="008C1C91"/>
    <w:rsid w:val="008C20FF"/>
    <w:rsid w:val="008C23B7"/>
    <w:rsid w:val="008C29C0"/>
    <w:rsid w:val="008C2A08"/>
    <w:rsid w:val="008C2A5E"/>
    <w:rsid w:val="008C2B21"/>
    <w:rsid w:val="008C33E1"/>
    <w:rsid w:val="008C3BEA"/>
    <w:rsid w:val="008C3F95"/>
    <w:rsid w:val="008C439C"/>
    <w:rsid w:val="008C44DA"/>
    <w:rsid w:val="008C46FC"/>
    <w:rsid w:val="008C4B4A"/>
    <w:rsid w:val="008C5398"/>
    <w:rsid w:val="008C5691"/>
    <w:rsid w:val="008C59F3"/>
    <w:rsid w:val="008C5F95"/>
    <w:rsid w:val="008C6648"/>
    <w:rsid w:val="008C66A3"/>
    <w:rsid w:val="008C70F4"/>
    <w:rsid w:val="008C7911"/>
    <w:rsid w:val="008C7A04"/>
    <w:rsid w:val="008C7C33"/>
    <w:rsid w:val="008D0162"/>
    <w:rsid w:val="008D02CA"/>
    <w:rsid w:val="008D0379"/>
    <w:rsid w:val="008D06AE"/>
    <w:rsid w:val="008D0B9C"/>
    <w:rsid w:val="008D134E"/>
    <w:rsid w:val="008D14A1"/>
    <w:rsid w:val="008D17AC"/>
    <w:rsid w:val="008D199F"/>
    <w:rsid w:val="008D1ACF"/>
    <w:rsid w:val="008D1E7E"/>
    <w:rsid w:val="008D2C51"/>
    <w:rsid w:val="008D3509"/>
    <w:rsid w:val="008D3C00"/>
    <w:rsid w:val="008D3E0B"/>
    <w:rsid w:val="008D3FC8"/>
    <w:rsid w:val="008D4A24"/>
    <w:rsid w:val="008D558D"/>
    <w:rsid w:val="008D5B9D"/>
    <w:rsid w:val="008D5C33"/>
    <w:rsid w:val="008D61E5"/>
    <w:rsid w:val="008D6426"/>
    <w:rsid w:val="008D7527"/>
    <w:rsid w:val="008D79EB"/>
    <w:rsid w:val="008E041D"/>
    <w:rsid w:val="008E0635"/>
    <w:rsid w:val="008E0C40"/>
    <w:rsid w:val="008E0D3C"/>
    <w:rsid w:val="008E18EC"/>
    <w:rsid w:val="008E1A5F"/>
    <w:rsid w:val="008E2395"/>
    <w:rsid w:val="008E284C"/>
    <w:rsid w:val="008E2A2D"/>
    <w:rsid w:val="008E30B2"/>
    <w:rsid w:val="008E30C4"/>
    <w:rsid w:val="008E34A4"/>
    <w:rsid w:val="008E34FD"/>
    <w:rsid w:val="008E365B"/>
    <w:rsid w:val="008E40F1"/>
    <w:rsid w:val="008E438B"/>
    <w:rsid w:val="008E4968"/>
    <w:rsid w:val="008E4AE3"/>
    <w:rsid w:val="008E4FA1"/>
    <w:rsid w:val="008E5910"/>
    <w:rsid w:val="008E5D9B"/>
    <w:rsid w:val="008E5F90"/>
    <w:rsid w:val="008E608F"/>
    <w:rsid w:val="008E6FCA"/>
    <w:rsid w:val="008E7C09"/>
    <w:rsid w:val="008E7C57"/>
    <w:rsid w:val="008E7C71"/>
    <w:rsid w:val="008E7E63"/>
    <w:rsid w:val="008F01B1"/>
    <w:rsid w:val="008F07C7"/>
    <w:rsid w:val="008F08A8"/>
    <w:rsid w:val="008F0C42"/>
    <w:rsid w:val="008F0C5A"/>
    <w:rsid w:val="008F1965"/>
    <w:rsid w:val="008F1BCB"/>
    <w:rsid w:val="008F1EC8"/>
    <w:rsid w:val="008F209D"/>
    <w:rsid w:val="008F2301"/>
    <w:rsid w:val="008F23E8"/>
    <w:rsid w:val="008F27AC"/>
    <w:rsid w:val="008F3093"/>
    <w:rsid w:val="008F3FA7"/>
    <w:rsid w:val="008F43A9"/>
    <w:rsid w:val="008F4653"/>
    <w:rsid w:val="008F4A3D"/>
    <w:rsid w:val="008F4B61"/>
    <w:rsid w:val="008F561E"/>
    <w:rsid w:val="008F58FA"/>
    <w:rsid w:val="008F5F86"/>
    <w:rsid w:val="008F5FBE"/>
    <w:rsid w:val="008F6241"/>
    <w:rsid w:val="008F662A"/>
    <w:rsid w:val="008F74D9"/>
    <w:rsid w:val="008F79AB"/>
    <w:rsid w:val="008F7BE3"/>
    <w:rsid w:val="008F7D8B"/>
    <w:rsid w:val="008F7E95"/>
    <w:rsid w:val="00900889"/>
    <w:rsid w:val="009017E8"/>
    <w:rsid w:val="00901A80"/>
    <w:rsid w:val="00902323"/>
    <w:rsid w:val="00902880"/>
    <w:rsid w:val="00903CB7"/>
    <w:rsid w:val="00904899"/>
    <w:rsid w:val="0090506C"/>
    <w:rsid w:val="00905149"/>
    <w:rsid w:val="00905425"/>
    <w:rsid w:val="00906014"/>
    <w:rsid w:val="00906177"/>
    <w:rsid w:val="00906D6D"/>
    <w:rsid w:val="00907BDA"/>
    <w:rsid w:val="00907FBF"/>
    <w:rsid w:val="0091012C"/>
    <w:rsid w:val="00910E8C"/>
    <w:rsid w:val="00911D55"/>
    <w:rsid w:val="0091247E"/>
    <w:rsid w:val="0091249C"/>
    <w:rsid w:val="009125D7"/>
    <w:rsid w:val="00912772"/>
    <w:rsid w:val="009129C3"/>
    <w:rsid w:val="00912A6F"/>
    <w:rsid w:val="00912B35"/>
    <w:rsid w:val="00912D19"/>
    <w:rsid w:val="00913ECD"/>
    <w:rsid w:val="00914194"/>
    <w:rsid w:val="0091428D"/>
    <w:rsid w:val="00915B4C"/>
    <w:rsid w:val="00915C45"/>
    <w:rsid w:val="0091629B"/>
    <w:rsid w:val="0091630B"/>
    <w:rsid w:val="00916428"/>
    <w:rsid w:val="00916A00"/>
    <w:rsid w:val="00916DF1"/>
    <w:rsid w:val="00916FA5"/>
    <w:rsid w:val="009174F3"/>
    <w:rsid w:val="0091774D"/>
    <w:rsid w:val="009177F6"/>
    <w:rsid w:val="00917C61"/>
    <w:rsid w:val="00917D5E"/>
    <w:rsid w:val="009205C2"/>
    <w:rsid w:val="0092099A"/>
    <w:rsid w:val="00921703"/>
    <w:rsid w:val="00921B52"/>
    <w:rsid w:val="00921E24"/>
    <w:rsid w:val="00921EC4"/>
    <w:rsid w:val="009229DE"/>
    <w:rsid w:val="00923309"/>
    <w:rsid w:val="00923856"/>
    <w:rsid w:val="009239E9"/>
    <w:rsid w:val="00923DB9"/>
    <w:rsid w:val="00923E01"/>
    <w:rsid w:val="00924B2B"/>
    <w:rsid w:val="00925027"/>
    <w:rsid w:val="00925040"/>
    <w:rsid w:val="00925C3A"/>
    <w:rsid w:val="00925D47"/>
    <w:rsid w:val="00926207"/>
    <w:rsid w:val="00926582"/>
    <w:rsid w:val="00926A3A"/>
    <w:rsid w:val="00926CD5"/>
    <w:rsid w:val="00926CF8"/>
    <w:rsid w:val="00926D08"/>
    <w:rsid w:val="00927CF6"/>
    <w:rsid w:val="00930D11"/>
    <w:rsid w:val="009310D8"/>
    <w:rsid w:val="0093183E"/>
    <w:rsid w:val="009318D8"/>
    <w:rsid w:val="00931BD3"/>
    <w:rsid w:val="00931CBB"/>
    <w:rsid w:val="009322A9"/>
    <w:rsid w:val="0093266E"/>
    <w:rsid w:val="00932D81"/>
    <w:rsid w:val="00932EAA"/>
    <w:rsid w:val="00933048"/>
    <w:rsid w:val="00933241"/>
    <w:rsid w:val="009338E1"/>
    <w:rsid w:val="0093418A"/>
    <w:rsid w:val="0093420D"/>
    <w:rsid w:val="00934368"/>
    <w:rsid w:val="009343AE"/>
    <w:rsid w:val="009348B3"/>
    <w:rsid w:val="009349D0"/>
    <w:rsid w:val="00934DBE"/>
    <w:rsid w:val="00935BBD"/>
    <w:rsid w:val="00936371"/>
    <w:rsid w:val="00936A9A"/>
    <w:rsid w:val="00936EC0"/>
    <w:rsid w:val="00937134"/>
    <w:rsid w:val="009372D5"/>
    <w:rsid w:val="00937D12"/>
    <w:rsid w:val="00940189"/>
    <w:rsid w:val="0094084B"/>
    <w:rsid w:val="00940AC5"/>
    <w:rsid w:val="00940B4B"/>
    <w:rsid w:val="00941042"/>
    <w:rsid w:val="00941F8A"/>
    <w:rsid w:val="009432DC"/>
    <w:rsid w:val="009434F5"/>
    <w:rsid w:val="00943517"/>
    <w:rsid w:val="0094363D"/>
    <w:rsid w:val="009439BE"/>
    <w:rsid w:val="00943BD6"/>
    <w:rsid w:val="0094414E"/>
    <w:rsid w:val="00944442"/>
    <w:rsid w:val="009445C0"/>
    <w:rsid w:val="00944F8C"/>
    <w:rsid w:val="00945763"/>
    <w:rsid w:val="00945A42"/>
    <w:rsid w:val="00945FC8"/>
    <w:rsid w:val="00946246"/>
    <w:rsid w:val="0094641C"/>
    <w:rsid w:val="009468DC"/>
    <w:rsid w:val="00946918"/>
    <w:rsid w:val="00946ADF"/>
    <w:rsid w:val="00946C44"/>
    <w:rsid w:val="009474E2"/>
    <w:rsid w:val="00947FD7"/>
    <w:rsid w:val="00950A32"/>
    <w:rsid w:val="00950CD5"/>
    <w:rsid w:val="00950D0D"/>
    <w:rsid w:val="0095112C"/>
    <w:rsid w:val="00951563"/>
    <w:rsid w:val="009522F6"/>
    <w:rsid w:val="009523A7"/>
    <w:rsid w:val="00952420"/>
    <w:rsid w:val="0095348E"/>
    <w:rsid w:val="009535F1"/>
    <w:rsid w:val="0095372C"/>
    <w:rsid w:val="009537FA"/>
    <w:rsid w:val="00954169"/>
    <w:rsid w:val="00954A56"/>
    <w:rsid w:val="00955181"/>
    <w:rsid w:val="009551E8"/>
    <w:rsid w:val="00955569"/>
    <w:rsid w:val="009555ED"/>
    <w:rsid w:val="00955693"/>
    <w:rsid w:val="00955BD5"/>
    <w:rsid w:val="00955FEF"/>
    <w:rsid w:val="0095605B"/>
    <w:rsid w:val="00956869"/>
    <w:rsid w:val="009570D4"/>
    <w:rsid w:val="009574E9"/>
    <w:rsid w:val="00957A3A"/>
    <w:rsid w:val="00961157"/>
    <w:rsid w:val="00961BEA"/>
    <w:rsid w:val="00961E5E"/>
    <w:rsid w:val="00962048"/>
    <w:rsid w:val="009620FC"/>
    <w:rsid w:val="009621FF"/>
    <w:rsid w:val="009622C3"/>
    <w:rsid w:val="00963015"/>
    <w:rsid w:val="00963175"/>
    <w:rsid w:val="00963453"/>
    <w:rsid w:val="0096358F"/>
    <w:rsid w:val="00963807"/>
    <w:rsid w:val="00963DD3"/>
    <w:rsid w:val="009641D8"/>
    <w:rsid w:val="00964CFD"/>
    <w:rsid w:val="00965703"/>
    <w:rsid w:val="00965BCE"/>
    <w:rsid w:val="00965CE5"/>
    <w:rsid w:val="009660AB"/>
    <w:rsid w:val="00966468"/>
    <w:rsid w:val="00966701"/>
    <w:rsid w:val="00966BF2"/>
    <w:rsid w:val="009672C9"/>
    <w:rsid w:val="00967551"/>
    <w:rsid w:val="00967833"/>
    <w:rsid w:val="00970711"/>
    <w:rsid w:val="0097101F"/>
    <w:rsid w:val="00971340"/>
    <w:rsid w:val="009720FB"/>
    <w:rsid w:val="00972484"/>
    <w:rsid w:val="009724C0"/>
    <w:rsid w:val="0097251D"/>
    <w:rsid w:val="009726FF"/>
    <w:rsid w:val="009727DE"/>
    <w:rsid w:val="00972CCB"/>
    <w:rsid w:val="00973008"/>
    <w:rsid w:val="0097376A"/>
    <w:rsid w:val="00973860"/>
    <w:rsid w:val="0097392D"/>
    <w:rsid w:val="00973DBF"/>
    <w:rsid w:val="0097419C"/>
    <w:rsid w:val="00974719"/>
    <w:rsid w:val="00974D9C"/>
    <w:rsid w:val="00975326"/>
    <w:rsid w:val="00975745"/>
    <w:rsid w:val="009757A7"/>
    <w:rsid w:val="009758A6"/>
    <w:rsid w:val="009759C7"/>
    <w:rsid w:val="00976426"/>
    <w:rsid w:val="009764E0"/>
    <w:rsid w:val="00976C74"/>
    <w:rsid w:val="00976E24"/>
    <w:rsid w:val="00976E6E"/>
    <w:rsid w:val="00976F68"/>
    <w:rsid w:val="0097789E"/>
    <w:rsid w:val="00977D4E"/>
    <w:rsid w:val="009805EF"/>
    <w:rsid w:val="0098117A"/>
    <w:rsid w:val="009814DD"/>
    <w:rsid w:val="0098152C"/>
    <w:rsid w:val="0098157C"/>
    <w:rsid w:val="0098170A"/>
    <w:rsid w:val="00981C5B"/>
    <w:rsid w:val="00981F7C"/>
    <w:rsid w:val="009820C8"/>
    <w:rsid w:val="009822F8"/>
    <w:rsid w:val="00983476"/>
    <w:rsid w:val="00983558"/>
    <w:rsid w:val="00983C01"/>
    <w:rsid w:val="00984487"/>
    <w:rsid w:val="0098493E"/>
    <w:rsid w:val="00985173"/>
    <w:rsid w:val="0098518B"/>
    <w:rsid w:val="009852D0"/>
    <w:rsid w:val="0098597C"/>
    <w:rsid w:val="00985F34"/>
    <w:rsid w:val="00985F45"/>
    <w:rsid w:val="00986095"/>
    <w:rsid w:val="00986112"/>
    <w:rsid w:val="009862DF"/>
    <w:rsid w:val="00986444"/>
    <w:rsid w:val="00986BF6"/>
    <w:rsid w:val="00986F48"/>
    <w:rsid w:val="00986F5E"/>
    <w:rsid w:val="0098744B"/>
    <w:rsid w:val="0098792A"/>
    <w:rsid w:val="00990024"/>
    <w:rsid w:val="00990232"/>
    <w:rsid w:val="009903DF"/>
    <w:rsid w:val="00990736"/>
    <w:rsid w:val="00990A20"/>
    <w:rsid w:val="00990D84"/>
    <w:rsid w:val="00991275"/>
    <w:rsid w:val="009918CE"/>
    <w:rsid w:val="00991BAF"/>
    <w:rsid w:val="009923DA"/>
    <w:rsid w:val="00992491"/>
    <w:rsid w:val="00992588"/>
    <w:rsid w:val="00992732"/>
    <w:rsid w:val="009928A3"/>
    <w:rsid w:val="00992DA0"/>
    <w:rsid w:val="009931CB"/>
    <w:rsid w:val="0099366B"/>
    <w:rsid w:val="00993703"/>
    <w:rsid w:val="00993998"/>
    <w:rsid w:val="009939FE"/>
    <w:rsid w:val="00993FD7"/>
    <w:rsid w:val="00994106"/>
    <w:rsid w:val="009941BB"/>
    <w:rsid w:val="00994512"/>
    <w:rsid w:val="00994F10"/>
    <w:rsid w:val="00994FA2"/>
    <w:rsid w:val="00994FDF"/>
    <w:rsid w:val="00995067"/>
    <w:rsid w:val="00995301"/>
    <w:rsid w:val="009953AE"/>
    <w:rsid w:val="009954BC"/>
    <w:rsid w:val="00995C61"/>
    <w:rsid w:val="00995DF4"/>
    <w:rsid w:val="00996064"/>
    <w:rsid w:val="00996AFC"/>
    <w:rsid w:val="00996FBA"/>
    <w:rsid w:val="00996FF1"/>
    <w:rsid w:val="009979F0"/>
    <w:rsid w:val="00997CD8"/>
    <w:rsid w:val="00997D5B"/>
    <w:rsid w:val="00997F85"/>
    <w:rsid w:val="009A05AA"/>
    <w:rsid w:val="009A06ED"/>
    <w:rsid w:val="009A149B"/>
    <w:rsid w:val="009A14D3"/>
    <w:rsid w:val="009A1844"/>
    <w:rsid w:val="009A19D7"/>
    <w:rsid w:val="009A1A4C"/>
    <w:rsid w:val="009A27D1"/>
    <w:rsid w:val="009A2887"/>
    <w:rsid w:val="009A2A05"/>
    <w:rsid w:val="009A2C6F"/>
    <w:rsid w:val="009A2C9F"/>
    <w:rsid w:val="009A3019"/>
    <w:rsid w:val="009A34BB"/>
    <w:rsid w:val="009A3882"/>
    <w:rsid w:val="009A5030"/>
    <w:rsid w:val="009A5287"/>
    <w:rsid w:val="009A565E"/>
    <w:rsid w:val="009A582E"/>
    <w:rsid w:val="009A58FA"/>
    <w:rsid w:val="009A593F"/>
    <w:rsid w:val="009A6A21"/>
    <w:rsid w:val="009A6BC2"/>
    <w:rsid w:val="009A7A51"/>
    <w:rsid w:val="009A7E4B"/>
    <w:rsid w:val="009B00E8"/>
    <w:rsid w:val="009B017C"/>
    <w:rsid w:val="009B01CB"/>
    <w:rsid w:val="009B06C7"/>
    <w:rsid w:val="009B07A8"/>
    <w:rsid w:val="009B0BF9"/>
    <w:rsid w:val="009B0FAD"/>
    <w:rsid w:val="009B1090"/>
    <w:rsid w:val="009B12C7"/>
    <w:rsid w:val="009B20E7"/>
    <w:rsid w:val="009B259E"/>
    <w:rsid w:val="009B298D"/>
    <w:rsid w:val="009B29B2"/>
    <w:rsid w:val="009B2B8B"/>
    <w:rsid w:val="009B3032"/>
    <w:rsid w:val="009B3144"/>
    <w:rsid w:val="009B3593"/>
    <w:rsid w:val="009B37AB"/>
    <w:rsid w:val="009B3A2B"/>
    <w:rsid w:val="009B3D52"/>
    <w:rsid w:val="009B3E6B"/>
    <w:rsid w:val="009B3F60"/>
    <w:rsid w:val="009B4783"/>
    <w:rsid w:val="009B53C0"/>
    <w:rsid w:val="009B5633"/>
    <w:rsid w:val="009B5D1C"/>
    <w:rsid w:val="009B5EC1"/>
    <w:rsid w:val="009B6001"/>
    <w:rsid w:val="009B62C8"/>
    <w:rsid w:val="009B63A0"/>
    <w:rsid w:val="009B6472"/>
    <w:rsid w:val="009B69D8"/>
    <w:rsid w:val="009B6A03"/>
    <w:rsid w:val="009B70C9"/>
    <w:rsid w:val="009B7594"/>
    <w:rsid w:val="009B7F8D"/>
    <w:rsid w:val="009C004D"/>
    <w:rsid w:val="009C00FE"/>
    <w:rsid w:val="009C0ACF"/>
    <w:rsid w:val="009C148B"/>
    <w:rsid w:val="009C1591"/>
    <w:rsid w:val="009C1CB6"/>
    <w:rsid w:val="009C269D"/>
    <w:rsid w:val="009C3E14"/>
    <w:rsid w:val="009C405C"/>
    <w:rsid w:val="009C4C3C"/>
    <w:rsid w:val="009C4EAD"/>
    <w:rsid w:val="009C4F6C"/>
    <w:rsid w:val="009C50D5"/>
    <w:rsid w:val="009C550D"/>
    <w:rsid w:val="009C5754"/>
    <w:rsid w:val="009C5C7D"/>
    <w:rsid w:val="009C662E"/>
    <w:rsid w:val="009C67E2"/>
    <w:rsid w:val="009C7475"/>
    <w:rsid w:val="009C75A1"/>
    <w:rsid w:val="009C7AEC"/>
    <w:rsid w:val="009C7C71"/>
    <w:rsid w:val="009C7EB3"/>
    <w:rsid w:val="009D0EF1"/>
    <w:rsid w:val="009D1015"/>
    <w:rsid w:val="009D1040"/>
    <w:rsid w:val="009D1104"/>
    <w:rsid w:val="009D118B"/>
    <w:rsid w:val="009D15E5"/>
    <w:rsid w:val="009D1BE2"/>
    <w:rsid w:val="009D1F98"/>
    <w:rsid w:val="009D2346"/>
    <w:rsid w:val="009D24F4"/>
    <w:rsid w:val="009D2555"/>
    <w:rsid w:val="009D4026"/>
    <w:rsid w:val="009D41C1"/>
    <w:rsid w:val="009D441E"/>
    <w:rsid w:val="009D6092"/>
    <w:rsid w:val="009D609D"/>
    <w:rsid w:val="009D62AA"/>
    <w:rsid w:val="009D64FD"/>
    <w:rsid w:val="009D65FF"/>
    <w:rsid w:val="009D70CC"/>
    <w:rsid w:val="009D7622"/>
    <w:rsid w:val="009D77B7"/>
    <w:rsid w:val="009D7CDF"/>
    <w:rsid w:val="009D7E5A"/>
    <w:rsid w:val="009E025B"/>
    <w:rsid w:val="009E078D"/>
    <w:rsid w:val="009E14F1"/>
    <w:rsid w:val="009E16CF"/>
    <w:rsid w:val="009E1AAA"/>
    <w:rsid w:val="009E2298"/>
    <w:rsid w:val="009E25F3"/>
    <w:rsid w:val="009E2C9A"/>
    <w:rsid w:val="009E2DE1"/>
    <w:rsid w:val="009E2E51"/>
    <w:rsid w:val="009E337D"/>
    <w:rsid w:val="009E3509"/>
    <w:rsid w:val="009E373B"/>
    <w:rsid w:val="009E3E22"/>
    <w:rsid w:val="009E4009"/>
    <w:rsid w:val="009E4134"/>
    <w:rsid w:val="009E41F4"/>
    <w:rsid w:val="009E4240"/>
    <w:rsid w:val="009E42AE"/>
    <w:rsid w:val="009E4AA7"/>
    <w:rsid w:val="009E5140"/>
    <w:rsid w:val="009E523F"/>
    <w:rsid w:val="009E5BF4"/>
    <w:rsid w:val="009E60FC"/>
    <w:rsid w:val="009E62EA"/>
    <w:rsid w:val="009E6521"/>
    <w:rsid w:val="009E705D"/>
    <w:rsid w:val="009E7084"/>
    <w:rsid w:val="009E70EA"/>
    <w:rsid w:val="009E78EC"/>
    <w:rsid w:val="009E7F1F"/>
    <w:rsid w:val="009F0324"/>
    <w:rsid w:val="009F0819"/>
    <w:rsid w:val="009F23F8"/>
    <w:rsid w:val="009F2A3B"/>
    <w:rsid w:val="009F3130"/>
    <w:rsid w:val="009F3335"/>
    <w:rsid w:val="009F352A"/>
    <w:rsid w:val="009F36EA"/>
    <w:rsid w:val="009F39C1"/>
    <w:rsid w:val="009F3A48"/>
    <w:rsid w:val="009F3E06"/>
    <w:rsid w:val="009F4511"/>
    <w:rsid w:val="009F4751"/>
    <w:rsid w:val="009F4B45"/>
    <w:rsid w:val="009F4F85"/>
    <w:rsid w:val="009F52FD"/>
    <w:rsid w:val="009F573C"/>
    <w:rsid w:val="009F578F"/>
    <w:rsid w:val="009F5AA4"/>
    <w:rsid w:val="009F5C2E"/>
    <w:rsid w:val="009F6297"/>
    <w:rsid w:val="009F6547"/>
    <w:rsid w:val="009F657B"/>
    <w:rsid w:val="009F6614"/>
    <w:rsid w:val="009F798E"/>
    <w:rsid w:val="009F7F94"/>
    <w:rsid w:val="00A005B7"/>
    <w:rsid w:val="00A00755"/>
    <w:rsid w:val="00A010EC"/>
    <w:rsid w:val="00A018AA"/>
    <w:rsid w:val="00A0195B"/>
    <w:rsid w:val="00A01A79"/>
    <w:rsid w:val="00A02A1E"/>
    <w:rsid w:val="00A02B3D"/>
    <w:rsid w:val="00A0321C"/>
    <w:rsid w:val="00A039D2"/>
    <w:rsid w:val="00A03ECD"/>
    <w:rsid w:val="00A03FC1"/>
    <w:rsid w:val="00A04516"/>
    <w:rsid w:val="00A047C8"/>
    <w:rsid w:val="00A05252"/>
    <w:rsid w:val="00A05650"/>
    <w:rsid w:val="00A05B9F"/>
    <w:rsid w:val="00A05C85"/>
    <w:rsid w:val="00A05CF9"/>
    <w:rsid w:val="00A05F41"/>
    <w:rsid w:val="00A0625B"/>
    <w:rsid w:val="00A06942"/>
    <w:rsid w:val="00A06DD8"/>
    <w:rsid w:val="00A07426"/>
    <w:rsid w:val="00A103BE"/>
    <w:rsid w:val="00A10857"/>
    <w:rsid w:val="00A10861"/>
    <w:rsid w:val="00A117E3"/>
    <w:rsid w:val="00A1188B"/>
    <w:rsid w:val="00A11A51"/>
    <w:rsid w:val="00A1222C"/>
    <w:rsid w:val="00A12293"/>
    <w:rsid w:val="00A13168"/>
    <w:rsid w:val="00A13BB3"/>
    <w:rsid w:val="00A14092"/>
    <w:rsid w:val="00A14335"/>
    <w:rsid w:val="00A145E6"/>
    <w:rsid w:val="00A14835"/>
    <w:rsid w:val="00A14AB1"/>
    <w:rsid w:val="00A14E10"/>
    <w:rsid w:val="00A14EB0"/>
    <w:rsid w:val="00A15073"/>
    <w:rsid w:val="00A154B0"/>
    <w:rsid w:val="00A15788"/>
    <w:rsid w:val="00A15BE6"/>
    <w:rsid w:val="00A15F7E"/>
    <w:rsid w:val="00A165B4"/>
    <w:rsid w:val="00A1690C"/>
    <w:rsid w:val="00A16962"/>
    <w:rsid w:val="00A16B1A"/>
    <w:rsid w:val="00A16BF3"/>
    <w:rsid w:val="00A16DED"/>
    <w:rsid w:val="00A16EC7"/>
    <w:rsid w:val="00A1729D"/>
    <w:rsid w:val="00A17611"/>
    <w:rsid w:val="00A17802"/>
    <w:rsid w:val="00A17D13"/>
    <w:rsid w:val="00A17F45"/>
    <w:rsid w:val="00A2057F"/>
    <w:rsid w:val="00A20994"/>
    <w:rsid w:val="00A20CC8"/>
    <w:rsid w:val="00A21122"/>
    <w:rsid w:val="00A2138F"/>
    <w:rsid w:val="00A21608"/>
    <w:rsid w:val="00A21B87"/>
    <w:rsid w:val="00A21BA2"/>
    <w:rsid w:val="00A21CA4"/>
    <w:rsid w:val="00A223F0"/>
    <w:rsid w:val="00A226F4"/>
    <w:rsid w:val="00A22772"/>
    <w:rsid w:val="00A22778"/>
    <w:rsid w:val="00A22CAC"/>
    <w:rsid w:val="00A2309D"/>
    <w:rsid w:val="00A23691"/>
    <w:rsid w:val="00A2369D"/>
    <w:rsid w:val="00A236C3"/>
    <w:rsid w:val="00A23B39"/>
    <w:rsid w:val="00A241F3"/>
    <w:rsid w:val="00A2442E"/>
    <w:rsid w:val="00A245A0"/>
    <w:rsid w:val="00A246EB"/>
    <w:rsid w:val="00A2540B"/>
    <w:rsid w:val="00A25A81"/>
    <w:rsid w:val="00A2612B"/>
    <w:rsid w:val="00A261D5"/>
    <w:rsid w:val="00A26358"/>
    <w:rsid w:val="00A26A3F"/>
    <w:rsid w:val="00A26AA3"/>
    <w:rsid w:val="00A2769F"/>
    <w:rsid w:val="00A27845"/>
    <w:rsid w:val="00A2786A"/>
    <w:rsid w:val="00A30216"/>
    <w:rsid w:val="00A30770"/>
    <w:rsid w:val="00A308AF"/>
    <w:rsid w:val="00A30A7E"/>
    <w:rsid w:val="00A30B92"/>
    <w:rsid w:val="00A328D2"/>
    <w:rsid w:val="00A328D9"/>
    <w:rsid w:val="00A33033"/>
    <w:rsid w:val="00A33035"/>
    <w:rsid w:val="00A3384D"/>
    <w:rsid w:val="00A33918"/>
    <w:rsid w:val="00A34619"/>
    <w:rsid w:val="00A34879"/>
    <w:rsid w:val="00A35213"/>
    <w:rsid w:val="00A35233"/>
    <w:rsid w:val="00A352F6"/>
    <w:rsid w:val="00A357FC"/>
    <w:rsid w:val="00A359EF"/>
    <w:rsid w:val="00A35D38"/>
    <w:rsid w:val="00A3605B"/>
    <w:rsid w:val="00A3658B"/>
    <w:rsid w:val="00A36E8F"/>
    <w:rsid w:val="00A37692"/>
    <w:rsid w:val="00A37EDB"/>
    <w:rsid w:val="00A400A4"/>
    <w:rsid w:val="00A402DF"/>
    <w:rsid w:val="00A40D2C"/>
    <w:rsid w:val="00A40F8E"/>
    <w:rsid w:val="00A4105E"/>
    <w:rsid w:val="00A41069"/>
    <w:rsid w:val="00A411EB"/>
    <w:rsid w:val="00A418F8"/>
    <w:rsid w:val="00A41E64"/>
    <w:rsid w:val="00A422F0"/>
    <w:rsid w:val="00A42734"/>
    <w:rsid w:val="00A427D7"/>
    <w:rsid w:val="00A42AA0"/>
    <w:rsid w:val="00A42CDD"/>
    <w:rsid w:val="00A42EC5"/>
    <w:rsid w:val="00A4306C"/>
    <w:rsid w:val="00A430DF"/>
    <w:rsid w:val="00A43351"/>
    <w:rsid w:val="00A438C8"/>
    <w:rsid w:val="00A43ED5"/>
    <w:rsid w:val="00A43FDF"/>
    <w:rsid w:val="00A4436F"/>
    <w:rsid w:val="00A44581"/>
    <w:rsid w:val="00A4470E"/>
    <w:rsid w:val="00A45180"/>
    <w:rsid w:val="00A459FF"/>
    <w:rsid w:val="00A45AB7"/>
    <w:rsid w:val="00A45D1D"/>
    <w:rsid w:val="00A45DC8"/>
    <w:rsid w:val="00A45DDD"/>
    <w:rsid w:val="00A45EEF"/>
    <w:rsid w:val="00A46779"/>
    <w:rsid w:val="00A4698D"/>
    <w:rsid w:val="00A46A9D"/>
    <w:rsid w:val="00A46C79"/>
    <w:rsid w:val="00A4756E"/>
    <w:rsid w:val="00A47899"/>
    <w:rsid w:val="00A47C31"/>
    <w:rsid w:val="00A47E3B"/>
    <w:rsid w:val="00A47E7E"/>
    <w:rsid w:val="00A47F34"/>
    <w:rsid w:val="00A5018D"/>
    <w:rsid w:val="00A506FE"/>
    <w:rsid w:val="00A509B7"/>
    <w:rsid w:val="00A50F9C"/>
    <w:rsid w:val="00A510CF"/>
    <w:rsid w:val="00A512CE"/>
    <w:rsid w:val="00A5135F"/>
    <w:rsid w:val="00A513B0"/>
    <w:rsid w:val="00A51432"/>
    <w:rsid w:val="00A51508"/>
    <w:rsid w:val="00A518B5"/>
    <w:rsid w:val="00A51F7B"/>
    <w:rsid w:val="00A52324"/>
    <w:rsid w:val="00A5252A"/>
    <w:rsid w:val="00A528AD"/>
    <w:rsid w:val="00A52907"/>
    <w:rsid w:val="00A52E43"/>
    <w:rsid w:val="00A52EB4"/>
    <w:rsid w:val="00A530F8"/>
    <w:rsid w:val="00A53531"/>
    <w:rsid w:val="00A53581"/>
    <w:rsid w:val="00A536B4"/>
    <w:rsid w:val="00A53E17"/>
    <w:rsid w:val="00A541B0"/>
    <w:rsid w:val="00A54282"/>
    <w:rsid w:val="00A543AF"/>
    <w:rsid w:val="00A54493"/>
    <w:rsid w:val="00A547B2"/>
    <w:rsid w:val="00A54DDA"/>
    <w:rsid w:val="00A55819"/>
    <w:rsid w:val="00A55B60"/>
    <w:rsid w:val="00A55E59"/>
    <w:rsid w:val="00A56248"/>
    <w:rsid w:val="00A56545"/>
    <w:rsid w:val="00A56F1F"/>
    <w:rsid w:val="00A57BA7"/>
    <w:rsid w:val="00A6034B"/>
    <w:rsid w:val="00A60809"/>
    <w:rsid w:val="00A609D9"/>
    <w:rsid w:val="00A60A83"/>
    <w:rsid w:val="00A60BC4"/>
    <w:rsid w:val="00A60C62"/>
    <w:rsid w:val="00A6130C"/>
    <w:rsid w:val="00A61604"/>
    <w:rsid w:val="00A61DF4"/>
    <w:rsid w:val="00A62121"/>
    <w:rsid w:val="00A62C04"/>
    <w:rsid w:val="00A62D33"/>
    <w:rsid w:val="00A62EFA"/>
    <w:rsid w:val="00A6306C"/>
    <w:rsid w:val="00A63647"/>
    <w:rsid w:val="00A6384E"/>
    <w:rsid w:val="00A64906"/>
    <w:rsid w:val="00A64B74"/>
    <w:rsid w:val="00A64C4C"/>
    <w:rsid w:val="00A650A5"/>
    <w:rsid w:val="00A650D1"/>
    <w:rsid w:val="00A65DCA"/>
    <w:rsid w:val="00A661E3"/>
    <w:rsid w:val="00A66785"/>
    <w:rsid w:val="00A67255"/>
    <w:rsid w:val="00A67256"/>
    <w:rsid w:val="00A6768F"/>
    <w:rsid w:val="00A67798"/>
    <w:rsid w:val="00A67C99"/>
    <w:rsid w:val="00A67CEC"/>
    <w:rsid w:val="00A67FE1"/>
    <w:rsid w:val="00A70040"/>
    <w:rsid w:val="00A701AE"/>
    <w:rsid w:val="00A70D23"/>
    <w:rsid w:val="00A70FDF"/>
    <w:rsid w:val="00A71412"/>
    <w:rsid w:val="00A71780"/>
    <w:rsid w:val="00A71C33"/>
    <w:rsid w:val="00A72080"/>
    <w:rsid w:val="00A7211E"/>
    <w:rsid w:val="00A7238C"/>
    <w:rsid w:val="00A72E9C"/>
    <w:rsid w:val="00A73009"/>
    <w:rsid w:val="00A730FF"/>
    <w:rsid w:val="00A732D8"/>
    <w:rsid w:val="00A738DF"/>
    <w:rsid w:val="00A73B9F"/>
    <w:rsid w:val="00A740C8"/>
    <w:rsid w:val="00A74EAD"/>
    <w:rsid w:val="00A74ED2"/>
    <w:rsid w:val="00A74F54"/>
    <w:rsid w:val="00A75F39"/>
    <w:rsid w:val="00A760F8"/>
    <w:rsid w:val="00A76226"/>
    <w:rsid w:val="00A76688"/>
    <w:rsid w:val="00A7682E"/>
    <w:rsid w:val="00A76EB8"/>
    <w:rsid w:val="00A77016"/>
    <w:rsid w:val="00A8015E"/>
    <w:rsid w:val="00A8049B"/>
    <w:rsid w:val="00A806D9"/>
    <w:rsid w:val="00A80741"/>
    <w:rsid w:val="00A80E8D"/>
    <w:rsid w:val="00A810CA"/>
    <w:rsid w:val="00A81471"/>
    <w:rsid w:val="00A81889"/>
    <w:rsid w:val="00A82031"/>
    <w:rsid w:val="00A8228E"/>
    <w:rsid w:val="00A824B3"/>
    <w:rsid w:val="00A83522"/>
    <w:rsid w:val="00A8368F"/>
    <w:rsid w:val="00A83B30"/>
    <w:rsid w:val="00A840B8"/>
    <w:rsid w:val="00A8457A"/>
    <w:rsid w:val="00A84A04"/>
    <w:rsid w:val="00A84C6A"/>
    <w:rsid w:val="00A84CC8"/>
    <w:rsid w:val="00A84D57"/>
    <w:rsid w:val="00A85FDD"/>
    <w:rsid w:val="00A86396"/>
    <w:rsid w:val="00A874D6"/>
    <w:rsid w:val="00A877C8"/>
    <w:rsid w:val="00A87ABA"/>
    <w:rsid w:val="00A87ED1"/>
    <w:rsid w:val="00A87EE2"/>
    <w:rsid w:val="00A913E8"/>
    <w:rsid w:val="00A91531"/>
    <w:rsid w:val="00A917B7"/>
    <w:rsid w:val="00A91A36"/>
    <w:rsid w:val="00A91F73"/>
    <w:rsid w:val="00A9244D"/>
    <w:rsid w:val="00A92D27"/>
    <w:rsid w:val="00A92E6A"/>
    <w:rsid w:val="00A93350"/>
    <w:rsid w:val="00A93AF2"/>
    <w:rsid w:val="00A94659"/>
    <w:rsid w:val="00A94AE8"/>
    <w:rsid w:val="00A94F9C"/>
    <w:rsid w:val="00A95706"/>
    <w:rsid w:val="00A96B05"/>
    <w:rsid w:val="00A96DA2"/>
    <w:rsid w:val="00A97253"/>
    <w:rsid w:val="00A973E9"/>
    <w:rsid w:val="00A97D11"/>
    <w:rsid w:val="00AA0327"/>
    <w:rsid w:val="00AA034E"/>
    <w:rsid w:val="00AA041A"/>
    <w:rsid w:val="00AA081E"/>
    <w:rsid w:val="00AA136D"/>
    <w:rsid w:val="00AA16B7"/>
    <w:rsid w:val="00AA18A3"/>
    <w:rsid w:val="00AA1A8E"/>
    <w:rsid w:val="00AA222A"/>
    <w:rsid w:val="00AA26A5"/>
    <w:rsid w:val="00AA2BDB"/>
    <w:rsid w:val="00AA30BA"/>
    <w:rsid w:val="00AA30C1"/>
    <w:rsid w:val="00AA3727"/>
    <w:rsid w:val="00AA37AB"/>
    <w:rsid w:val="00AA3AF7"/>
    <w:rsid w:val="00AA4660"/>
    <w:rsid w:val="00AA47BA"/>
    <w:rsid w:val="00AA5768"/>
    <w:rsid w:val="00AA57C8"/>
    <w:rsid w:val="00AA5BA7"/>
    <w:rsid w:val="00AA5BF5"/>
    <w:rsid w:val="00AA603F"/>
    <w:rsid w:val="00AA624B"/>
    <w:rsid w:val="00AA6C96"/>
    <w:rsid w:val="00AA74F2"/>
    <w:rsid w:val="00AA7B24"/>
    <w:rsid w:val="00AA7B7E"/>
    <w:rsid w:val="00AA7CF9"/>
    <w:rsid w:val="00AA7E66"/>
    <w:rsid w:val="00AB005F"/>
    <w:rsid w:val="00AB018B"/>
    <w:rsid w:val="00AB0889"/>
    <w:rsid w:val="00AB1646"/>
    <w:rsid w:val="00AB19CF"/>
    <w:rsid w:val="00AB1B39"/>
    <w:rsid w:val="00AB1BBB"/>
    <w:rsid w:val="00AB1C20"/>
    <w:rsid w:val="00AB1C58"/>
    <w:rsid w:val="00AB1D66"/>
    <w:rsid w:val="00AB2809"/>
    <w:rsid w:val="00AB2AB4"/>
    <w:rsid w:val="00AB2DCD"/>
    <w:rsid w:val="00AB2E73"/>
    <w:rsid w:val="00AB3914"/>
    <w:rsid w:val="00AB3B9F"/>
    <w:rsid w:val="00AB452E"/>
    <w:rsid w:val="00AB4593"/>
    <w:rsid w:val="00AB489D"/>
    <w:rsid w:val="00AB48A6"/>
    <w:rsid w:val="00AB4A4F"/>
    <w:rsid w:val="00AB4ED0"/>
    <w:rsid w:val="00AB51BE"/>
    <w:rsid w:val="00AB5288"/>
    <w:rsid w:val="00AB5382"/>
    <w:rsid w:val="00AB58CB"/>
    <w:rsid w:val="00AB5E5D"/>
    <w:rsid w:val="00AB693A"/>
    <w:rsid w:val="00AB6E41"/>
    <w:rsid w:val="00AB70ED"/>
    <w:rsid w:val="00AB7232"/>
    <w:rsid w:val="00AB7ADB"/>
    <w:rsid w:val="00AC0470"/>
    <w:rsid w:val="00AC05FD"/>
    <w:rsid w:val="00AC0B53"/>
    <w:rsid w:val="00AC0E5D"/>
    <w:rsid w:val="00AC1197"/>
    <w:rsid w:val="00AC1545"/>
    <w:rsid w:val="00AC182F"/>
    <w:rsid w:val="00AC1DAC"/>
    <w:rsid w:val="00AC25B6"/>
    <w:rsid w:val="00AC28EC"/>
    <w:rsid w:val="00AC4181"/>
    <w:rsid w:val="00AC45E6"/>
    <w:rsid w:val="00AC4626"/>
    <w:rsid w:val="00AC463A"/>
    <w:rsid w:val="00AC4774"/>
    <w:rsid w:val="00AC47EB"/>
    <w:rsid w:val="00AC480A"/>
    <w:rsid w:val="00AC4B67"/>
    <w:rsid w:val="00AC50D9"/>
    <w:rsid w:val="00AC5108"/>
    <w:rsid w:val="00AC58D7"/>
    <w:rsid w:val="00AC5B50"/>
    <w:rsid w:val="00AC5BCC"/>
    <w:rsid w:val="00AC6AF2"/>
    <w:rsid w:val="00AC6D27"/>
    <w:rsid w:val="00AC7184"/>
    <w:rsid w:val="00AC72A4"/>
    <w:rsid w:val="00AC7B86"/>
    <w:rsid w:val="00AC7CCF"/>
    <w:rsid w:val="00AC7DBE"/>
    <w:rsid w:val="00AC7EE8"/>
    <w:rsid w:val="00AD010B"/>
    <w:rsid w:val="00AD07C5"/>
    <w:rsid w:val="00AD1298"/>
    <w:rsid w:val="00AD210D"/>
    <w:rsid w:val="00AD2C7D"/>
    <w:rsid w:val="00AD34F2"/>
    <w:rsid w:val="00AD3760"/>
    <w:rsid w:val="00AD38CE"/>
    <w:rsid w:val="00AD3FE0"/>
    <w:rsid w:val="00AD4416"/>
    <w:rsid w:val="00AD45A9"/>
    <w:rsid w:val="00AD475A"/>
    <w:rsid w:val="00AD4AFB"/>
    <w:rsid w:val="00AD4DF3"/>
    <w:rsid w:val="00AD5054"/>
    <w:rsid w:val="00AD541F"/>
    <w:rsid w:val="00AD63B4"/>
    <w:rsid w:val="00AD6640"/>
    <w:rsid w:val="00AD66B9"/>
    <w:rsid w:val="00AD74A4"/>
    <w:rsid w:val="00AD75F8"/>
    <w:rsid w:val="00AD7B48"/>
    <w:rsid w:val="00AE0226"/>
    <w:rsid w:val="00AE0236"/>
    <w:rsid w:val="00AE04AB"/>
    <w:rsid w:val="00AE0E58"/>
    <w:rsid w:val="00AE1704"/>
    <w:rsid w:val="00AE1776"/>
    <w:rsid w:val="00AE1985"/>
    <w:rsid w:val="00AE2331"/>
    <w:rsid w:val="00AE2EF2"/>
    <w:rsid w:val="00AE36B5"/>
    <w:rsid w:val="00AE3CEC"/>
    <w:rsid w:val="00AE439D"/>
    <w:rsid w:val="00AE460F"/>
    <w:rsid w:val="00AE46D7"/>
    <w:rsid w:val="00AE5348"/>
    <w:rsid w:val="00AE5485"/>
    <w:rsid w:val="00AE5D9A"/>
    <w:rsid w:val="00AE6894"/>
    <w:rsid w:val="00AE6B17"/>
    <w:rsid w:val="00AE6CE1"/>
    <w:rsid w:val="00AE6EAD"/>
    <w:rsid w:val="00AE767E"/>
    <w:rsid w:val="00AE7D2C"/>
    <w:rsid w:val="00AF0001"/>
    <w:rsid w:val="00AF0042"/>
    <w:rsid w:val="00AF03A2"/>
    <w:rsid w:val="00AF055E"/>
    <w:rsid w:val="00AF059F"/>
    <w:rsid w:val="00AF094B"/>
    <w:rsid w:val="00AF0EE1"/>
    <w:rsid w:val="00AF126E"/>
    <w:rsid w:val="00AF1444"/>
    <w:rsid w:val="00AF1ADF"/>
    <w:rsid w:val="00AF220F"/>
    <w:rsid w:val="00AF238A"/>
    <w:rsid w:val="00AF3C69"/>
    <w:rsid w:val="00AF3E00"/>
    <w:rsid w:val="00AF40D5"/>
    <w:rsid w:val="00AF42DF"/>
    <w:rsid w:val="00AF4830"/>
    <w:rsid w:val="00AF4968"/>
    <w:rsid w:val="00AF4EF7"/>
    <w:rsid w:val="00AF4F53"/>
    <w:rsid w:val="00AF5909"/>
    <w:rsid w:val="00AF5ECD"/>
    <w:rsid w:val="00AF5F7E"/>
    <w:rsid w:val="00AF6293"/>
    <w:rsid w:val="00AF677E"/>
    <w:rsid w:val="00AF75A2"/>
    <w:rsid w:val="00AF7803"/>
    <w:rsid w:val="00AF7E23"/>
    <w:rsid w:val="00B000DA"/>
    <w:rsid w:val="00B00602"/>
    <w:rsid w:val="00B00628"/>
    <w:rsid w:val="00B00B79"/>
    <w:rsid w:val="00B00D77"/>
    <w:rsid w:val="00B00E5C"/>
    <w:rsid w:val="00B01162"/>
    <w:rsid w:val="00B01237"/>
    <w:rsid w:val="00B01663"/>
    <w:rsid w:val="00B01824"/>
    <w:rsid w:val="00B01AB0"/>
    <w:rsid w:val="00B024CE"/>
    <w:rsid w:val="00B0262D"/>
    <w:rsid w:val="00B026EE"/>
    <w:rsid w:val="00B0271C"/>
    <w:rsid w:val="00B027B3"/>
    <w:rsid w:val="00B02AE0"/>
    <w:rsid w:val="00B02DB7"/>
    <w:rsid w:val="00B03754"/>
    <w:rsid w:val="00B038A8"/>
    <w:rsid w:val="00B038AC"/>
    <w:rsid w:val="00B03D5A"/>
    <w:rsid w:val="00B03DEE"/>
    <w:rsid w:val="00B04229"/>
    <w:rsid w:val="00B0443C"/>
    <w:rsid w:val="00B048AA"/>
    <w:rsid w:val="00B04ACB"/>
    <w:rsid w:val="00B04B9D"/>
    <w:rsid w:val="00B05620"/>
    <w:rsid w:val="00B05E96"/>
    <w:rsid w:val="00B0666D"/>
    <w:rsid w:val="00B066B4"/>
    <w:rsid w:val="00B069C4"/>
    <w:rsid w:val="00B06A59"/>
    <w:rsid w:val="00B07105"/>
    <w:rsid w:val="00B07266"/>
    <w:rsid w:val="00B07ACB"/>
    <w:rsid w:val="00B07B22"/>
    <w:rsid w:val="00B10DF6"/>
    <w:rsid w:val="00B117E5"/>
    <w:rsid w:val="00B11D7C"/>
    <w:rsid w:val="00B11EAA"/>
    <w:rsid w:val="00B11F1B"/>
    <w:rsid w:val="00B120A5"/>
    <w:rsid w:val="00B122C8"/>
    <w:rsid w:val="00B12809"/>
    <w:rsid w:val="00B128F5"/>
    <w:rsid w:val="00B12B19"/>
    <w:rsid w:val="00B13149"/>
    <w:rsid w:val="00B1314F"/>
    <w:rsid w:val="00B131B4"/>
    <w:rsid w:val="00B1402F"/>
    <w:rsid w:val="00B145E8"/>
    <w:rsid w:val="00B14CD7"/>
    <w:rsid w:val="00B14DF1"/>
    <w:rsid w:val="00B169D3"/>
    <w:rsid w:val="00B1757E"/>
    <w:rsid w:val="00B175D5"/>
    <w:rsid w:val="00B1777F"/>
    <w:rsid w:val="00B204F4"/>
    <w:rsid w:val="00B20591"/>
    <w:rsid w:val="00B205A7"/>
    <w:rsid w:val="00B209FE"/>
    <w:rsid w:val="00B214BE"/>
    <w:rsid w:val="00B21C80"/>
    <w:rsid w:val="00B21E29"/>
    <w:rsid w:val="00B21F98"/>
    <w:rsid w:val="00B2206C"/>
    <w:rsid w:val="00B22BE4"/>
    <w:rsid w:val="00B22F52"/>
    <w:rsid w:val="00B22F9A"/>
    <w:rsid w:val="00B2304B"/>
    <w:rsid w:val="00B23160"/>
    <w:rsid w:val="00B24A57"/>
    <w:rsid w:val="00B24B5D"/>
    <w:rsid w:val="00B24D92"/>
    <w:rsid w:val="00B251FA"/>
    <w:rsid w:val="00B25323"/>
    <w:rsid w:val="00B25711"/>
    <w:rsid w:val="00B25CDF"/>
    <w:rsid w:val="00B25ED9"/>
    <w:rsid w:val="00B26507"/>
    <w:rsid w:val="00B26711"/>
    <w:rsid w:val="00B2696B"/>
    <w:rsid w:val="00B26E4C"/>
    <w:rsid w:val="00B2705A"/>
    <w:rsid w:val="00B27506"/>
    <w:rsid w:val="00B279AD"/>
    <w:rsid w:val="00B27B65"/>
    <w:rsid w:val="00B30850"/>
    <w:rsid w:val="00B30BF6"/>
    <w:rsid w:val="00B313FC"/>
    <w:rsid w:val="00B31403"/>
    <w:rsid w:val="00B3140C"/>
    <w:rsid w:val="00B315E3"/>
    <w:rsid w:val="00B31C63"/>
    <w:rsid w:val="00B31DDD"/>
    <w:rsid w:val="00B3202F"/>
    <w:rsid w:val="00B32055"/>
    <w:rsid w:val="00B33850"/>
    <w:rsid w:val="00B3425C"/>
    <w:rsid w:val="00B34585"/>
    <w:rsid w:val="00B34BCF"/>
    <w:rsid w:val="00B34CD8"/>
    <w:rsid w:val="00B34E89"/>
    <w:rsid w:val="00B36033"/>
    <w:rsid w:val="00B362A9"/>
    <w:rsid w:val="00B363C9"/>
    <w:rsid w:val="00B36696"/>
    <w:rsid w:val="00B36764"/>
    <w:rsid w:val="00B36AA4"/>
    <w:rsid w:val="00B36B0B"/>
    <w:rsid w:val="00B36F59"/>
    <w:rsid w:val="00B36FB1"/>
    <w:rsid w:val="00B379A0"/>
    <w:rsid w:val="00B37B04"/>
    <w:rsid w:val="00B402C0"/>
    <w:rsid w:val="00B40541"/>
    <w:rsid w:val="00B4066E"/>
    <w:rsid w:val="00B40B19"/>
    <w:rsid w:val="00B40CFB"/>
    <w:rsid w:val="00B40D07"/>
    <w:rsid w:val="00B410C8"/>
    <w:rsid w:val="00B41B80"/>
    <w:rsid w:val="00B42472"/>
    <w:rsid w:val="00B42616"/>
    <w:rsid w:val="00B4281A"/>
    <w:rsid w:val="00B429A7"/>
    <w:rsid w:val="00B42B5E"/>
    <w:rsid w:val="00B4345D"/>
    <w:rsid w:val="00B43865"/>
    <w:rsid w:val="00B4409D"/>
    <w:rsid w:val="00B44226"/>
    <w:rsid w:val="00B44762"/>
    <w:rsid w:val="00B44C01"/>
    <w:rsid w:val="00B452FD"/>
    <w:rsid w:val="00B45343"/>
    <w:rsid w:val="00B457C8"/>
    <w:rsid w:val="00B4647F"/>
    <w:rsid w:val="00B472CE"/>
    <w:rsid w:val="00B473A5"/>
    <w:rsid w:val="00B475A1"/>
    <w:rsid w:val="00B47959"/>
    <w:rsid w:val="00B505AF"/>
    <w:rsid w:val="00B51B44"/>
    <w:rsid w:val="00B52625"/>
    <w:rsid w:val="00B528C1"/>
    <w:rsid w:val="00B53E84"/>
    <w:rsid w:val="00B54916"/>
    <w:rsid w:val="00B54A96"/>
    <w:rsid w:val="00B55071"/>
    <w:rsid w:val="00B550F8"/>
    <w:rsid w:val="00B5589A"/>
    <w:rsid w:val="00B5589E"/>
    <w:rsid w:val="00B55EFD"/>
    <w:rsid w:val="00B562DA"/>
    <w:rsid w:val="00B56564"/>
    <w:rsid w:val="00B566BE"/>
    <w:rsid w:val="00B5686D"/>
    <w:rsid w:val="00B57379"/>
    <w:rsid w:val="00B5787F"/>
    <w:rsid w:val="00B57B3D"/>
    <w:rsid w:val="00B57FC6"/>
    <w:rsid w:val="00B6029E"/>
    <w:rsid w:val="00B60519"/>
    <w:rsid w:val="00B606D8"/>
    <w:rsid w:val="00B6128D"/>
    <w:rsid w:val="00B61474"/>
    <w:rsid w:val="00B614AB"/>
    <w:rsid w:val="00B6157D"/>
    <w:rsid w:val="00B620F4"/>
    <w:rsid w:val="00B6226C"/>
    <w:rsid w:val="00B62642"/>
    <w:rsid w:val="00B62827"/>
    <w:rsid w:val="00B633A4"/>
    <w:rsid w:val="00B6376A"/>
    <w:rsid w:val="00B6380A"/>
    <w:rsid w:val="00B63B36"/>
    <w:rsid w:val="00B643F1"/>
    <w:rsid w:val="00B6482B"/>
    <w:rsid w:val="00B64FAF"/>
    <w:rsid w:val="00B652CF"/>
    <w:rsid w:val="00B657C2"/>
    <w:rsid w:val="00B65F43"/>
    <w:rsid w:val="00B66855"/>
    <w:rsid w:val="00B668C6"/>
    <w:rsid w:val="00B66B11"/>
    <w:rsid w:val="00B67581"/>
    <w:rsid w:val="00B676FF"/>
    <w:rsid w:val="00B67953"/>
    <w:rsid w:val="00B67C75"/>
    <w:rsid w:val="00B70502"/>
    <w:rsid w:val="00B706A7"/>
    <w:rsid w:val="00B70E0A"/>
    <w:rsid w:val="00B71C58"/>
    <w:rsid w:val="00B72480"/>
    <w:rsid w:val="00B726D9"/>
    <w:rsid w:val="00B72C70"/>
    <w:rsid w:val="00B73006"/>
    <w:rsid w:val="00B73764"/>
    <w:rsid w:val="00B75347"/>
    <w:rsid w:val="00B75441"/>
    <w:rsid w:val="00B759E3"/>
    <w:rsid w:val="00B76831"/>
    <w:rsid w:val="00B772AC"/>
    <w:rsid w:val="00B77343"/>
    <w:rsid w:val="00B77934"/>
    <w:rsid w:val="00B77D91"/>
    <w:rsid w:val="00B802D7"/>
    <w:rsid w:val="00B80319"/>
    <w:rsid w:val="00B8067F"/>
    <w:rsid w:val="00B806E1"/>
    <w:rsid w:val="00B80D5A"/>
    <w:rsid w:val="00B81133"/>
    <w:rsid w:val="00B818C2"/>
    <w:rsid w:val="00B81A41"/>
    <w:rsid w:val="00B81AD9"/>
    <w:rsid w:val="00B82006"/>
    <w:rsid w:val="00B82EAE"/>
    <w:rsid w:val="00B8324A"/>
    <w:rsid w:val="00B8361B"/>
    <w:rsid w:val="00B83882"/>
    <w:rsid w:val="00B83D22"/>
    <w:rsid w:val="00B83D34"/>
    <w:rsid w:val="00B84420"/>
    <w:rsid w:val="00B8484D"/>
    <w:rsid w:val="00B84CE6"/>
    <w:rsid w:val="00B85128"/>
    <w:rsid w:val="00B852B4"/>
    <w:rsid w:val="00B857C0"/>
    <w:rsid w:val="00B86279"/>
    <w:rsid w:val="00B8682F"/>
    <w:rsid w:val="00B8684B"/>
    <w:rsid w:val="00B86C89"/>
    <w:rsid w:val="00B86D97"/>
    <w:rsid w:val="00B86F27"/>
    <w:rsid w:val="00B878A5"/>
    <w:rsid w:val="00B87A79"/>
    <w:rsid w:val="00B87B14"/>
    <w:rsid w:val="00B902BA"/>
    <w:rsid w:val="00B90E03"/>
    <w:rsid w:val="00B91678"/>
    <w:rsid w:val="00B9178D"/>
    <w:rsid w:val="00B918EB"/>
    <w:rsid w:val="00B91FDC"/>
    <w:rsid w:val="00B923AB"/>
    <w:rsid w:val="00B927DE"/>
    <w:rsid w:val="00B92AFF"/>
    <w:rsid w:val="00B92B11"/>
    <w:rsid w:val="00B92CD7"/>
    <w:rsid w:val="00B9322D"/>
    <w:rsid w:val="00B93246"/>
    <w:rsid w:val="00B9347C"/>
    <w:rsid w:val="00B93C88"/>
    <w:rsid w:val="00B94459"/>
    <w:rsid w:val="00B94640"/>
    <w:rsid w:val="00B948A3"/>
    <w:rsid w:val="00B94B49"/>
    <w:rsid w:val="00B94BFE"/>
    <w:rsid w:val="00B94F61"/>
    <w:rsid w:val="00B95681"/>
    <w:rsid w:val="00B9584F"/>
    <w:rsid w:val="00B95853"/>
    <w:rsid w:val="00B95921"/>
    <w:rsid w:val="00B95C56"/>
    <w:rsid w:val="00B961D0"/>
    <w:rsid w:val="00B9684D"/>
    <w:rsid w:val="00B96941"/>
    <w:rsid w:val="00B9709C"/>
    <w:rsid w:val="00B978A8"/>
    <w:rsid w:val="00B97DD5"/>
    <w:rsid w:val="00BA0151"/>
    <w:rsid w:val="00BA065F"/>
    <w:rsid w:val="00BA0754"/>
    <w:rsid w:val="00BA09CB"/>
    <w:rsid w:val="00BA0C91"/>
    <w:rsid w:val="00BA1229"/>
    <w:rsid w:val="00BA12FB"/>
    <w:rsid w:val="00BA173C"/>
    <w:rsid w:val="00BA186E"/>
    <w:rsid w:val="00BA19A5"/>
    <w:rsid w:val="00BA1C57"/>
    <w:rsid w:val="00BA1CA1"/>
    <w:rsid w:val="00BA1FC7"/>
    <w:rsid w:val="00BA2064"/>
    <w:rsid w:val="00BA2427"/>
    <w:rsid w:val="00BA24B4"/>
    <w:rsid w:val="00BA2883"/>
    <w:rsid w:val="00BA2B90"/>
    <w:rsid w:val="00BA2DC9"/>
    <w:rsid w:val="00BA3420"/>
    <w:rsid w:val="00BA3F0C"/>
    <w:rsid w:val="00BA4118"/>
    <w:rsid w:val="00BA44D0"/>
    <w:rsid w:val="00BA47C5"/>
    <w:rsid w:val="00BA5067"/>
    <w:rsid w:val="00BA51B9"/>
    <w:rsid w:val="00BA520D"/>
    <w:rsid w:val="00BA6112"/>
    <w:rsid w:val="00BA63D8"/>
    <w:rsid w:val="00BA6859"/>
    <w:rsid w:val="00BA6D64"/>
    <w:rsid w:val="00BA7192"/>
    <w:rsid w:val="00BA72D2"/>
    <w:rsid w:val="00BA7651"/>
    <w:rsid w:val="00BB000D"/>
    <w:rsid w:val="00BB0076"/>
    <w:rsid w:val="00BB0958"/>
    <w:rsid w:val="00BB0EA1"/>
    <w:rsid w:val="00BB1070"/>
    <w:rsid w:val="00BB118C"/>
    <w:rsid w:val="00BB15B5"/>
    <w:rsid w:val="00BB172B"/>
    <w:rsid w:val="00BB1880"/>
    <w:rsid w:val="00BB1F4D"/>
    <w:rsid w:val="00BB2731"/>
    <w:rsid w:val="00BB27A6"/>
    <w:rsid w:val="00BB2E97"/>
    <w:rsid w:val="00BB32CB"/>
    <w:rsid w:val="00BB39F8"/>
    <w:rsid w:val="00BB40C2"/>
    <w:rsid w:val="00BB439B"/>
    <w:rsid w:val="00BB45D0"/>
    <w:rsid w:val="00BB4B25"/>
    <w:rsid w:val="00BB4F2E"/>
    <w:rsid w:val="00BB4F39"/>
    <w:rsid w:val="00BB53A2"/>
    <w:rsid w:val="00BB5FF0"/>
    <w:rsid w:val="00BB6094"/>
    <w:rsid w:val="00BB60CC"/>
    <w:rsid w:val="00BB6A35"/>
    <w:rsid w:val="00BB6B1D"/>
    <w:rsid w:val="00BB6CC4"/>
    <w:rsid w:val="00BB789C"/>
    <w:rsid w:val="00BB7FA9"/>
    <w:rsid w:val="00BC0243"/>
    <w:rsid w:val="00BC0AF2"/>
    <w:rsid w:val="00BC1219"/>
    <w:rsid w:val="00BC13F2"/>
    <w:rsid w:val="00BC15B1"/>
    <w:rsid w:val="00BC1B09"/>
    <w:rsid w:val="00BC1C34"/>
    <w:rsid w:val="00BC1D32"/>
    <w:rsid w:val="00BC20D9"/>
    <w:rsid w:val="00BC2759"/>
    <w:rsid w:val="00BC313F"/>
    <w:rsid w:val="00BC366E"/>
    <w:rsid w:val="00BC4167"/>
    <w:rsid w:val="00BC4B89"/>
    <w:rsid w:val="00BC4C26"/>
    <w:rsid w:val="00BC5AAB"/>
    <w:rsid w:val="00BC5B98"/>
    <w:rsid w:val="00BC5D0A"/>
    <w:rsid w:val="00BC5FCE"/>
    <w:rsid w:val="00BC6077"/>
    <w:rsid w:val="00BC6867"/>
    <w:rsid w:val="00BC6A1F"/>
    <w:rsid w:val="00BC6B3D"/>
    <w:rsid w:val="00BC6E05"/>
    <w:rsid w:val="00BC73A2"/>
    <w:rsid w:val="00BC73A6"/>
    <w:rsid w:val="00BC7886"/>
    <w:rsid w:val="00BC7ACB"/>
    <w:rsid w:val="00BC7E72"/>
    <w:rsid w:val="00BC7EE9"/>
    <w:rsid w:val="00BD00BE"/>
    <w:rsid w:val="00BD0553"/>
    <w:rsid w:val="00BD0649"/>
    <w:rsid w:val="00BD06DF"/>
    <w:rsid w:val="00BD0953"/>
    <w:rsid w:val="00BD0C14"/>
    <w:rsid w:val="00BD16F5"/>
    <w:rsid w:val="00BD181A"/>
    <w:rsid w:val="00BD1D19"/>
    <w:rsid w:val="00BD229E"/>
    <w:rsid w:val="00BD27B5"/>
    <w:rsid w:val="00BD2B3A"/>
    <w:rsid w:val="00BD3D87"/>
    <w:rsid w:val="00BD40F2"/>
    <w:rsid w:val="00BD41AE"/>
    <w:rsid w:val="00BD445E"/>
    <w:rsid w:val="00BD4C56"/>
    <w:rsid w:val="00BD56B7"/>
    <w:rsid w:val="00BD56F2"/>
    <w:rsid w:val="00BD5914"/>
    <w:rsid w:val="00BD5AA0"/>
    <w:rsid w:val="00BD6560"/>
    <w:rsid w:val="00BD6B56"/>
    <w:rsid w:val="00BD7CA5"/>
    <w:rsid w:val="00BE001B"/>
    <w:rsid w:val="00BE0821"/>
    <w:rsid w:val="00BE0A17"/>
    <w:rsid w:val="00BE0D2E"/>
    <w:rsid w:val="00BE1931"/>
    <w:rsid w:val="00BE1CC4"/>
    <w:rsid w:val="00BE2273"/>
    <w:rsid w:val="00BE2441"/>
    <w:rsid w:val="00BE2F0C"/>
    <w:rsid w:val="00BE350A"/>
    <w:rsid w:val="00BE3886"/>
    <w:rsid w:val="00BE3F0E"/>
    <w:rsid w:val="00BE42A2"/>
    <w:rsid w:val="00BE4373"/>
    <w:rsid w:val="00BE457F"/>
    <w:rsid w:val="00BE486E"/>
    <w:rsid w:val="00BE4A5E"/>
    <w:rsid w:val="00BE4EAB"/>
    <w:rsid w:val="00BE549C"/>
    <w:rsid w:val="00BE58B4"/>
    <w:rsid w:val="00BE5EC7"/>
    <w:rsid w:val="00BE6B1B"/>
    <w:rsid w:val="00BE6B8A"/>
    <w:rsid w:val="00BE6E10"/>
    <w:rsid w:val="00BE7B01"/>
    <w:rsid w:val="00BE7C7F"/>
    <w:rsid w:val="00BF0169"/>
    <w:rsid w:val="00BF045E"/>
    <w:rsid w:val="00BF06C4"/>
    <w:rsid w:val="00BF08F4"/>
    <w:rsid w:val="00BF0E14"/>
    <w:rsid w:val="00BF0EB9"/>
    <w:rsid w:val="00BF11C1"/>
    <w:rsid w:val="00BF19EB"/>
    <w:rsid w:val="00BF1C11"/>
    <w:rsid w:val="00BF259C"/>
    <w:rsid w:val="00BF3025"/>
    <w:rsid w:val="00BF3188"/>
    <w:rsid w:val="00BF3372"/>
    <w:rsid w:val="00BF33E7"/>
    <w:rsid w:val="00BF3489"/>
    <w:rsid w:val="00BF389E"/>
    <w:rsid w:val="00BF3A57"/>
    <w:rsid w:val="00BF410C"/>
    <w:rsid w:val="00BF459F"/>
    <w:rsid w:val="00BF48B5"/>
    <w:rsid w:val="00BF4A21"/>
    <w:rsid w:val="00BF505D"/>
    <w:rsid w:val="00BF51C7"/>
    <w:rsid w:val="00BF547B"/>
    <w:rsid w:val="00BF54DC"/>
    <w:rsid w:val="00BF5DAC"/>
    <w:rsid w:val="00BF6B9E"/>
    <w:rsid w:val="00BF7676"/>
    <w:rsid w:val="00BF7BEA"/>
    <w:rsid w:val="00BF7C7C"/>
    <w:rsid w:val="00C0050B"/>
    <w:rsid w:val="00C00AD6"/>
    <w:rsid w:val="00C01390"/>
    <w:rsid w:val="00C01450"/>
    <w:rsid w:val="00C01BC5"/>
    <w:rsid w:val="00C01FF4"/>
    <w:rsid w:val="00C02172"/>
    <w:rsid w:val="00C0273B"/>
    <w:rsid w:val="00C028B6"/>
    <w:rsid w:val="00C02BD0"/>
    <w:rsid w:val="00C02ED0"/>
    <w:rsid w:val="00C03136"/>
    <w:rsid w:val="00C031D6"/>
    <w:rsid w:val="00C03BD9"/>
    <w:rsid w:val="00C04A51"/>
    <w:rsid w:val="00C04DB9"/>
    <w:rsid w:val="00C04EF6"/>
    <w:rsid w:val="00C05491"/>
    <w:rsid w:val="00C062A1"/>
    <w:rsid w:val="00C06911"/>
    <w:rsid w:val="00C06B37"/>
    <w:rsid w:val="00C06CDE"/>
    <w:rsid w:val="00C071CE"/>
    <w:rsid w:val="00C10A63"/>
    <w:rsid w:val="00C10F38"/>
    <w:rsid w:val="00C10FD6"/>
    <w:rsid w:val="00C114A8"/>
    <w:rsid w:val="00C11621"/>
    <w:rsid w:val="00C11CCD"/>
    <w:rsid w:val="00C11D6E"/>
    <w:rsid w:val="00C11E3E"/>
    <w:rsid w:val="00C1229A"/>
    <w:rsid w:val="00C13091"/>
    <w:rsid w:val="00C134AD"/>
    <w:rsid w:val="00C134E1"/>
    <w:rsid w:val="00C13658"/>
    <w:rsid w:val="00C14330"/>
    <w:rsid w:val="00C14B68"/>
    <w:rsid w:val="00C15201"/>
    <w:rsid w:val="00C1551A"/>
    <w:rsid w:val="00C162C8"/>
    <w:rsid w:val="00C1649D"/>
    <w:rsid w:val="00C16503"/>
    <w:rsid w:val="00C16890"/>
    <w:rsid w:val="00C16E77"/>
    <w:rsid w:val="00C17085"/>
    <w:rsid w:val="00C172C9"/>
    <w:rsid w:val="00C172CE"/>
    <w:rsid w:val="00C176EB"/>
    <w:rsid w:val="00C177B4"/>
    <w:rsid w:val="00C17870"/>
    <w:rsid w:val="00C17FBE"/>
    <w:rsid w:val="00C21297"/>
    <w:rsid w:val="00C2155D"/>
    <w:rsid w:val="00C21F25"/>
    <w:rsid w:val="00C22B41"/>
    <w:rsid w:val="00C22F48"/>
    <w:rsid w:val="00C234E2"/>
    <w:rsid w:val="00C236AE"/>
    <w:rsid w:val="00C23C31"/>
    <w:rsid w:val="00C24224"/>
    <w:rsid w:val="00C2482E"/>
    <w:rsid w:val="00C24A53"/>
    <w:rsid w:val="00C24C26"/>
    <w:rsid w:val="00C24E4C"/>
    <w:rsid w:val="00C2531D"/>
    <w:rsid w:val="00C2555C"/>
    <w:rsid w:val="00C25EFF"/>
    <w:rsid w:val="00C264BE"/>
    <w:rsid w:val="00C2664A"/>
    <w:rsid w:val="00C2778B"/>
    <w:rsid w:val="00C27B13"/>
    <w:rsid w:val="00C30047"/>
    <w:rsid w:val="00C301CF"/>
    <w:rsid w:val="00C303AA"/>
    <w:rsid w:val="00C31352"/>
    <w:rsid w:val="00C31370"/>
    <w:rsid w:val="00C31D72"/>
    <w:rsid w:val="00C32191"/>
    <w:rsid w:val="00C3250F"/>
    <w:rsid w:val="00C32811"/>
    <w:rsid w:val="00C33615"/>
    <w:rsid w:val="00C33864"/>
    <w:rsid w:val="00C33FD4"/>
    <w:rsid w:val="00C342BD"/>
    <w:rsid w:val="00C34762"/>
    <w:rsid w:val="00C34E9B"/>
    <w:rsid w:val="00C34EE9"/>
    <w:rsid w:val="00C34F76"/>
    <w:rsid w:val="00C35F1F"/>
    <w:rsid w:val="00C366F1"/>
    <w:rsid w:val="00C3781C"/>
    <w:rsid w:val="00C37A77"/>
    <w:rsid w:val="00C407BA"/>
    <w:rsid w:val="00C40928"/>
    <w:rsid w:val="00C4099C"/>
    <w:rsid w:val="00C409A7"/>
    <w:rsid w:val="00C412BF"/>
    <w:rsid w:val="00C41F14"/>
    <w:rsid w:val="00C42034"/>
    <w:rsid w:val="00C42378"/>
    <w:rsid w:val="00C42C65"/>
    <w:rsid w:val="00C430B9"/>
    <w:rsid w:val="00C43979"/>
    <w:rsid w:val="00C44133"/>
    <w:rsid w:val="00C44310"/>
    <w:rsid w:val="00C44345"/>
    <w:rsid w:val="00C4474B"/>
    <w:rsid w:val="00C449A7"/>
    <w:rsid w:val="00C449AB"/>
    <w:rsid w:val="00C44A0C"/>
    <w:rsid w:val="00C44AAC"/>
    <w:rsid w:val="00C44E57"/>
    <w:rsid w:val="00C45209"/>
    <w:rsid w:val="00C45530"/>
    <w:rsid w:val="00C4585A"/>
    <w:rsid w:val="00C46272"/>
    <w:rsid w:val="00C46575"/>
    <w:rsid w:val="00C46737"/>
    <w:rsid w:val="00C47A17"/>
    <w:rsid w:val="00C47B58"/>
    <w:rsid w:val="00C47EED"/>
    <w:rsid w:val="00C50220"/>
    <w:rsid w:val="00C51C8D"/>
    <w:rsid w:val="00C51D84"/>
    <w:rsid w:val="00C52754"/>
    <w:rsid w:val="00C527B1"/>
    <w:rsid w:val="00C527B3"/>
    <w:rsid w:val="00C528F8"/>
    <w:rsid w:val="00C52F83"/>
    <w:rsid w:val="00C53D7F"/>
    <w:rsid w:val="00C542CD"/>
    <w:rsid w:val="00C5453B"/>
    <w:rsid w:val="00C549CF"/>
    <w:rsid w:val="00C555E1"/>
    <w:rsid w:val="00C5591A"/>
    <w:rsid w:val="00C55C63"/>
    <w:rsid w:val="00C55D13"/>
    <w:rsid w:val="00C55F83"/>
    <w:rsid w:val="00C5621E"/>
    <w:rsid w:val="00C562D0"/>
    <w:rsid w:val="00C56385"/>
    <w:rsid w:val="00C566FD"/>
    <w:rsid w:val="00C569A6"/>
    <w:rsid w:val="00C5772A"/>
    <w:rsid w:val="00C6019A"/>
    <w:rsid w:val="00C60261"/>
    <w:rsid w:val="00C603EB"/>
    <w:rsid w:val="00C60A1D"/>
    <w:rsid w:val="00C60E50"/>
    <w:rsid w:val="00C60FB1"/>
    <w:rsid w:val="00C6104B"/>
    <w:rsid w:val="00C6149B"/>
    <w:rsid w:val="00C61701"/>
    <w:rsid w:val="00C61BBB"/>
    <w:rsid w:val="00C620D8"/>
    <w:rsid w:val="00C6251B"/>
    <w:rsid w:val="00C627CA"/>
    <w:rsid w:val="00C63232"/>
    <w:rsid w:val="00C63A39"/>
    <w:rsid w:val="00C63ABE"/>
    <w:rsid w:val="00C63BA8"/>
    <w:rsid w:val="00C63FEB"/>
    <w:rsid w:val="00C64816"/>
    <w:rsid w:val="00C64D19"/>
    <w:rsid w:val="00C64D98"/>
    <w:rsid w:val="00C65E90"/>
    <w:rsid w:val="00C6683A"/>
    <w:rsid w:val="00C66FCC"/>
    <w:rsid w:val="00C67C6B"/>
    <w:rsid w:val="00C67CF9"/>
    <w:rsid w:val="00C7003F"/>
    <w:rsid w:val="00C70197"/>
    <w:rsid w:val="00C702F7"/>
    <w:rsid w:val="00C70AE7"/>
    <w:rsid w:val="00C70E99"/>
    <w:rsid w:val="00C70F32"/>
    <w:rsid w:val="00C7100C"/>
    <w:rsid w:val="00C7131E"/>
    <w:rsid w:val="00C72758"/>
    <w:rsid w:val="00C727B6"/>
    <w:rsid w:val="00C72989"/>
    <w:rsid w:val="00C72E62"/>
    <w:rsid w:val="00C7309A"/>
    <w:rsid w:val="00C7351D"/>
    <w:rsid w:val="00C7354D"/>
    <w:rsid w:val="00C737BE"/>
    <w:rsid w:val="00C73E5A"/>
    <w:rsid w:val="00C7414F"/>
    <w:rsid w:val="00C7440D"/>
    <w:rsid w:val="00C744C6"/>
    <w:rsid w:val="00C74CD6"/>
    <w:rsid w:val="00C7503F"/>
    <w:rsid w:val="00C753AD"/>
    <w:rsid w:val="00C75D6C"/>
    <w:rsid w:val="00C76161"/>
    <w:rsid w:val="00C77794"/>
    <w:rsid w:val="00C805C8"/>
    <w:rsid w:val="00C80BF8"/>
    <w:rsid w:val="00C80D3C"/>
    <w:rsid w:val="00C80ED8"/>
    <w:rsid w:val="00C80F1B"/>
    <w:rsid w:val="00C810A7"/>
    <w:rsid w:val="00C818C2"/>
    <w:rsid w:val="00C81AAB"/>
    <w:rsid w:val="00C81E3D"/>
    <w:rsid w:val="00C81FB4"/>
    <w:rsid w:val="00C82332"/>
    <w:rsid w:val="00C82461"/>
    <w:rsid w:val="00C82506"/>
    <w:rsid w:val="00C83CCA"/>
    <w:rsid w:val="00C84323"/>
    <w:rsid w:val="00C846B5"/>
    <w:rsid w:val="00C84B57"/>
    <w:rsid w:val="00C868A9"/>
    <w:rsid w:val="00C8697A"/>
    <w:rsid w:val="00C86A6F"/>
    <w:rsid w:val="00C86F73"/>
    <w:rsid w:val="00C86FCC"/>
    <w:rsid w:val="00C8718D"/>
    <w:rsid w:val="00C87E92"/>
    <w:rsid w:val="00C87EC1"/>
    <w:rsid w:val="00C9033E"/>
    <w:rsid w:val="00C904D2"/>
    <w:rsid w:val="00C9094D"/>
    <w:rsid w:val="00C9112A"/>
    <w:rsid w:val="00C91329"/>
    <w:rsid w:val="00C91562"/>
    <w:rsid w:val="00C9170E"/>
    <w:rsid w:val="00C91767"/>
    <w:rsid w:val="00C924DF"/>
    <w:rsid w:val="00C929B7"/>
    <w:rsid w:val="00C92E3E"/>
    <w:rsid w:val="00C92FD1"/>
    <w:rsid w:val="00C931BC"/>
    <w:rsid w:val="00C93505"/>
    <w:rsid w:val="00C93652"/>
    <w:rsid w:val="00C936EA"/>
    <w:rsid w:val="00C93742"/>
    <w:rsid w:val="00C938BC"/>
    <w:rsid w:val="00C93B3B"/>
    <w:rsid w:val="00C93B95"/>
    <w:rsid w:val="00C93D32"/>
    <w:rsid w:val="00C949CB"/>
    <w:rsid w:val="00C94D63"/>
    <w:rsid w:val="00C95299"/>
    <w:rsid w:val="00C954F7"/>
    <w:rsid w:val="00C95D1D"/>
    <w:rsid w:val="00C95D55"/>
    <w:rsid w:val="00C95DB3"/>
    <w:rsid w:val="00C95F04"/>
    <w:rsid w:val="00C969DC"/>
    <w:rsid w:val="00C96B5E"/>
    <w:rsid w:val="00C96F96"/>
    <w:rsid w:val="00C970FE"/>
    <w:rsid w:val="00C97533"/>
    <w:rsid w:val="00C97CBB"/>
    <w:rsid w:val="00C97DFA"/>
    <w:rsid w:val="00C97EC7"/>
    <w:rsid w:val="00CA0322"/>
    <w:rsid w:val="00CA0610"/>
    <w:rsid w:val="00CA0F78"/>
    <w:rsid w:val="00CA13DF"/>
    <w:rsid w:val="00CA14CA"/>
    <w:rsid w:val="00CA164C"/>
    <w:rsid w:val="00CA2732"/>
    <w:rsid w:val="00CA2B7C"/>
    <w:rsid w:val="00CA2F50"/>
    <w:rsid w:val="00CA352A"/>
    <w:rsid w:val="00CA36B1"/>
    <w:rsid w:val="00CA3802"/>
    <w:rsid w:val="00CA3BC9"/>
    <w:rsid w:val="00CA3E36"/>
    <w:rsid w:val="00CA401E"/>
    <w:rsid w:val="00CA42C4"/>
    <w:rsid w:val="00CA47DB"/>
    <w:rsid w:val="00CA4865"/>
    <w:rsid w:val="00CA4EFA"/>
    <w:rsid w:val="00CA4FAD"/>
    <w:rsid w:val="00CA503D"/>
    <w:rsid w:val="00CA5589"/>
    <w:rsid w:val="00CA5D53"/>
    <w:rsid w:val="00CA5F5B"/>
    <w:rsid w:val="00CA6070"/>
    <w:rsid w:val="00CA633C"/>
    <w:rsid w:val="00CA64CC"/>
    <w:rsid w:val="00CA7774"/>
    <w:rsid w:val="00CA7991"/>
    <w:rsid w:val="00CA7A44"/>
    <w:rsid w:val="00CA7A80"/>
    <w:rsid w:val="00CA7B8C"/>
    <w:rsid w:val="00CA7CE6"/>
    <w:rsid w:val="00CB0016"/>
    <w:rsid w:val="00CB076D"/>
    <w:rsid w:val="00CB0BA5"/>
    <w:rsid w:val="00CB0EB5"/>
    <w:rsid w:val="00CB1AB9"/>
    <w:rsid w:val="00CB1CF9"/>
    <w:rsid w:val="00CB24CC"/>
    <w:rsid w:val="00CB262F"/>
    <w:rsid w:val="00CB27B7"/>
    <w:rsid w:val="00CB2A2B"/>
    <w:rsid w:val="00CB3501"/>
    <w:rsid w:val="00CB4D12"/>
    <w:rsid w:val="00CB4D15"/>
    <w:rsid w:val="00CB4E33"/>
    <w:rsid w:val="00CB50BA"/>
    <w:rsid w:val="00CB5735"/>
    <w:rsid w:val="00CB5BD4"/>
    <w:rsid w:val="00CB5CAF"/>
    <w:rsid w:val="00CB629A"/>
    <w:rsid w:val="00CB66A4"/>
    <w:rsid w:val="00CB6A56"/>
    <w:rsid w:val="00CB6B06"/>
    <w:rsid w:val="00CB75C8"/>
    <w:rsid w:val="00CB79E3"/>
    <w:rsid w:val="00CB7E45"/>
    <w:rsid w:val="00CC12DF"/>
    <w:rsid w:val="00CC1355"/>
    <w:rsid w:val="00CC1CF1"/>
    <w:rsid w:val="00CC1F54"/>
    <w:rsid w:val="00CC1FD6"/>
    <w:rsid w:val="00CC2207"/>
    <w:rsid w:val="00CC225D"/>
    <w:rsid w:val="00CC2A4D"/>
    <w:rsid w:val="00CC2A99"/>
    <w:rsid w:val="00CC3B70"/>
    <w:rsid w:val="00CC3D36"/>
    <w:rsid w:val="00CC3DD9"/>
    <w:rsid w:val="00CC44EC"/>
    <w:rsid w:val="00CC4B18"/>
    <w:rsid w:val="00CC4BD9"/>
    <w:rsid w:val="00CC4C06"/>
    <w:rsid w:val="00CC5C47"/>
    <w:rsid w:val="00CC6005"/>
    <w:rsid w:val="00CC60E2"/>
    <w:rsid w:val="00CC629F"/>
    <w:rsid w:val="00CC6622"/>
    <w:rsid w:val="00CC72E1"/>
    <w:rsid w:val="00CC79BF"/>
    <w:rsid w:val="00CC7E34"/>
    <w:rsid w:val="00CD055C"/>
    <w:rsid w:val="00CD07F2"/>
    <w:rsid w:val="00CD0AA3"/>
    <w:rsid w:val="00CD0F7B"/>
    <w:rsid w:val="00CD130D"/>
    <w:rsid w:val="00CD1E7B"/>
    <w:rsid w:val="00CD1EE9"/>
    <w:rsid w:val="00CD24C8"/>
    <w:rsid w:val="00CD2C50"/>
    <w:rsid w:val="00CD2CE3"/>
    <w:rsid w:val="00CD2E30"/>
    <w:rsid w:val="00CD2EBF"/>
    <w:rsid w:val="00CD3012"/>
    <w:rsid w:val="00CD33D3"/>
    <w:rsid w:val="00CD3875"/>
    <w:rsid w:val="00CD3A6A"/>
    <w:rsid w:val="00CD3DCA"/>
    <w:rsid w:val="00CD4406"/>
    <w:rsid w:val="00CD448D"/>
    <w:rsid w:val="00CD4519"/>
    <w:rsid w:val="00CD538D"/>
    <w:rsid w:val="00CD545B"/>
    <w:rsid w:val="00CD5D98"/>
    <w:rsid w:val="00CD5E11"/>
    <w:rsid w:val="00CD5F59"/>
    <w:rsid w:val="00CD61F1"/>
    <w:rsid w:val="00CD6665"/>
    <w:rsid w:val="00CD6A95"/>
    <w:rsid w:val="00CD731C"/>
    <w:rsid w:val="00CD7821"/>
    <w:rsid w:val="00CD79A1"/>
    <w:rsid w:val="00CE0631"/>
    <w:rsid w:val="00CE1061"/>
    <w:rsid w:val="00CE107D"/>
    <w:rsid w:val="00CE1582"/>
    <w:rsid w:val="00CE165D"/>
    <w:rsid w:val="00CE1F98"/>
    <w:rsid w:val="00CE2539"/>
    <w:rsid w:val="00CE293C"/>
    <w:rsid w:val="00CE2983"/>
    <w:rsid w:val="00CE3080"/>
    <w:rsid w:val="00CE3108"/>
    <w:rsid w:val="00CE346E"/>
    <w:rsid w:val="00CE3A3A"/>
    <w:rsid w:val="00CE3AFB"/>
    <w:rsid w:val="00CE3CA5"/>
    <w:rsid w:val="00CE40B1"/>
    <w:rsid w:val="00CE47A2"/>
    <w:rsid w:val="00CE4B4D"/>
    <w:rsid w:val="00CE4B7D"/>
    <w:rsid w:val="00CE5235"/>
    <w:rsid w:val="00CE55CC"/>
    <w:rsid w:val="00CE5A2D"/>
    <w:rsid w:val="00CE5A58"/>
    <w:rsid w:val="00CE5AF7"/>
    <w:rsid w:val="00CE6104"/>
    <w:rsid w:val="00CE65AA"/>
    <w:rsid w:val="00CE667F"/>
    <w:rsid w:val="00CE6A27"/>
    <w:rsid w:val="00CE6A68"/>
    <w:rsid w:val="00CE7052"/>
    <w:rsid w:val="00CE717C"/>
    <w:rsid w:val="00CE720D"/>
    <w:rsid w:val="00CE7456"/>
    <w:rsid w:val="00CE74C4"/>
    <w:rsid w:val="00CE75A0"/>
    <w:rsid w:val="00CE75DE"/>
    <w:rsid w:val="00CE7600"/>
    <w:rsid w:val="00CE77EC"/>
    <w:rsid w:val="00CE7D6C"/>
    <w:rsid w:val="00CF00A2"/>
    <w:rsid w:val="00CF02BE"/>
    <w:rsid w:val="00CF050C"/>
    <w:rsid w:val="00CF05DC"/>
    <w:rsid w:val="00CF0909"/>
    <w:rsid w:val="00CF1D07"/>
    <w:rsid w:val="00CF1F4D"/>
    <w:rsid w:val="00CF268D"/>
    <w:rsid w:val="00CF2A40"/>
    <w:rsid w:val="00CF2ADA"/>
    <w:rsid w:val="00CF2E8F"/>
    <w:rsid w:val="00CF2F6B"/>
    <w:rsid w:val="00CF3156"/>
    <w:rsid w:val="00CF368C"/>
    <w:rsid w:val="00CF3FF0"/>
    <w:rsid w:val="00CF4068"/>
    <w:rsid w:val="00CF40DA"/>
    <w:rsid w:val="00CF4198"/>
    <w:rsid w:val="00CF46A5"/>
    <w:rsid w:val="00CF4A42"/>
    <w:rsid w:val="00CF4F2F"/>
    <w:rsid w:val="00CF5074"/>
    <w:rsid w:val="00CF5467"/>
    <w:rsid w:val="00CF5AE2"/>
    <w:rsid w:val="00CF5D99"/>
    <w:rsid w:val="00CF6006"/>
    <w:rsid w:val="00CF6752"/>
    <w:rsid w:val="00CF69C3"/>
    <w:rsid w:val="00CF6BA0"/>
    <w:rsid w:val="00CF7D9B"/>
    <w:rsid w:val="00D0006E"/>
    <w:rsid w:val="00D00098"/>
    <w:rsid w:val="00D0066B"/>
    <w:rsid w:val="00D00AE1"/>
    <w:rsid w:val="00D00F88"/>
    <w:rsid w:val="00D013FD"/>
    <w:rsid w:val="00D0157C"/>
    <w:rsid w:val="00D01927"/>
    <w:rsid w:val="00D01C63"/>
    <w:rsid w:val="00D020AE"/>
    <w:rsid w:val="00D024C6"/>
    <w:rsid w:val="00D026DB"/>
    <w:rsid w:val="00D029B5"/>
    <w:rsid w:val="00D02EDF"/>
    <w:rsid w:val="00D02FAC"/>
    <w:rsid w:val="00D03149"/>
    <w:rsid w:val="00D039FB"/>
    <w:rsid w:val="00D04092"/>
    <w:rsid w:val="00D0500E"/>
    <w:rsid w:val="00D05193"/>
    <w:rsid w:val="00D05665"/>
    <w:rsid w:val="00D06260"/>
    <w:rsid w:val="00D062E4"/>
    <w:rsid w:val="00D062EA"/>
    <w:rsid w:val="00D06477"/>
    <w:rsid w:val="00D066F7"/>
    <w:rsid w:val="00D0786E"/>
    <w:rsid w:val="00D0790C"/>
    <w:rsid w:val="00D07C35"/>
    <w:rsid w:val="00D07E0F"/>
    <w:rsid w:val="00D07ED9"/>
    <w:rsid w:val="00D10103"/>
    <w:rsid w:val="00D10366"/>
    <w:rsid w:val="00D10720"/>
    <w:rsid w:val="00D10D02"/>
    <w:rsid w:val="00D111B7"/>
    <w:rsid w:val="00D117F7"/>
    <w:rsid w:val="00D11A97"/>
    <w:rsid w:val="00D12A90"/>
    <w:rsid w:val="00D12C92"/>
    <w:rsid w:val="00D12FBA"/>
    <w:rsid w:val="00D135D9"/>
    <w:rsid w:val="00D13C31"/>
    <w:rsid w:val="00D14B45"/>
    <w:rsid w:val="00D150E5"/>
    <w:rsid w:val="00D1533E"/>
    <w:rsid w:val="00D15F44"/>
    <w:rsid w:val="00D15F66"/>
    <w:rsid w:val="00D167F4"/>
    <w:rsid w:val="00D16899"/>
    <w:rsid w:val="00D169F2"/>
    <w:rsid w:val="00D170B5"/>
    <w:rsid w:val="00D17E60"/>
    <w:rsid w:val="00D2048F"/>
    <w:rsid w:val="00D20E3E"/>
    <w:rsid w:val="00D20F40"/>
    <w:rsid w:val="00D21767"/>
    <w:rsid w:val="00D2198F"/>
    <w:rsid w:val="00D21A6E"/>
    <w:rsid w:val="00D22169"/>
    <w:rsid w:val="00D221D8"/>
    <w:rsid w:val="00D223D5"/>
    <w:rsid w:val="00D226D4"/>
    <w:rsid w:val="00D227FB"/>
    <w:rsid w:val="00D22BE9"/>
    <w:rsid w:val="00D23C07"/>
    <w:rsid w:val="00D240A0"/>
    <w:rsid w:val="00D25074"/>
    <w:rsid w:val="00D252C4"/>
    <w:rsid w:val="00D256EF"/>
    <w:rsid w:val="00D2586D"/>
    <w:rsid w:val="00D25BB4"/>
    <w:rsid w:val="00D25D1D"/>
    <w:rsid w:val="00D25E21"/>
    <w:rsid w:val="00D25F24"/>
    <w:rsid w:val="00D260C6"/>
    <w:rsid w:val="00D261C8"/>
    <w:rsid w:val="00D26276"/>
    <w:rsid w:val="00D26462"/>
    <w:rsid w:val="00D265E7"/>
    <w:rsid w:val="00D26FA7"/>
    <w:rsid w:val="00D30266"/>
    <w:rsid w:val="00D30DB0"/>
    <w:rsid w:val="00D30FDB"/>
    <w:rsid w:val="00D313F5"/>
    <w:rsid w:val="00D31508"/>
    <w:rsid w:val="00D3161D"/>
    <w:rsid w:val="00D3189A"/>
    <w:rsid w:val="00D3243D"/>
    <w:rsid w:val="00D32AFC"/>
    <w:rsid w:val="00D32ED2"/>
    <w:rsid w:val="00D33F41"/>
    <w:rsid w:val="00D34955"/>
    <w:rsid w:val="00D34ADC"/>
    <w:rsid w:val="00D34CF0"/>
    <w:rsid w:val="00D35013"/>
    <w:rsid w:val="00D3503C"/>
    <w:rsid w:val="00D35313"/>
    <w:rsid w:val="00D3598B"/>
    <w:rsid w:val="00D35BB3"/>
    <w:rsid w:val="00D36026"/>
    <w:rsid w:val="00D363E7"/>
    <w:rsid w:val="00D368AD"/>
    <w:rsid w:val="00D36A19"/>
    <w:rsid w:val="00D36DCE"/>
    <w:rsid w:val="00D36DE6"/>
    <w:rsid w:val="00D376FB"/>
    <w:rsid w:val="00D37B6D"/>
    <w:rsid w:val="00D402A9"/>
    <w:rsid w:val="00D40387"/>
    <w:rsid w:val="00D40AAA"/>
    <w:rsid w:val="00D40BA3"/>
    <w:rsid w:val="00D40CB3"/>
    <w:rsid w:val="00D40FCE"/>
    <w:rsid w:val="00D418C4"/>
    <w:rsid w:val="00D41D35"/>
    <w:rsid w:val="00D42300"/>
    <w:rsid w:val="00D4245F"/>
    <w:rsid w:val="00D42D5B"/>
    <w:rsid w:val="00D42FB9"/>
    <w:rsid w:val="00D43249"/>
    <w:rsid w:val="00D435F5"/>
    <w:rsid w:val="00D43CF7"/>
    <w:rsid w:val="00D444CA"/>
    <w:rsid w:val="00D4484A"/>
    <w:rsid w:val="00D44A2E"/>
    <w:rsid w:val="00D44EB6"/>
    <w:rsid w:val="00D4536A"/>
    <w:rsid w:val="00D45687"/>
    <w:rsid w:val="00D467E9"/>
    <w:rsid w:val="00D469CD"/>
    <w:rsid w:val="00D46AEF"/>
    <w:rsid w:val="00D46C7B"/>
    <w:rsid w:val="00D473DA"/>
    <w:rsid w:val="00D47446"/>
    <w:rsid w:val="00D4744A"/>
    <w:rsid w:val="00D47526"/>
    <w:rsid w:val="00D47BEA"/>
    <w:rsid w:val="00D47CEE"/>
    <w:rsid w:val="00D50008"/>
    <w:rsid w:val="00D50BBC"/>
    <w:rsid w:val="00D51009"/>
    <w:rsid w:val="00D511D8"/>
    <w:rsid w:val="00D51609"/>
    <w:rsid w:val="00D516EF"/>
    <w:rsid w:val="00D517E0"/>
    <w:rsid w:val="00D51DA2"/>
    <w:rsid w:val="00D51EC5"/>
    <w:rsid w:val="00D52BF7"/>
    <w:rsid w:val="00D52EE3"/>
    <w:rsid w:val="00D52F0C"/>
    <w:rsid w:val="00D53331"/>
    <w:rsid w:val="00D53BB9"/>
    <w:rsid w:val="00D5416A"/>
    <w:rsid w:val="00D542B6"/>
    <w:rsid w:val="00D5454D"/>
    <w:rsid w:val="00D54B2C"/>
    <w:rsid w:val="00D54DDA"/>
    <w:rsid w:val="00D54F82"/>
    <w:rsid w:val="00D5501B"/>
    <w:rsid w:val="00D55A99"/>
    <w:rsid w:val="00D55B3E"/>
    <w:rsid w:val="00D56139"/>
    <w:rsid w:val="00D568DC"/>
    <w:rsid w:val="00D579AD"/>
    <w:rsid w:val="00D57B62"/>
    <w:rsid w:val="00D57E7D"/>
    <w:rsid w:val="00D600C8"/>
    <w:rsid w:val="00D600D3"/>
    <w:rsid w:val="00D60845"/>
    <w:rsid w:val="00D609E6"/>
    <w:rsid w:val="00D60DBE"/>
    <w:rsid w:val="00D60E6C"/>
    <w:rsid w:val="00D60F2C"/>
    <w:rsid w:val="00D610D3"/>
    <w:rsid w:val="00D61523"/>
    <w:rsid w:val="00D618FE"/>
    <w:rsid w:val="00D61ECF"/>
    <w:rsid w:val="00D62438"/>
    <w:rsid w:val="00D625DA"/>
    <w:rsid w:val="00D627C8"/>
    <w:rsid w:val="00D6289A"/>
    <w:rsid w:val="00D630A7"/>
    <w:rsid w:val="00D6349A"/>
    <w:rsid w:val="00D63E96"/>
    <w:rsid w:val="00D649B2"/>
    <w:rsid w:val="00D6552D"/>
    <w:rsid w:val="00D658D4"/>
    <w:rsid w:val="00D65BD8"/>
    <w:rsid w:val="00D66097"/>
    <w:rsid w:val="00D66502"/>
    <w:rsid w:val="00D66570"/>
    <w:rsid w:val="00D66966"/>
    <w:rsid w:val="00D66D07"/>
    <w:rsid w:val="00D66E4F"/>
    <w:rsid w:val="00D66FBB"/>
    <w:rsid w:val="00D67309"/>
    <w:rsid w:val="00D700CD"/>
    <w:rsid w:val="00D70277"/>
    <w:rsid w:val="00D70B04"/>
    <w:rsid w:val="00D70C4C"/>
    <w:rsid w:val="00D713F4"/>
    <w:rsid w:val="00D71A11"/>
    <w:rsid w:val="00D72268"/>
    <w:rsid w:val="00D7231F"/>
    <w:rsid w:val="00D73686"/>
    <w:rsid w:val="00D73A55"/>
    <w:rsid w:val="00D73C16"/>
    <w:rsid w:val="00D74459"/>
    <w:rsid w:val="00D75334"/>
    <w:rsid w:val="00D759A5"/>
    <w:rsid w:val="00D75FFC"/>
    <w:rsid w:val="00D7612D"/>
    <w:rsid w:val="00D7624D"/>
    <w:rsid w:val="00D765F8"/>
    <w:rsid w:val="00D76939"/>
    <w:rsid w:val="00D77376"/>
    <w:rsid w:val="00D775C6"/>
    <w:rsid w:val="00D777FC"/>
    <w:rsid w:val="00D800FB"/>
    <w:rsid w:val="00D80299"/>
    <w:rsid w:val="00D80422"/>
    <w:rsid w:val="00D80437"/>
    <w:rsid w:val="00D805DD"/>
    <w:rsid w:val="00D808E1"/>
    <w:rsid w:val="00D80AAE"/>
    <w:rsid w:val="00D8147F"/>
    <w:rsid w:val="00D81903"/>
    <w:rsid w:val="00D81A0F"/>
    <w:rsid w:val="00D81D14"/>
    <w:rsid w:val="00D82134"/>
    <w:rsid w:val="00D82618"/>
    <w:rsid w:val="00D827C9"/>
    <w:rsid w:val="00D82D68"/>
    <w:rsid w:val="00D839E1"/>
    <w:rsid w:val="00D83F39"/>
    <w:rsid w:val="00D84344"/>
    <w:rsid w:val="00D84F87"/>
    <w:rsid w:val="00D8561F"/>
    <w:rsid w:val="00D8565E"/>
    <w:rsid w:val="00D857E2"/>
    <w:rsid w:val="00D859D1"/>
    <w:rsid w:val="00D85AEF"/>
    <w:rsid w:val="00D85B33"/>
    <w:rsid w:val="00D85BCB"/>
    <w:rsid w:val="00D85C3D"/>
    <w:rsid w:val="00D8615B"/>
    <w:rsid w:val="00D86583"/>
    <w:rsid w:val="00D869F9"/>
    <w:rsid w:val="00D86E33"/>
    <w:rsid w:val="00D876BA"/>
    <w:rsid w:val="00D87E84"/>
    <w:rsid w:val="00D9013E"/>
    <w:rsid w:val="00D902C6"/>
    <w:rsid w:val="00D90AE6"/>
    <w:rsid w:val="00D90F7B"/>
    <w:rsid w:val="00D91068"/>
    <w:rsid w:val="00D914A0"/>
    <w:rsid w:val="00D91543"/>
    <w:rsid w:val="00D9155E"/>
    <w:rsid w:val="00D91FD6"/>
    <w:rsid w:val="00D9267B"/>
    <w:rsid w:val="00D92F6F"/>
    <w:rsid w:val="00D933B7"/>
    <w:rsid w:val="00D93A82"/>
    <w:rsid w:val="00D93DE5"/>
    <w:rsid w:val="00D9400C"/>
    <w:rsid w:val="00D94066"/>
    <w:rsid w:val="00D9466F"/>
    <w:rsid w:val="00D947A7"/>
    <w:rsid w:val="00D94813"/>
    <w:rsid w:val="00D95467"/>
    <w:rsid w:val="00D9556B"/>
    <w:rsid w:val="00D957AB"/>
    <w:rsid w:val="00D959C5"/>
    <w:rsid w:val="00D95A17"/>
    <w:rsid w:val="00D96016"/>
    <w:rsid w:val="00D963CB"/>
    <w:rsid w:val="00D9696E"/>
    <w:rsid w:val="00D96A4D"/>
    <w:rsid w:val="00DA13FE"/>
    <w:rsid w:val="00DA17A1"/>
    <w:rsid w:val="00DA17A3"/>
    <w:rsid w:val="00DA17C8"/>
    <w:rsid w:val="00DA1D67"/>
    <w:rsid w:val="00DA1F5D"/>
    <w:rsid w:val="00DA2CB3"/>
    <w:rsid w:val="00DA323A"/>
    <w:rsid w:val="00DA32E6"/>
    <w:rsid w:val="00DA340B"/>
    <w:rsid w:val="00DA36BE"/>
    <w:rsid w:val="00DA4165"/>
    <w:rsid w:val="00DA4377"/>
    <w:rsid w:val="00DA43C8"/>
    <w:rsid w:val="00DA452D"/>
    <w:rsid w:val="00DA46E7"/>
    <w:rsid w:val="00DA48A8"/>
    <w:rsid w:val="00DA4A4F"/>
    <w:rsid w:val="00DA5022"/>
    <w:rsid w:val="00DA58CE"/>
    <w:rsid w:val="00DA5B8D"/>
    <w:rsid w:val="00DA5CC5"/>
    <w:rsid w:val="00DA6258"/>
    <w:rsid w:val="00DA659E"/>
    <w:rsid w:val="00DA6846"/>
    <w:rsid w:val="00DA6950"/>
    <w:rsid w:val="00DA6B45"/>
    <w:rsid w:val="00DA6D98"/>
    <w:rsid w:val="00DA7154"/>
    <w:rsid w:val="00DA7320"/>
    <w:rsid w:val="00DA79E2"/>
    <w:rsid w:val="00DA7C7A"/>
    <w:rsid w:val="00DB05B9"/>
    <w:rsid w:val="00DB0A9F"/>
    <w:rsid w:val="00DB0D88"/>
    <w:rsid w:val="00DB1510"/>
    <w:rsid w:val="00DB153A"/>
    <w:rsid w:val="00DB163B"/>
    <w:rsid w:val="00DB164E"/>
    <w:rsid w:val="00DB1F70"/>
    <w:rsid w:val="00DB22BF"/>
    <w:rsid w:val="00DB2692"/>
    <w:rsid w:val="00DB2B0A"/>
    <w:rsid w:val="00DB2CD8"/>
    <w:rsid w:val="00DB310A"/>
    <w:rsid w:val="00DB3434"/>
    <w:rsid w:val="00DB34F4"/>
    <w:rsid w:val="00DB37AC"/>
    <w:rsid w:val="00DB37BB"/>
    <w:rsid w:val="00DB3A62"/>
    <w:rsid w:val="00DB3C4A"/>
    <w:rsid w:val="00DB4532"/>
    <w:rsid w:val="00DB4540"/>
    <w:rsid w:val="00DB5543"/>
    <w:rsid w:val="00DB612E"/>
    <w:rsid w:val="00DB69EC"/>
    <w:rsid w:val="00DB72FD"/>
    <w:rsid w:val="00DB7974"/>
    <w:rsid w:val="00DB7A3D"/>
    <w:rsid w:val="00DB7EB8"/>
    <w:rsid w:val="00DC08E3"/>
    <w:rsid w:val="00DC0B9A"/>
    <w:rsid w:val="00DC17C8"/>
    <w:rsid w:val="00DC1A10"/>
    <w:rsid w:val="00DC24E3"/>
    <w:rsid w:val="00DC2B18"/>
    <w:rsid w:val="00DC2E2B"/>
    <w:rsid w:val="00DC309F"/>
    <w:rsid w:val="00DC30D0"/>
    <w:rsid w:val="00DC34F6"/>
    <w:rsid w:val="00DC3616"/>
    <w:rsid w:val="00DC3D62"/>
    <w:rsid w:val="00DC42FB"/>
    <w:rsid w:val="00DC45C0"/>
    <w:rsid w:val="00DC4B9E"/>
    <w:rsid w:val="00DC4EE8"/>
    <w:rsid w:val="00DC4FD7"/>
    <w:rsid w:val="00DC541C"/>
    <w:rsid w:val="00DC5B8F"/>
    <w:rsid w:val="00DC61A0"/>
    <w:rsid w:val="00DC65DE"/>
    <w:rsid w:val="00DC688B"/>
    <w:rsid w:val="00DC7A55"/>
    <w:rsid w:val="00DC7BDE"/>
    <w:rsid w:val="00DD0356"/>
    <w:rsid w:val="00DD03A3"/>
    <w:rsid w:val="00DD0E5E"/>
    <w:rsid w:val="00DD11D1"/>
    <w:rsid w:val="00DD1277"/>
    <w:rsid w:val="00DD13E7"/>
    <w:rsid w:val="00DD1FA9"/>
    <w:rsid w:val="00DD2151"/>
    <w:rsid w:val="00DD2173"/>
    <w:rsid w:val="00DD269C"/>
    <w:rsid w:val="00DD2CD1"/>
    <w:rsid w:val="00DD2E3D"/>
    <w:rsid w:val="00DD3325"/>
    <w:rsid w:val="00DD3E25"/>
    <w:rsid w:val="00DD4612"/>
    <w:rsid w:val="00DD4B31"/>
    <w:rsid w:val="00DD4BF0"/>
    <w:rsid w:val="00DD4D74"/>
    <w:rsid w:val="00DD554B"/>
    <w:rsid w:val="00DD5A25"/>
    <w:rsid w:val="00DD5D2F"/>
    <w:rsid w:val="00DD5FE0"/>
    <w:rsid w:val="00DD66B7"/>
    <w:rsid w:val="00DD6763"/>
    <w:rsid w:val="00DD68DF"/>
    <w:rsid w:val="00DD693A"/>
    <w:rsid w:val="00DD6E82"/>
    <w:rsid w:val="00DD724E"/>
    <w:rsid w:val="00DD750C"/>
    <w:rsid w:val="00DD795E"/>
    <w:rsid w:val="00DE03CA"/>
    <w:rsid w:val="00DE141A"/>
    <w:rsid w:val="00DE16B8"/>
    <w:rsid w:val="00DE1B0A"/>
    <w:rsid w:val="00DE1C31"/>
    <w:rsid w:val="00DE1F04"/>
    <w:rsid w:val="00DE22FE"/>
    <w:rsid w:val="00DE28E2"/>
    <w:rsid w:val="00DE2C1D"/>
    <w:rsid w:val="00DE2DC9"/>
    <w:rsid w:val="00DE2DD5"/>
    <w:rsid w:val="00DE3896"/>
    <w:rsid w:val="00DE3908"/>
    <w:rsid w:val="00DE4720"/>
    <w:rsid w:val="00DE51B5"/>
    <w:rsid w:val="00DE6412"/>
    <w:rsid w:val="00DE676C"/>
    <w:rsid w:val="00DE718D"/>
    <w:rsid w:val="00DE72EA"/>
    <w:rsid w:val="00DE7896"/>
    <w:rsid w:val="00DE7A07"/>
    <w:rsid w:val="00DE7E64"/>
    <w:rsid w:val="00DF042C"/>
    <w:rsid w:val="00DF07E5"/>
    <w:rsid w:val="00DF2461"/>
    <w:rsid w:val="00DF2602"/>
    <w:rsid w:val="00DF2D30"/>
    <w:rsid w:val="00DF3E0B"/>
    <w:rsid w:val="00DF3E2A"/>
    <w:rsid w:val="00DF3EAD"/>
    <w:rsid w:val="00DF4119"/>
    <w:rsid w:val="00DF4A35"/>
    <w:rsid w:val="00DF56D5"/>
    <w:rsid w:val="00DF5790"/>
    <w:rsid w:val="00DF63C7"/>
    <w:rsid w:val="00DF68AE"/>
    <w:rsid w:val="00DF695F"/>
    <w:rsid w:val="00DF6989"/>
    <w:rsid w:val="00DF69E9"/>
    <w:rsid w:val="00DF6A79"/>
    <w:rsid w:val="00DF6ADC"/>
    <w:rsid w:val="00DF79FF"/>
    <w:rsid w:val="00DF7C2B"/>
    <w:rsid w:val="00DF7C83"/>
    <w:rsid w:val="00E0014F"/>
    <w:rsid w:val="00E0034E"/>
    <w:rsid w:val="00E00419"/>
    <w:rsid w:val="00E0088B"/>
    <w:rsid w:val="00E00AC1"/>
    <w:rsid w:val="00E00BCA"/>
    <w:rsid w:val="00E00DC9"/>
    <w:rsid w:val="00E00F2E"/>
    <w:rsid w:val="00E01BCC"/>
    <w:rsid w:val="00E01D72"/>
    <w:rsid w:val="00E01E57"/>
    <w:rsid w:val="00E01F66"/>
    <w:rsid w:val="00E026B2"/>
    <w:rsid w:val="00E02760"/>
    <w:rsid w:val="00E02923"/>
    <w:rsid w:val="00E038AC"/>
    <w:rsid w:val="00E03949"/>
    <w:rsid w:val="00E03AE0"/>
    <w:rsid w:val="00E03CCE"/>
    <w:rsid w:val="00E04327"/>
    <w:rsid w:val="00E045B8"/>
    <w:rsid w:val="00E05079"/>
    <w:rsid w:val="00E0510E"/>
    <w:rsid w:val="00E0559B"/>
    <w:rsid w:val="00E055F8"/>
    <w:rsid w:val="00E05630"/>
    <w:rsid w:val="00E059E3"/>
    <w:rsid w:val="00E05B51"/>
    <w:rsid w:val="00E06720"/>
    <w:rsid w:val="00E06DF0"/>
    <w:rsid w:val="00E072C7"/>
    <w:rsid w:val="00E07D60"/>
    <w:rsid w:val="00E101FB"/>
    <w:rsid w:val="00E104EC"/>
    <w:rsid w:val="00E10560"/>
    <w:rsid w:val="00E1057D"/>
    <w:rsid w:val="00E108C3"/>
    <w:rsid w:val="00E10AC0"/>
    <w:rsid w:val="00E11E46"/>
    <w:rsid w:val="00E123D1"/>
    <w:rsid w:val="00E124BA"/>
    <w:rsid w:val="00E1280C"/>
    <w:rsid w:val="00E12A6F"/>
    <w:rsid w:val="00E12C21"/>
    <w:rsid w:val="00E1325D"/>
    <w:rsid w:val="00E135C8"/>
    <w:rsid w:val="00E13784"/>
    <w:rsid w:val="00E13945"/>
    <w:rsid w:val="00E1435D"/>
    <w:rsid w:val="00E1500D"/>
    <w:rsid w:val="00E15505"/>
    <w:rsid w:val="00E1580F"/>
    <w:rsid w:val="00E15846"/>
    <w:rsid w:val="00E1584F"/>
    <w:rsid w:val="00E15890"/>
    <w:rsid w:val="00E169CF"/>
    <w:rsid w:val="00E16CF0"/>
    <w:rsid w:val="00E16DB3"/>
    <w:rsid w:val="00E16FBB"/>
    <w:rsid w:val="00E171AD"/>
    <w:rsid w:val="00E172C3"/>
    <w:rsid w:val="00E173FF"/>
    <w:rsid w:val="00E17E1C"/>
    <w:rsid w:val="00E20115"/>
    <w:rsid w:val="00E20413"/>
    <w:rsid w:val="00E2062E"/>
    <w:rsid w:val="00E20BE2"/>
    <w:rsid w:val="00E21918"/>
    <w:rsid w:val="00E21F8B"/>
    <w:rsid w:val="00E22119"/>
    <w:rsid w:val="00E2259B"/>
    <w:rsid w:val="00E23707"/>
    <w:rsid w:val="00E23C36"/>
    <w:rsid w:val="00E23F7F"/>
    <w:rsid w:val="00E23FAD"/>
    <w:rsid w:val="00E242AA"/>
    <w:rsid w:val="00E24449"/>
    <w:rsid w:val="00E248DA"/>
    <w:rsid w:val="00E24C04"/>
    <w:rsid w:val="00E251FE"/>
    <w:rsid w:val="00E2568E"/>
    <w:rsid w:val="00E25876"/>
    <w:rsid w:val="00E25C38"/>
    <w:rsid w:val="00E25C65"/>
    <w:rsid w:val="00E25CE1"/>
    <w:rsid w:val="00E25DCE"/>
    <w:rsid w:val="00E25DFD"/>
    <w:rsid w:val="00E2687A"/>
    <w:rsid w:val="00E26BEA"/>
    <w:rsid w:val="00E26EBB"/>
    <w:rsid w:val="00E27751"/>
    <w:rsid w:val="00E27972"/>
    <w:rsid w:val="00E300FE"/>
    <w:rsid w:val="00E30506"/>
    <w:rsid w:val="00E308F2"/>
    <w:rsid w:val="00E311F7"/>
    <w:rsid w:val="00E314E3"/>
    <w:rsid w:val="00E3166F"/>
    <w:rsid w:val="00E3209C"/>
    <w:rsid w:val="00E32331"/>
    <w:rsid w:val="00E32C98"/>
    <w:rsid w:val="00E32CF1"/>
    <w:rsid w:val="00E32F98"/>
    <w:rsid w:val="00E33038"/>
    <w:rsid w:val="00E3330A"/>
    <w:rsid w:val="00E3407F"/>
    <w:rsid w:val="00E34176"/>
    <w:rsid w:val="00E343B1"/>
    <w:rsid w:val="00E3482E"/>
    <w:rsid w:val="00E349F6"/>
    <w:rsid w:val="00E34C5A"/>
    <w:rsid w:val="00E34F6F"/>
    <w:rsid w:val="00E34FB7"/>
    <w:rsid w:val="00E34FE9"/>
    <w:rsid w:val="00E35534"/>
    <w:rsid w:val="00E35B39"/>
    <w:rsid w:val="00E369B1"/>
    <w:rsid w:val="00E36D32"/>
    <w:rsid w:val="00E371A8"/>
    <w:rsid w:val="00E3770F"/>
    <w:rsid w:val="00E3796A"/>
    <w:rsid w:val="00E37CD7"/>
    <w:rsid w:val="00E402AE"/>
    <w:rsid w:val="00E403CD"/>
    <w:rsid w:val="00E40FB3"/>
    <w:rsid w:val="00E4101F"/>
    <w:rsid w:val="00E4103B"/>
    <w:rsid w:val="00E41257"/>
    <w:rsid w:val="00E41506"/>
    <w:rsid w:val="00E4188A"/>
    <w:rsid w:val="00E42215"/>
    <w:rsid w:val="00E43391"/>
    <w:rsid w:val="00E4473B"/>
    <w:rsid w:val="00E44749"/>
    <w:rsid w:val="00E44BE4"/>
    <w:rsid w:val="00E4524A"/>
    <w:rsid w:val="00E4619E"/>
    <w:rsid w:val="00E46429"/>
    <w:rsid w:val="00E476C3"/>
    <w:rsid w:val="00E47700"/>
    <w:rsid w:val="00E47D0E"/>
    <w:rsid w:val="00E50AF4"/>
    <w:rsid w:val="00E50B1A"/>
    <w:rsid w:val="00E50DBF"/>
    <w:rsid w:val="00E5111B"/>
    <w:rsid w:val="00E515BD"/>
    <w:rsid w:val="00E519F7"/>
    <w:rsid w:val="00E51A47"/>
    <w:rsid w:val="00E51C77"/>
    <w:rsid w:val="00E529A1"/>
    <w:rsid w:val="00E52A08"/>
    <w:rsid w:val="00E52CA1"/>
    <w:rsid w:val="00E52DD6"/>
    <w:rsid w:val="00E52F73"/>
    <w:rsid w:val="00E52FC1"/>
    <w:rsid w:val="00E53DB3"/>
    <w:rsid w:val="00E54332"/>
    <w:rsid w:val="00E5473A"/>
    <w:rsid w:val="00E5499C"/>
    <w:rsid w:val="00E54F99"/>
    <w:rsid w:val="00E54FC8"/>
    <w:rsid w:val="00E55161"/>
    <w:rsid w:val="00E5591A"/>
    <w:rsid w:val="00E565EC"/>
    <w:rsid w:val="00E56D62"/>
    <w:rsid w:val="00E57185"/>
    <w:rsid w:val="00E5748D"/>
    <w:rsid w:val="00E57A1F"/>
    <w:rsid w:val="00E60CC0"/>
    <w:rsid w:val="00E614EC"/>
    <w:rsid w:val="00E61645"/>
    <w:rsid w:val="00E61A76"/>
    <w:rsid w:val="00E6212C"/>
    <w:rsid w:val="00E6243E"/>
    <w:rsid w:val="00E62454"/>
    <w:rsid w:val="00E628AE"/>
    <w:rsid w:val="00E63174"/>
    <w:rsid w:val="00E63373"/>
    <w:rsid w:val="00E6338E"/>
    <w:rsid w:val="00E63A7C"/>
    <w:rsid w:val="00E647FC"/>
    <w:rsid w:val="00E64914"/>
    <w:rsid w:val="00E64AF3"/>
    <w:rsid w:val="00E64D7B"/>
    <w:rsid w:val="00E650C9"/>
    <w:rsid w:val="00E65479"/>
    <w:rsid w:val="00E66673"/>
    <w:rsid w:val="00E66D48"/>
    <w:rsid w:val="00E6718B"/>
    <w:rsid w:val="00E702F5"/>
    <w:rsid w:val="00E70313"/>
    <w:rsid w:val="00E70749"/>
    <w:rsid w:val="00E708FD"/>
    <w:rsid w:val="00E70BB9"/>
    <w:rsid w:val="00E711B2"/>
    <w:rsid w:val="00E7158C"/>
    <w:rsid w:val="00E71CC4"/>
    <w:rsid w:val="00E7256F"/>
    <w:rsid w:val="00E729D3"/>
    <w:rsid w:val="00E72A54"/>
    <w:rsid w:val="00E72A91"/>
    <w:rsid w:val="00E72AA5"/>
    <w:rsid w:val="00E72D13"/>
    <w:rsid w:val="00E72D86"/>
    <w:rsid w:val="00E72FD7"/>
    <w:rsid w:val="00E73736"/>
    <w:rsid w:val="00E738A3"/>
    <w:rsid w:val="00E738EB"/>
    <w:rsid w:val="00E74661"/>
    <w:rsid w:val="00E74C6E"/>
    <w:rsid w:val="00E74FA9"/>
    <w:rsid w:val="00E75943"/>
    <w:rsid w:val="00E75B3C"/>
    <w:rsid w:val="00E7609C"/>
    <w:rsid w:val="00E767E8"/>
    <w:rsid w:val="00E76911"/>
    <w:rsid w:val="00E76A5C"/>
    <w:rsid w:val="00E76B77"/>
    <w:rsid w:val="00E775FA"/>
    <w:rsid w:val="00E778BD"/>
    <w:rsid w:val="00E77925"/>
    <w:rsid w:val="00E779CB"/>
    <w:rsid w:val="00E80046"/>
    <w:rsid w:val="00E800DE"/>
    <w:rsid w:val="00E80257"/>
    <w:rsid w:val="00E8075B"/>
    <w:rsid w:val="00E809ED"/>
    <w:rsid w:val="00E80B6F"/>
    <w:rsid w:val="00E8124B"/>
    <w:rsid w:val="00E8131B"/>
    <w:rsid w:val="00E815C5"/>
    <w:rsid w:val="00E8169A"/>
    <w:rsid w:val="00E81EEF"/>
    <w:rsid w:val="00E81F1E"/>
    <w:rsid w:val="00E82403"/>
    <w:rsid w:val="00E8246D"/>
    <w:rsid w:val="00E82486"/>
    <w:rsid w:val="00E82574"/>
    <w:rsid w:val="00E82692"/>
    <w:rsid w:val="00E827FF"/>
    <w:rsid w:val="00E829A7"/>
    <w:rsid w:val="00E82A39"/>
    <w:rsid w:val="00E82A40"/>
    <w:rsid w:val="00E82BC4"/>
    <w:rsid w:val="00E82F30"/>
    <w:rsid w:val="00E82FDB"/>
    <w:rsid w:val="00E83E34"/>
    <w:rsid w:val="00E84C4F"/>
    <w:rsid w:val="00E853D9"/>
    <w:rsid w:val="00E85AAC"/>
    <w:rsid w:val="00E860CB"/>
    <w:rsid w:val="00E8641C"/>
    <w:rsid w:val="00E865E6"/>
    <w:rsid w:val="00E8684F"/>
    <w:rsid w:val="00E86D47"/>
    <w:rsid w:val="00E86FDB"/>
    <w:rsid w:val="00E872FA"/>
    <w:rsid w:val="00E87367"/>
    <w:rsid w:val="00E90371"/>
    <w:rsid w:val="00E903AA"/>
    <w:rsid w:val="00E90C7A"/>
    <w:rsid w:val="00E90D52"/>
    <w:rsid w:val="00E90DC5"/>
    <w:rsid w:val="00E90E82"/>
    <w:rsid w:val="00E90FD0"/>
    <w:rsid w:val="00E91225"/>
    <w:rsid w:val="00E913EE"/>
    <w:rsid w:val="00E91513"/>
    <w:rsid w:val="00E91670"/>
    <w:rsid w:val="00E91998"/>
    <w:rsid w:val="00E920EE"/>
    <w:rsid w:val="00E9254A"/>
    <w:rsid w:val="00E9358B"/>
    <w:rsid w:val="00E93682"/>
    <w:rsid w:val="00E936C0"/>
    <w:rsid w:val="00E93801"/>
    <w:rsid w:val="00E93999"/>
    <w:rsid w:val="00E93B84"/>
    <w:rsid w:val="00E94020"/>
    <w:rsid w:val="00E940C9"/>
    <w:rsid w:val="00E94833"/>
    <w:rsid w:val="00E94927"/>
    <w:rsid w:val="00E955B6"/>
    <w:rsid w:val="00E95FB4"/>
    <w:rsid w:val="00E965AD"/>
    <w:rsid w:val="00E968CA"/>
    <w:rsid w:val="00E969CC"/>
    <w:rsid w:val="00E9723F"/>
    <w:rsid w:val="00E973EE"/>
    <w:rsid w:val="00E97631"/>
    <w:rsid w:val="00E978C6"/>
    <w:rsid w:val="00E97939"/>
    <w:rsid w:val="00E97DD4"/>
    <w:rsid w:val="00EA0040"/>
    <w:rsid w:val="00EA04AB"/>
    <w:rsid w:val="00EA0836"/>
    <w:rsid w:val="00EA1366"/>
    <w:rsid w:val="00EA282B"/>
    <w:rsid w:val="00EA4307"/>
    <w:rsid w:val="00EA52E4"/>
    <w:rsid w:val="00EA5722"/>
    <w:rsid w:val="00EA5732"/>
    <w:rsid w:val="00EA5E23"/>
    <w:rsid w:val="00EA60EF"/>
    <w:rsid w:val="00EA7632"/>
    <w:rsid w:val="00EA77CE"/>
    <w:rsid w:val="00EA7D3E"/>
    <w:rsid w:val="00EB000B"/>
    <w:rsid w:val="00EB0066"/>
    <w:rsid w:val="00EB046C"/>
    <w:rsid w:val="00EB04FD"/>
    <w:rsid w:val="00EB05F5"/>
    <w:rsid w:val="00EB0C01"/>
    <w:rsid w:val="00EB0D43"/>
    <w:rsid w:val="00EB10EC"/>
    <w:rsid w:val="00EB1285"/>
    <w:rsid w:val="00EB14CA"/>
    <w:rsid w:val="00EB1C22"/>
    <w:rsid w:val="00EB2327"/>
    <w:rsid w:val="00EB23B7"/>
    <w:rsid w:val="00EB2E77"/>
    <w:rsid w:val="00EB3205"/>
    <w:rsid w:val="00EB384D"/>
    <w:rsid w:val="00EB4BB3"/>
    <w:rsid w:val="00EB53AB"/>
    <w:rsid w:val="00EB58AB"/>
    <w:rsid w:val="00EB5CB5"/>
    <w:rsid w:val="00EB5DD3"/>
    <w:rsid w:val="00EB6C6F"/>
    <w:rsid w:val="00EB7287"/>
    <w:rsid w:val="00EB7901"/>
    <w:rsid w:val="00EC0028"/>
    <w:rsid w:val="00EC00F9"/>
    <w:rsid w:val="00EC0106"/>
    <w:rsid w:val="00EC0312"/>
    <w:rsid w:val="00EC1F4A"/>
    <w:rsid w:val="00EC1FE4"/>
    <w:rsid w:val="00EC27B8"/>
    <w:rsid w:val="00EC2BF5"/>
    <w:rsid w:val="00EC34FC"/>
    <w:rsid w:val="00EC38A8"/>
    <w:rsid w:val="00EC3900"/>
    <w:rsid w:val="00EC3DB3"/>
    <w:rsid w:val="00EC4336"/>
    <w:rsid w:val="00EC4C02"/>
    <w:rsid w:val="00EC501B"/>
    <w:rsid w:val="00EC5620"/>
    <w:rsid w:val="00EC57B0"/>
    <w:rsid w:val="00EC59E0"/>
    <w:rsid w:val="00EC620E"/>
    <w:rsid w:val="00EC623D"/>
    <w:rsid w:val="00EC711C"/>
    <w:rsid w:val="00EC7124"/>
    <w:rsid w:val="00EC73D0"/>
    <w:rsid w:val="00EC7555"/>
    <w:rsid w:val="00EC78BE"/>
    <w:rsid w:val="00EC7F97"/>
    <w:rsid w:val="00ED018C"/>
    <w:rsid w:val="00ED0815"/>
    <w:rsid w:val="00ED0A01"/>
    <w:rsid w:val="00ED14B9"/>
    <w:rsid w:val="00ED1A07"/>
    <w:rsid w:val="00ED1B51"/>
    <w:rsid w:val="00ED2263"/>
    <w:rsid w:val="00ED2A09"/>
    <w:rsid w:val="00ED2EBE"/>
    <w:rsid w:val="00ED365F"/>
    <w:rsid w:val="00ED3BC6"/>
    <w:rsid w:val="00ED40C4"/>
    <w:rsid w:val="00ED425E"/>
    <w:rsid w:val="00ED4EBB"/>
    <w:rsid w:val="00ED517C"/>
    <w:rsid w:val="00ED62D0"/>
    <w:rsid w:val="00ED6908"/>
    <w:rsid w:val="00ED6C09"/>
    <w:rsid w:val="00ED72B3"/>
    <w:rsid w:val="00ED78A4"/>
    <w:rsid w:val="00ED7C90"/>
    <w:rsid w:val="00EE01BD"/>
    <w:rsid w:val="00EE034E"/>
    <w:rsid w:val="00EE0DB2"/>
    <w:rsid w:val="00EE13DE"/>
    <w:rsid w:val="00EE1B8A"/>
    <w:rsid w:val="00EE2350"/>
    <w:rsid w:val="00EE2401"/>
    <w:rsid w:val="00EE2792"/>
    <w:rsid w:val="00EE2B3B"/>
    <w:rsid w:val="00EE2E79"/>
    <w:rsid w:val="00EE35DD"/>
    <w:rsid w:val="00EE3E80"/>
    <w:rsid w:val="00EE47E8"/>
    <w:rsid w:val="00EE4B83"/>
    <w:rsid w:val="00EE4BE6"/>
    <w:rsid w:val="00EE4EC9"/>
    <w:rsid w:val="00EE5658"/>
    <w:rsid w:val="00EE5B49"/>
    <w:rsid w:val="00EE5F04"/>
    <w:rsid w:val="00EE60BD"/>
    <w:rsid w:val="00EE626B"/>
    <w:rsid w:val="00EE644C"/>
    <w:rsid w:val="00EE6944"/>
    <w:rsid w:val="00EE6970"/>
    <w:rsid w:val="00EE757F"/>
    <w:rsid w:val="00EE792D"/>
    <w:rsid w:val="00EE7A39"/>
    <w:rsid w:val="00EE7B12"/>
    <w:rsid w:val="00EF0147"/>
    <w:rsid w:val="00EF020E"/>
    <w:rsid w:val="00EF02F3"/>
    <w:rsid w:val="00EF0863"/>
    <w:rsid w:val="00EF0A85"/>
    <w:rsid w:val="00EF0AA5"/>
    <w:rsid w:val="00EF1115"/>
    <w:rsid w:val="00EF18FB"/>
    <w:rsid w:val="00EF1B53"/>
    <w:rsid w:val="00EF1C9D"/>
    <w:rsid w:val="00EF22D6"/>
    <w:rsid w:val="00EF266D"/>
    <w:rsid w:val="00EF2ACC"/>
    <w:rsid w:val="00EF2AEE"/>
    <w:rsid w:val="00EF2D53"/>
    <w:rsid w:val="00EF36B5"/>
    <w:rsid w:val="00EF4118"/>
    <w:rsid w:val="00EF41C7"/>
    <w:rsid w:val="00EF41E0"/>
    <w:rsid w:val="00EF425D"/>
    <w:rsid w:val="00EF4796"/>
    <w:rsid w:val="00EF47C0"/>
    <w:rsid w:val="00EF4B7D"/>
    <w:rsid w:val="00EF4F96"/>
    <w:rsid w:val="00EF5BBA"/>
    <w:rsid w:val="00EF5C3C"/>
    <w:rsid w:val="00EF61D8"/>
    <w:rsid w:val="00EF6772"/>
    <w:rsid w:val="00EF6814"/>
    <w:rsid w:val="00EF6BB7"/>
    <w:rsid w:val="00EF6C52"/>
    <w:rsid w:val="00EF6DC5"/>
    <w:rsid w:val="00EF7520"/>
    <w:rsid w:val="00EF765D"/>
    <w:rsid w:val="00EF79D0"/>
    <w:rsid w:val="00EF7A9A"/>
    <w:rsid w:val="00EF7A9C"/>
    <w:rsid w:val="00EF7BC6"/>
    <w:rsid w:val="00F00392"/>
    <w:rsid w:val="00F0042D"/>
    <w:rsid w:val="00F00438"/>
    <w:rsid w:val="00F00A87"/>
    <w:rsid w:val="00F016DC"/>
    <w:rsid w:val="00F0216B"/>
    <w:rsid w:val="00F02218"/>
    <w:rsid w:val="00F022AE"/>
    <w:rsid w:val="00F02AF4"/>
    <w:rsid w:val="00F02E4B"/>
    <w:rsid w:val="00F03DD7"/>
    <w:rsid w:val="00F04453"/>
    <w:rsid w:val="00F04A0D"/>
    <w:rsid w:val="00F04BBC"/>
    <w:rsid w:val="00F0523F"/>
    <w:rsid w:val="00F05303"/>
    <w:rsid w:val="00F05914"/>
    <w:rsid w:val="00F05956"/>
    <w:rsid w:val="00F05DA6"/>
    <w:rsid w:val="00F06D7C"/>
    <w:rsid w:val="00F079B5"/>
    <w:rsid w:val="00F07C2F"/>
    <w:rsid w:val="00F1017B"/>
    <w:rsid w:val="00F102B0"/>
    <w:rsid w:val="00F11301"/>
    <w:rsid w:val="00F11B6F"/>
    <w:rsid w:val="00F12229"/>
    <w:rsid w:val="00F125DB"/>
    <w:rsid w:val="00F12AF5"/>
    <w:rsid w:val="00F13072"/>
    <w:rsid w:val="00F135BE"/>
    <w:rsid w:val="00F13818"/>
    <w:rsid w:val="00F138D9"/>
    <w:rsid w:val="00F13CF7"/>
    <w:rsid w:val="00F14592"/>
    <w:rsid w:val="00F14647"/>
    <w:rsid w:val="00F146FF"/>
    <w:rsid w:val="00F14FDC"/>
    <w:rsid w:val="00F151BD"/>
    <w:rsid w:val="00F15403"/>
    <w:rsid w:val="00F156D6"/>
    <w:rsid w:val="00F15B9A"/>
    <w:rsid w:val="00F16159"/>
    <w:rsid w:val="00F16293"/>
    <w:rsid w:val="00F167EB"/>
    <w:rsid w:val="00F168C6"/>
    <w:rsid w:val="00F16A1F"/>
    <w:rsid w:val="00F16EB2"/>
    <w:rsid w:val="00F1700D"/>
    <w:rsid w:val="00F172F9"/>
    <w:rsid w:val="00F17775"/>
    <w:rsid w:val="00F17924"/>
    <w:rsid w:val="00F179FC"/>
    <w:rsid w:val="00F20463"/>
    <w:rsid w:val="00F20ACA"/>
    <w:rsid w:val="00F20BB4"/>
    <w:rsid w:val="00F21A9D"/>
    <w:rsid w:val="00F21B9F"/>
    <w:rsid w:val="00F223A7"/>
    <w:rsid w:val="00F229D3"/>
    <w:rsid w:val="00F23296"/>
    <w:rsid w:val="00F23522"/>
    <w:rsid w:val="00F235D0"/>
    <w:rsid w:val="00F24120"/>
    <w:rsid w:val="00F241B7"/>
    <w:rsid w:val="00F24282"/>
    <w:rsid w:val="00F251EB"/>
    <w:rsid w:val="00F26D5C"/>
    <w:rsid w:val="00F2729F"/>
    <w:rsid w:val="00F27387"/>
    <w:rsid w:val="00F27625"/>
    <w:rsid w:val="00F2791D"/>
    <w:rsid w:val="00F279BA"/>
    <w:rsid w:val="00F27E61"/>
    <w:rsid w:val="00F27EA8"/>
    <w:rsid w:val="00F3025E"/>
    <w:rsid w:val="00F306D4"/>
    <w:rsid w:val="00F30E49"/>
    <w:rsid w:val="00F30F00"/>
    <w:rsid w:val="00F310A6"/>
    <w:rsid w:val="00F310C8"/>
    <w:rsid w:val="00F314FD"/>
    <w:rsid w:val="00F31718"/>
    <w:rsid w:val="00F31742"/>
    <w:rsid w:val="00F31BA2"/>
    <w:rsid w:val="00F31C98"/>
    <w:rsid w:val="00F31DC8"/>
    <w:rsid w:val="00F31E90"/>
    <w:rsid w:val="00F32844"/>
    <w:rsid w:val="00F33229"/>
    <w:rsid w:val="00F33286"/>
    <w:rsid w:val="00F332AB"/>
    <w:rsid w:val="00F334DC"/>
    <w:rsid w:val="00F33882"/>
    <w:rsid w:val="00F339F5"/>
    <w:rsid w:val="00F33BAF"/>
    <w:rsid w:val="00F33DDB"/>
    <w:rsid w:val="00F34401"/>
    <w:rsid w:val="00F34641"/>
    <w:rsid w:val="00F346E0"/>
    <w:rsid w:val="00F34A69"/>
    <w:rsid w:val="00F34C13"/>
    <w:rsid w:val="00F34C19"/>
    <w:rsid w:val="00F34EAC"/>
    <w:rsid w:val="00F35595"/>
    <w:rsid w:val="00F3568C"/>
    <w:rsid w:val="00F35E7C"/>
    <w:rsid w:val="00F362C7"/>
    <w:rsid w:val="00F36435"/>
    <w:rsid w:val="00F36572"/>
    <w:rsid w:val="00F36EEE"/>
    <w:rsid w:val="00F37B33"/>
    <w:rsid w:val="00F37B7D"/>
    <w:rsid w:val="00F37B7F"/>
    <w:rsid w:val="00F37F86"/>
    <w:rsid w:val="00F400C1"/>
    <w:rsid w:val="00F40C04"/>
    <w:rsid w:val="00F40F84"/>
    <w:rsid w:val="00F411D3"/>
    <w:rsid w:val="00F41356"/>
    <w:rsid w:val="00F414E6"/>
    <w:rsid w:val="00F415E3"/>
    <w:rsid w:val="00F416DE"/>
    <w:rsid w:val="00F4177A"/>
    <w:rsid w:val="00F419DA"/>
    <w:rsid w:val="00F42102"/>
    <w:rsid w:val="00F425B7"/>
    <w:rsid w:val="00F42681"/>
    <w:rsid w:val="00F42B30"/>
    <w:rsid w:val="00F42D09"/>
    <w:rsid w:val="00F42E42"/>
    <w:rsid w:val="00F42F8E"/>
    <w:rsid w:val="00F430F4"/>
    <w:rsid w:val="00F432CB"/>
    <w:rsid w:val="00F436C4"/>
    <w:rsid w:val="00F43B05"/>
    <w:rsid w:val="00F43BAB"/>
    <w:rsid w:val="00F43DBC"/>
    <w:rsid w:val="00F44315"/>
    <w:rsid w:val="00F447BE"/>
    <w:rsid w:val="00F45689"/>
    <w:rsid w:val="00F4585F"/>
    <w:rsid w:val="00F458B7"/>
    <w:rsid w:val="00F468FF"/>
    <w:rsid w:val="00F46FA9"/>
    <w:rsid w:val="00F47CAA"/>
    <w:rsid w:val="00F47ED3"/>
    <w:rsid w:val="00F50381"/>
    <w:rsid w:val="00F5067E"/>
    <w:rsid w:val="00F5092B"/>
    <w:rsid w:val="00F50A01"/>
    <w:rsid w:val="00F50FD3"/>
    <w:rsid w:val="00F5126E"/>
    <w:rsid w:val="00F517C5"/>
    <w:rsid w:val="00F51956"/>
    <w:rsid w:val="00F52B81"/>
    <w:rsid w:val="00F532AD"/>
    <w:rsid w:val="00F53449"/>
    <w:rsid w:val="00F53A69"/>
    <w:rsid w:val="00F5410A"/>
    <w:rsid w:val="00F543DB"/>
    <w:rsid w:val="00F54564"/>
    <w:rsid w:val="00F545DA"/>
    <w:rsid w:val="00F54B26"/>
    <w:rsid w:val="00F54F28"/>
    <w:rsid w:val="00F5510D"/>
    <w:rsid w:val="00F5520D"/>
    <w:rsid w:val="00F55563"/>
    <w:rsid w:val="00F56DF7"/>
    <w:rsid w:val="00F56E83"/>
    <w:rsid w:val="00F5732B"/>
    <w:rsid w:val="00F57418"/>
    <w:rsid w:val="00F57748"/>
    <w:rsid w:val="00F57936"/>
    <w:rsid w:val="00F6000D"/>
    <w:rsid w:val="00F605A3"/>
    <w:rsid w:val="00F608B5"/>
    <w:rsid w:val="00F60CDA"/>
    <w:rsid w:val="00F60CDD"/>
    <w:rsid w:val="00F60D71"/>
    <w:rsid w:val="00F6147D"/>
    <w:rsid w:val="00F61FAB"/>
    <w:rsid w:val="00F622F5"/>
    <w:rsid w:val="00F624BA"/>
    <w:rsid w:val="00F62A0A"/>
    <w:rsid w:val="00F62F75"/>
    <w:rsid w:val="00F63209"/>
    <w:rsid w:val="00F63A36"/>
    <w:rsid w:val="00F63B98"/>
    <w:rsid w:val="00F63BED"/>
    <w:rsid w:val="00F63C06"/>
    <w:rsid w:val="00F640BA"/>
    <w:rsid w:val="00F6466B"/>
    <w:rsid w:val="00F64840"/>
    <w:rsid w:val="00F64A43"/>
    <w:rsid w:val="00F64B83"/>
    <w:rsid w:val="00F64C68"/>
    <w:rsid w:val="00F64D59"/>
    <w:rsid w:val="00F655B5"/>
    <w:rsid w:val="00F65615"/>
    <w:rsid w:val="00F65814"/>
    <w:rsid w:val="00F659C2"/>
    <w:rsid w:val="00F65A83"/>
    <w:rsid w:val="00F65C58"/>
    <w:rsid w:val="00F66054"/>
    <w:rsid w:val="00F66286"/>
    <w:rsid w:val="00F664C1"/>
    <w:rsid w:val="00F66675"/>
    <w:rsid w:val="00F677DA"/>
    <w:rsid w:val="00F67A25"/>
    <w:rsid w:val="00F708BC"/>
    <w:rsid w:val="00F71005"/>
    <w:rsid w:val="00F71255"/>
    <w:rsid w:val="00F712E3"/>
    <w:rsid w:val="00F71313"/>
    <w:rsid w:val="00F7152B"/>
    <w:rsid w:val="00F718E5"/>
    <w:rsid w:val="00F719EF"/>
    <w:rsid w:val="00F71D73"/>
    <w:rsid w:val="00F72296"/>
    <w:rsid w:val="00F7230D"/>
    <w:rsid w:val="00F724BB"/>
    <w:rsid w:val="00F72622"/>
    <w:rsid w:val="00F72EF0"/>
    <w:rsid w:val="00F73294"/>
    <w:rsid w:val="00F733E1"/>
    <w:rsid w:val="00F73B55"/>
    <w:rsid w:val="00F73DE8"/>
    <w:rsid w:val="00F73EFD"/>
    <w:rsid w:val="00F743D3"/>
    <w:rsid w:val="00F74518"/>
    <w:rsid w:val="00F74868"/>
    <w:rsid w:val="00F74ABA"/>
    <w:rsid w:val="00F74AE9"/>
    <w:rsid w:val="00F74D53"/>
    <w:rsid w:val="00F752F1"/>
    <w:rsid w:val="00F753C9"/>
    <w:rsid w:val="00F75AC5"/>
    <w:rsid w:val="00F75B68"/>
    <w:rsid w:val="00F75F0C"/>
    <w:rsid w:val="00F75F30"/>
    <w:rsid w:val="00F7686A"/>
    <w:rsid w:val="00F76A91"/>
    <w:rsid w:val="00F76BA0"/>
    <w:rsid w:val="00F76C93"/>
    <w:rsid w:val="00F76D25"/>
    <w:rsid w:val="00F77267"/>
    <w:rsid w:val="00F774A5"/>
    <w:rsid w:val="00F77B0B"/>
    <w:rsid w:val="00F8010F"/>
    <w:rsid w:val="00F80826"/>
    <w:rsid w:val="00F808D5"/>
    <w:rsid w:val="00F81192"/>
    <w:rsid w:val="00F812B4"/>
    <w:rsid w:val="00F814F9"/>
    <w:rsid w:val="00F81781"/>
    <w:rsid w:val="00F81938"/>
    <w:rsid w:val="00F821C3"/>
    <w:rsid w:val="00F825E6"/>
    <w:rsid w:val="00F82D39"/>
    <w:rsid w:val="00F836A4"/>
    <w:rsid w:val="00F84066"/>
    <w:rsid w:val="00F843C4"/>
    <w:rsid w:val="00F8464C"/>
    <w:rsid w:val="00F8465D"/>
    <w:rsid w:val="00F853AD"/>
    <w:rsid w:val="00F85783"/>
    <w:rsid w:val="00F859C9"/>
    <w:rsid w:val="00F85A28"/>
    <w:rsid w:val="00F85C69"/>
    <w:rsid w:val="00F85E24"/>
    <w:rsid w:val="00F863E3"/>
    <w:rsid w:val="00F868DC"/>
    <w:rsid w:val="00F86A70"/>
    <w:rsid w:val="00F86C18"/>
    <w:rsid w:val="00F86DEE"/>
    <w:rsid w:val="00F874F0"/>
    <w:rsid w:val="00F876E6"/>
    <w:rsid w:val="00F87975"/>
    <w:rsid w:val="00F87B3F"/>
    <w:rsid w:val="00F90117"/>
    <w:rsid w:val="00F901EE"/>
    <w:rsid w:val="00F90391"/>
    <w:rsid w:val="00F9053C"/>
    <w:rsid w:val="00F90A20"/>
    <w:rsid w:val="00F91445"/>
    <w:rsid w:val="00F91E04"/>
    <w:rsid w:val="00F9206C"/>
    <w:rsid w:val="00F92224"/>
    <w:rsid w:val="00F922ED"/>
    <w:rsid w:val="00F922F1"/>
    <w:rsid w:val="00F9293F"/>
    <w:rsid w:val="00F92D13"/>
    <w:rsid w:val="00F9318C"/>
    <w:rsid w:val="00F932BB"/>
    <w:rsid w:val="00F935F8"/>
    <w:rsid w:val="00F95266"/>
    <w:rsid w:val="00F95A3D"/>
    <w:rsid w:val="00F96A2D"/>
    <w:rsid w:val="00F96DE0"/>
    <w:rsid w:val="00F974EB"/>
    <w:rsid w:val="00FA018A"/>
    <w:rsid w:val="00FA0935"/>
    <w:rsid w:val="00FA09F1"/>
    <w:rsid w:val="00FA0F51"/>
    <w:rsid w:val="00FA2257"/>
    <w:rsid w:val="00FA2E55"/>
    <w:rsid w:val="00FA2FF0"/>
    <w:rsid w:val="00FA37BB"/>
    <w:rsid w:val="00FA381D"/>
    <w:rsid w:val="00FA3829"/>
    <w:rsid w:val="00FA3F84"/>
    <w:rsid w:val="00FA4011"/>
    <w:rsid w:val="00FA4126"/>
    <w:rsid w:val="00FA4231"/>
    <w:rsid w:val="00FA4702"/>
    <w:rsid w:val="00FA471A"/>
    <w:rsid w:val="00FA4D43"/>
    <w:rsid w:val="00FA5B65"/>
    <w:rsid w:val="00FA5BF3"/>
    <w:rsid w:val="00FA6033"/>
    <w:rsid w:val="00FA61AD"/>
    <w:rsid w:val="00FA663B"/>
    <w:rsid w:val="00FA6734"/>
    <w:rsid w:val="00FA6921"/>
    <w:rsid w:val="00FA6978"/>
    <w:rsid w:val="00FA6A13"/>
    <w:rsid w:val="00FA70DD"/>
    <w:rsid w:val="00FA748B"/>
    <w:rsid w:val="00FA7D67"/>
    <w:rsid w:val="00FB034C"/>
    <w:rsid w:val="00FB03A4"/>
    <w:rsid w:val="00FB0C38"/>
    <w:rsid w:val="00FB0E08"/>
    <w:rsid w:val="00FB1920"/>
    <w:rsid w:val="00FB23AD"/>
    <w:rsid w:val="00FB2E8F"/>
    <w:rsid w:val="00FB2EC7"/>
    <w:rsid w:val="00FB2FD4"/>
    <w:rsid w:val="00FB3583"/>
    <w:rsid w:val="00FB4298"/>
    <w:rsid w:val="00FB54CB"/>
    <w:rsid w:val="00FB576C"/>
    <w:rsid w:val="00FB5800"/>
    <w:rsid w:val="00FB63B2"/>
    <w:rsid w:val="00FB666B"/>
    <w:rsid w:val="00FB66F7"/>
    <w:rsid w:val="00FB6D94"/>
    <w:rsid w:val="00FB70FF"/>
    <w:rsid w:val="00FB7187"/>
    <w:rsid w:val="00FB7479"/>
    <w:rsid w:val="00FB7786"/>
    <w:rsid w:val="00FB799B"/>
    <w:rsid w:val="00FB7CB6"/>
    <w:rsid w:val="00FC0049"/>
    <w:rsid w:val="00FC0116"/>
    <w:rsid w:val="00FC0801"/>
    <w:rsid w:val="00FC0B24"/>
    <w:rsid w:val="00FC0C14"/>
    <w:rsid w:val="00FC1111"/>
    <w:rsid w:val="00FC2251"/>
    <w:rsid w:val="00FC2432"/>
    <w:rsid w:val="00FC27C2"/>
    <w:rsid w:val="00FC2BBA"/>
    <w:rsid w:val="00FC2EB9"/>
    <w:rsid w:val="00FC3024"/>
    <w:rsid w:val="00FC37AD"/>
    <w:rsid w:val="00FC3A3C"/>
    <w:rsid w:val="00FC3C2E"/>
    <w:rsid w:val="00FC3C3C"/>
    <w:rsid w:val="00FC3EAE"/>
    <w:rsid w:val="00FC402E"/>
    <w:rsid w:val="00FC407A"/>
    <w:rsid w:val="00FC4084"/>
    <w:rsid w:val="00FC40B3"/>
    <w:rsid w:val="00FC44A3"/>
    <w:rsid w:val="00FC45AD"/>
    <w:rsid w:val="00FC4C98"/>
    <w:rsid w:val="00FC5344"/>
    <w:rsid w:val="00FC57DA"/>
    <w:rsid w:val="00FC592D"/>
    <w:rsid w:val="00FC6103"/>
    <w:rsid w:val="00FC61F5"/>
    <w:rsid w:val="00FC63CA"/>
    <w:rsid w:val="00FC6420"/>
    <w:rsid w:val="00FC6A68"/>
    <w:rsid w:val="00FC6A70"/>
    <w:rsid w:val="00FC714A"/>
    <w:rsid w:val="00FC71E5"/>
    <w:rsid w:val="00FC7609"/>
    <w:rsid w:val="00FC7789"/>
    <w:rsid w:val="00FC7F4C"/>
    <w:rsid w:val="00FD0564"/>
    <w:rsid w:val="00FD084E"/>
    <w:rsid w:val="00FD0EE3"/>
    <w:rsid w:val="00FD0FF0"/>
    <w:rsid w:val="00FD12A0"/>
    <w:rsid w:val="00FD1429"/>
    <w:rsid w:val="00FD197D"/>
    <w:rsid w:val="00FD1B6A"/>
    <w:rsid w:val="00FD24CD"/>
    <w:rsid w:val="00FD30D0"/>
    <w:rsid w:val="00FD37DE"/>
    <w:rsid w:val="00FD38A2"/>
    <w:rsid w:val="00FD4000"/>
    <w:rsid w:val="00FD4660"/>
    <w:rsid w:val="00FD47BE"/>
    <w:rsid w:val="00FD4878"/>
    <w:rsid w:val="00FD4D89"/>
    <w:rsid w:val="00FD4E12"/>
    <w:rsid w:val="00FD5017"/>
    <w:rsid w:val="00FD5AC6"/>
    <w:rsid w:val="00FD632E"/>
    <w:rsid w:val="00FD657F"/>
    <w:rsid w:val="00FD68F2"/>
    <w:rsid w:val="00FD6B15"/>
    <w:rsid w:val="00FD6EB5"/>
    <w:rsid w:val="00FD7146"/>
    <w:rsid w:val="00FD7440"/>
    <w:rsid w:val="00FD7F97"/>
    <w:rsid w:val="00FE06FC"/>
    <w:rsid w:val="00FE08CB"/>
    <w:rsid w:val="00FE0EA3"/>
    <w:rsid w:val="00FE1127"/>
    <w:rsid w:val="00FE1380"/>
    <w:rsid w:val="00FE139F"/>
    <w:rsid w:val="00FE13F3"/>
    <w:rsid w:val="00FE1492"/>
    <w:rsid w:val="00FE1563"/>
    <w:rsid w:val="00FE2ADE"/>
    <w:rsid w:val="00FE3C52"/>
    <w:rsid w:val="00FE3D78"/>
    <w:rsid w:val="00FE3D83"/>
    <w:rsid w:val="00FE3DE6"/>
    <w:rsid w:val="00FE4748"/>
    <w:rsid w:val="00FE4D94"/>
    <w:rsid w:val="00FE4DDD"/>
    <w:rsid w:val="00FE5015"/>
    <w:rsid w:val="00FE5890"/>
    <w:rsid w:val="00FE5CA6"/>
    <w:rsid w:val="00FE604E"/>
    <w:rsid w:val="00FE6403"/>
    <w:rsid w:val="00FE67B4"/>
    <w:rsid w:val="00FE7242"/>
    <w:rsid w:val="00FE7AB7"/>
    <w:rsid w:val="00FE7B2C"/>
    <w:rsid w:val="00FF03FB"/>
    <w:rsid w:val="00FF06F8"/>
    <w:rsid w:val="00FF0972"/>
    <w:rsid w:val="00FF0AFF"/>
    <w:rsid w:val="00FF0DA8"/>
    <w:rsid w:val="00FF16F9"/>
    <w:rsid w:val="00FF180C"/>
    <w:rsid w:val="00FF1CC7"/>
    <w:rsid w:val="00FF1E68"/>
    <w:rsid w:val="00FF3731"/>
    <w:rsid w:val="00FF43AF"/>
    <w:rsid w:val="00FF4562"/>
    <w:rsid w:val="00FF4B81"/>
    <w:rsid w:val="00FF4FBC"/>
    <w:rsid w:val="00FF5465"/>
    <w:rsid w:val="00FF5FA3"/>
    <w:rsid w:val="00FF6052"/>
    <w:rsid w:val="00FF6252"/>
    <w:rsid w:val="00FF6474"/>
    <w:rsid w:val="00FF68B3"/>
    <w:rsid w:val="00FF75AC"/>
    <w:rsid w:val="00FF7865"/>
    <w:rsid w:val="00FF7F79"/>
    <w:rsid w:val="0131008B"/>
    <w:rsid w:val="0170A609"/>
    <w:rsid w:val="025B018D"/>
    <w:rsid w:val="0279947E"/>
    <w:rsid w:val="029DAE3F"/>
    <w:rsid w:val="02C94D6A"/>
    <w:rsid w:val="02CE6F0A"/>
    <w:rsid w:val="033177E0"/>
    <w:rsid w:val="03757DE5"/>
    <w:rsid w:val="0426B2A1"/>
    <w:rsid w:val="0431B9EA"/>
    <w:rsid w:val="044DD5F1"/>
    <w:rsid w:val="04B91613"/>
    <w:rsid w:val="04BC10C1"/>
    <w:rsid w:val="05841BA1"/>
    <w:rsid w:val="05C21F94"/>
    <w:rsid w:val="05C6C2B2"/>
    <w:rsid w:val="062ADF4E"/>
    <w:rsid w:val="06B4FFFD"/>
    <w:rsid w:val="06C30198"/>
    <w:rsid w:val="0707F887"/>
    <w:rsid w:val="0724B76A"/>
    <w:rsid w:val="0778A98B"/>
    <w:rsid w:val="077B33EB"/>
    <w:rsid w:val="07996E49"/>
    <w:rsid w:val="07D6C0AE"/>
    <w:rsid w:val="081C12A2"/>
    <w:rsid w:val="0852F90F"/>
    <w:rsid w:val="08DB22E3"/>
    <w:rsid w:val="090506E0"/>
    <w:rsid w:val="0925AA6E"/>
    <w:rsid w:val="0935FF38"/>
    <w:rsid w:val="0939E939"/>
    <w:rsid w:val="096F979A"/>
    <w:rsid w:val="09EEA9A0"/>
    <w:rsid w:val="0A010D5C"/>
    <w:rsid w:val="0B174078"/>
    <w:rsid w:val="0B38D8C8"/>
    <w:rsid w:val="0B80E93C"/>
    <w:rsid w:val="0BC48287"/>
    <w:rsid w:val="0BC97AB5"/>
    <w:rsid w:val="0C49BF2C"/>
    <w:rsid w:val="0C641636"/>
    <w:rsid w:val="0C655788"/>
    <w:rsid w:val="0CA82AD9"/>
    <w:rsid w:val="0CDBF178"/>
    <w:rsid w:val="0CE8186E"/>
    <w:rsid w:val="0E0A3BDD"/>
    <w:rsid w:val="0E34C75B"/>
    <w:rsid w:val="0E36DD35"/>
    <w:rsid w:val="0E74F445"/>
    <w:rsid w:val="0EA74E2C"/>
    <w:rsid w:val="0EBEFDC3"/>
    <w:rsid w:val="0EC10BA3"/>
    <w:rsid w:val="0EFA02C1"/>
    <w:rsid w:val="0F631071"/>
    <w:rsid w:val="0F9C173F"/>
    <w:rsid w:val="0FBB5CB9"/>
    <w:rsid w:val="1049AA52"/>
    <w:rsid w:val="10DA2812"/>
    <w:rsid w:val="1118C1F0"/>
    <w:rsid w:val="1133E02D"/>
    <w:rsid w:val="11420D3C"/>
    <w:rsid w:val="1193D5F9"/>
    <w:rsid w:val="11D98FBB"/>
    <w:rsid w:val="126211C9"/>
    <w:rsid w:val="12725864"/>
    <w:rsid w:val="12B76BE0"/>
    <w:rsid w:val="12BAEB45"/>
    <w:rsid w:val="12BDCF85"/>
    <w:rsid w:val="13116AAD"/>
    <w:rsid w:val="13656614"/>
    <w:rsid w:val="13CFDDF1"/>
    <w:rsid w:val="13FD581A"/>
    <w:rsid w:val="148AE082"/>
    <w:rsid w:val="1553BAD7"/>
    <w:rsid w:val="158067C5"/>
    <w:rsid w:val="1604B1EA"/>
    <w:rsid w:val="16A25520"/>
    <w:rsid w:val="16FC5C99"/>
    <w:rsid w:val="172C2A08"/>
    <w:rsid w:val="17F2D4A8"/>
    <w:rsid w:val="17F9975B"/>
    <w:rsid w:val="18039BDB"/>
    <w:rsid w:val="188BE96F"/>
    <w:rsid w:val="191C39E3"/>
    <w:rsid w:val="19BAA9C3"/>
    <w:rsid w:val="1A6B9D7F"/>
    <w:rsid w:val="1AE6B188"/>
    <w:rsid w:val="1B78D1AD"/>
    <w:rsid w:val="1BE27DAC"/>
    <w:rsid w:val="1CFAD774"/>
    <w:rsid w:val="1CFC829C"/>
    <w:rsid w:val="1D3FF739"/>
    <w:rsid w:val="1D9EF493"/>
    <w:rsid w:val="1DE41E53"/>
    <w:rsid w:val="1E44E245"/>
    <w:rsid w:val="1E6AFC78"/>
    <w:rsid w:val="1F3E5F2A"/>
    <w:rsid w:val="1F83D2C0"/>
    <w:rsid w:val="1F9E299B"/>
    <w:rsid w:val="1FB29AC7"/>
    <w:rsid w:val="201992CA"/>
    <w:rsid w:val="20873CF3"/>
    <w:rsid w:val="20C71DBF"/>
    <w:rsid w:val="21532C68"/>
    <w:rsid w:val="21D449DD"/>
    <w:rsid w:val="223EE9A8"/>
    <w:rsid w:val="225FB633"/>
    <w:rsid w:val="22D776A7"/>
    <w:rsid w:val="234C1AE1"/>
    <w:rsid w:val="23EAAD3D"/>
    <w:rsid w:val="240F80A1"/>
    <w:rsid w:val="24126FBC"/>
    <w:rsid w:val="24582534"/>
    <w:rsid w:val="2475E9D8"/>
    <w:rsid w:val="24FF7525"/>
    <w:rsid w:val="254A1860"/>
    <w:rsid w:val="259C8B80"/>
    <w:rsid w:val="264D94B2"/>
    <w:rsid w:val="2653683C"/>
    <w:rsid w:val="266AE502"/>
    <w:rsid w:val="267362CD"/>
    <w:rsid w:val="2694551A"/>
    <w:rsid w:val="26F81A8B"/>
    <w:rsid w:val="27AAA9F1"/>
    <w:rsid w:val="27B2A08E"/>
    <w:rsid w:val="27CD1091"/>
    <w:rsid w:val="27D37F11"/>
    <w:rsid w:val="2845388D"/>
    <w:rsid w:val="2879414C"/>
    <w:rsid w:val="28B753F9"/>
    <w:rsid w:val="28EC37CE"/>
    <w:rsid w:val="290D75CC"/>
    <w:rsid w:val="295DBDF6"/>
    <w:rsid w:val="29B68D20"/>
    <w:rsid w:val="2A5FE635"/>
    <w:rsid w:val="2A9793C4"/>
    <w:rsid w:val="2AB5E2FE"/>
    <w:rsid w:val="2ACDEB1D"/>
    <w:rsid w:val="2ACF5343"/>
    <w:rsid w:val="2B1E7B37"/>
    <w:rsid w:val="2B4147B4"/>
    <w:rsid w:val="2B5CBC10"/>
    <w:rsid w:val="2BBE436E"/>
    <w:rsid w:val="2BEEEE83"/>
    <w:rsid w:val="2C63A88C"/>
    <w:rsid w:val="2C9C4F24"/>
    <w:rsid w:val="2CAC130A"/>
    <w:rsid w:val="2D457461"/>
    <w:rsid w:val="2DC51DC9"/>
    <w:rsid w:val="2DCB4D96"/>
    <w:rsid w:val="2DFF36E1"/>
    <w:rsid w:val="2E05178B"/>
    <w:rsid w:val="2E1CF534"/>
    <w:rsid w:val="2E3D7F70"/>
    <w:rsid w:val="2ED2FF43"/>
    <w:rsid w:val="2F04A0D9"/>
    <w:rsid w:val="2F1F016F"/>
    <w:rsid w:val="2F21F2FE"/>
    <w:rsid w:val="2F565E03"/>
    <w:rsid w:val="2FC3141D"/>
    <w:rsid w:val="2FED053F"/>
    <w:rsid w:val="307241E4"/>
    <w:rsid w:val="30F06F72"/>
    <w:rsid w:val="30FF5F6D"/>
    <w:rsid w:val="3126604F"/>
    <w:rsid w:val="31489FF1"/>
    <w:rsid w:val="319E525B"/>
    <w:rsid w:val="31D31339"/>
    <w:rsid w:val="31D5720F"/>
    <w:rsid w:val="31E09482"/>
    <w:rsid w:val="31E57440"/>
    <w:rsid w:val="320EB455"/>
    <w:rsid w:val="3241FB90"/>
    <w:rsid w:val="324C18C8"/>
    <w:rsid w:val="3272AE6F"/>
    <w:rsid w:val="329AA1D1"/>
    <w:rsid w:val="32CA4656"/>
    <w:rsid w:val="32CF3E84"/>
    <w:rsid w:val="32D67D6C"/>
    <w:rsid w:val="3319D189"/>
    <w:rsid w:val="33723F31"/>
    <w:rsid w:val="33A2830C"/>
    <w:rsid w:val="340107F2"/>
    <w:rsid w:val="342FAB03"/>
    <w:rsid w:val="346AD7F7"/>
    <w:rsid w:val="352F5BA8"/>
    <w:rsid w:val="36A5CC21"/>
    <w:rsid w:val="37345C14"/>
    <w:rsid w:val="3752DBBE"/>
    <w:rsid w:val="38A5D0DE"/>
    <w:rsid w:val="3959D345"/>
    <w:rsid w:val="397003C2"/>
    <w:rsid w:val="39759107"/>
    <w:rsid w:val="39B700C4"/>
    <w:rsid w:val="39F6CC2E"/>
    <w:rsid w:val="3A382E16"/>
    <w:rsid w:val="3A6376B5"/>
    <w:rsid w:val="3AF04D76"/>
    <w:rsid w:val="3BE3DCA2"/>
    <w:rsid w:val="3C8C9C59"/>
    <w:rsid w:val="3D72BEA8"/>
    <w:rsid w:val="3D8F8D09"/>
    <w:rsid w:val="3DE6FED2"/>
    <w:rsid w:val="3DF67DF2"/>
    <w:rsid w:val="3E38C78F"/>
    <w:rsid w:val="3E58F343"/>
    <w:rsid w:val="3F2DCC5D"/>
    <w:rsid w:val="3F677BE0"/>
    <w:rsid w:val="3F8F13CD"/>
    <w:rsid w:val="3FEB8118"/>
    <w:rsid w:val="3FEFB957"/>
    <w:rsid w:val="4010D3EE"/>
    <w:rsid w:val="401796A1"/>
    <w:rsid w:val="40ACAC5C"/>
    <w:rsid w:val="412AD9EA"/>
    <w:rsid w:val="41489F5A"/>
    <w:rsid w:val="41608A23"/>
    <w:rsid w:val="417E142C"/>
    <w:rsid w:val="418FFC8D"/>
    <w:rsid w:val="431E692D"/>
    <w:rsid w:val="432348EB"/>
    <w:rsid w:val="4356E35E"/>
    <w:rsid w:val="437C7142"/>
    <w:rsid w:val="4406507C"/>
    <w:rsid w:val="44783B4B"/>
    <w:rsid w:val="448D57A6"/>
    <w:rsid w:val="4556F5DA"/>
    <w:rsid w:val="456A3482"/>
    <w:rsid w:val="45D72BAD"/>
    <w:rsid w:val="46D57A91"/>
    <w:rsid w:val="47B75B85"/>
    <w:rsid w:val="47E3D39D"/>
    <w:rsid w:val="4828CA8C"/>
    <w:rsid w:val="483D4494"/>
    <w:rsid w:val="485228DC"/>
    <w:rsid w:val="489C2E67"/>
    <w:rsid w:val="48A3DE95"/>
    <w:rsid w:val="48B0C125"/>
    <w:rsid w:val="48FFBCA7"/>
    <w:rsid w:val="4924ACDB"/>
    <w:rsid w:val="4A5CAB18"/>
    <w:rsid w:val="4A7495E1"/>
    <w:rsid w:val="4B7BE933"/>
    <w:rsid w:val="4B7F5527"/>
    <w:rsid w:val="4BA14B60"/>
    <w:rsid w:val="4BBE788C"/>
    <w:rsid w:val="4BD4ED17"/>
    <w:rsid w:val="4BDE56E7"/>
    <w:rsid w:val="4C5836C0"/>
    <w:rsid w:val="4C7144BC"/>
    <w:rsid w:val="4CC1E2BF"/>
    <w:rsid w:val="4CFBE0F0"/>
    <w:rsid w:val="4D579E69"/>
    <w:rsid w:val="4DB335B3"/>
    <w:rsid w:val="4DED16B5"/>
    <w:rsid w:val="4E7AECBC"/>
    <w:rsid w:val="4E8F9F2E"/>
    <w:rsid w:val="4F0A5B86"/>
    <w:rsid w:val="4F7F4EF1"/>
    <w:rsid w:val="4F8CFDF3"/>
    <w:rsid w:val="4FB28AB2"/>
    <w:rsid w:val="4FC3F4D7"/>
    <w:rsid w:val="4FDA2B46"/>
    <w:rsid w:val="5058308A"/>
    <w:rsid w:val="5068E932"/>
    <w:rsid w:val="512B7512"/>
    <w:rsid w:val="516E0BB2"/>
    <w:rsid w:val="51CDE468"/>
    <w:rsid w:val="51DD04D6"/>
    <w:rsid w:val="5266E410"/>
    <w:rsid w:val="5277CC7B"/>
    <w:rsid w:val="52E31180"/>
    <w:rsid w:val="52EB2793"/>
    <w:rsid w:val="5305E4A7"/>
    <w:rsid w:val="53098396"/>
    <w:rsid w:val="54877C68"/>
    <w:rsid w:val="54CA1250"/>
    <w:rsid w:val="54D138B4"/>
    <w:rsid w:val="55592F31"/>
    <w:rsid w:val="55BCF204"/>
    <w:rsid w:val="55F4A52C"/>
    <w:rsid w:val="56698593"/>
    <w:rsid w:val="570C816D"/>
    <w:rsid w:val="572169A8"/>
    <w:rsid w:val="573C5289"/>
    <w:rsid w:val="58290543"/>
    <w:rsid w:val="587E9C0E"/>
    <w:rsid w:val="589D24AA"/>
    <w:rsid w:val="58D72751"/>
    <w:rsid w:val="59290BFF"/>
    <w:rsid w:val="59767A3E"/>
    <w:rsid w:val="5A2E64E4"/>
    <w:rsid w:val="5A5F9AD2"/>
    <w:rsid w:val="5AECD828"/>
    <w:rsid w:val="5B356ED2"/>
    <w:rsid w:val="5B8DA36E"/>
    <w:rsid w:val="5C4DAA49"/>
    <w:rsid w:val="5C6378C0"/>
    <w:rsid w:val="5CAFF793"/>
    <w:rsid w:val="5CD5233F"/>
    <w:rsid w:val="5D8E75AF"/>
    <w:rsid w:val="5DB3F925"/>
    <w:rsid w:val="5DDFE285"/>
    <w:rsid w:val="5EAEFA23"/>
    <w:rsid w:val="611045C5"/>
    <w:rsid w:val="614E5521"/>
    <w:rsid w:val="61548DAB"/>
    <w:rsid w:val="6202A687"/>
    <w:rsid w:val="6276FC88"/>
    <w:rsid w:val="627FE264"/>
    <w:rsid w:val="62D8C946"/>
    <w:rsid w:val="62F1D6D5"/>
    <w:rsid w:val="6362E9F5"/>
    <w:rsid w:val="6369ACA8"/>
    <w:rsid w:val="6370EB90"/>
    <w:rsid w:val="63B55D15"/>
    <w:rsid w:val="642B2734"/>
    <w:rsid w:val="64DDDDDB"/>
    <w:rsid w:val="64F79719"/>
    <w:rsid w:val="6578BC15"/>
    <w:rsid w:val="6596BBDD"/>
    <w:rsid w:val="65BD2BEF"/>
    <w:rsid w:val="65F79D52"/>
    <w:rsid w:val="66755EF2"/>
    <w:rsid w:val="67B2702B"/>
    <w:rsid w:val="67E6C2C0"/>
    <w:rsid w:val="6862FA98"/>
    <w:rsid w:val="68C51448"/>
    <w:rsid w:val="68F647D8"/>
    <w:rsid w:val="69403F02"/>
    <w:rsid w:val="6A4EE68D"/>
    <w:rsid w:val="6A53FE18"/>
    <w:rsid w:val="6AB44EE9"/>
    <w:rsid w:val="6AFA264C"/>
    <w:rsid w:val="6AFDE4D9"/>
    <w:rsid w:val="6B4D90E8"/>
    <w:rsid w:val="6B6CE7BB"/>
    <w:rsid w:val="6B750367"/>
    <w:rsid w:val="6C25EBEF"/>
    <w:rsid w:val="6C3FD2A6"/>
    <w:rsid w:val="6C637327"/>
    <w:rsid w:val="6C9951CC"/>
    <w:rsid w:val="6D49B02E"/>
    <w:rsid w:val="6E5821AA"/>
    <w:rsid w:val="6EAC1858"/>
    <w:rsid w:val="6EDE5D52"/>
    <w:rsid w:val="6F108E93"/>
    <w:rsid w:val="6FF8B1B9"/>
    <w:rsid w:val="7040F84D"/>
    <w:rsid w:val="705AB92E"/>
    <w:rsid w:val="70AD0C97"/>
    <w:rsid w:val="718B78BE"/>
    <w:rsid w:val="71FF014F"/>
    <w:rsid w:val="72929527"/>
    <w:rsid w:val="72D06CF6"/>
    <w:rsid w:val="73060B21"/>
    <w:rsid w:val="7317DE66"/>
    <w:rsid w:val="73894DC9"/>
    <w:rsid w:val="73AA4691"/>
    <w:rsid w:val="73BF4AA6"/>
    <w:rsid w:val="73DB7BB3"/>
    <w:rsid w:val="7442D0EC"/>
    <w:rsid w:val="745BD655"/>
    <w:rsid w:val="749DA600"/>
    <w:rsid w:val="74C103BA"/>
    <w:rsid w:val="762AAFBC"/>
    <w:rsid w:val="7654BBD9"/>
    <w:rsid w:val="77198777"/>
    <w:rsid w:val="7726BEE2"/>
    <w:rsid w:val="775ACC30"/>
    <w:rsid w:val="7889A04E"/>
    <w:rsid w:val="78C5C204"/>
    <w:rsid w:val="79736A92"/>
    <w:rsid w:val="7A8E6890"/>
    <w:rsid w:val="7AA4734B"/>
    <w:rsid w:val="7AAC65CB"/>
    <w:rsid w:val="7B92CAC5"/>
    <w:rsid w:val="7BA079C7"/>
    <w:rsid w:val="7CB4119A"/>
    <w:rsid w:val="7CF62449"/>
    <w:rsid w:val="7D2E5742"/>
    <w:rsid w:val="7D62246D"/>
    <w:rsid w:val="7D72EBA0"/>
    <w:rsid w:val="7D9F508A"/>
    <w:rsid w:val="7DB7E28F"/>
    <w:rsid w:val="7DFE9F8A"/>
    <w:rsid w:val="7E58F3C0"/>
    <w:rsid w:val="7E894F5E"/>
    <w:rsid w:val="7F1C9825"/>
    <w:rsid w:val="7F267362"/>
    <w:rsid w:val="7F2DCBDF"/>
    <w:rsid w:val="7F49FCEC"/>
    <w:rsid w:val="7F5241F4"/>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02865111"/>
  <w15:docId w15:val="{F8876B66-A1D5-477B-991A-A9E598522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semiHidden="1" w:unhideWhenUsed="1" w:qFormat="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lsdException w:name="heading 7" w:locked="0" w:semiHidden="1" w:unhideWhenUsed="1" w:qFormat="1"/>
    <w:lsdException w:name="heading 8" w:locked="0" w:semiHidden="1" w:unhideWhenUsed="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iPriority="39" w:unhideWhenUsed="1"/>
    <w:lsdException w:name="Normal Indent" w:semiHidden="1"/>
    <w:lsdException w:name="footnote text" w:semiHidden="1" w:uiPriority="9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iPriority="98"/>
    <w:lsdException w:name="envelope return" w:semiHidden="1"/>
    <w:lsdException w:name="footnote reference" w:semiHidden="1" w:uiPriority="99" w:unhideWhenUsed="1" w:qFormat="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locked="0" w:semiHidden="1" w:uiPriority="98"/>
    <w:lsdException w:name="List Number" w:locked="0" w:semiHidden="1" w:uiPriority="98"/>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iPriority="99" w:unhideWhenUsed="1" w:qFormat="1"/>
    <w:lsdException w:name="List Bullet 3" w:locked="0" w:semiHidden="1" w:uiPriority="99" w:unhideWhenUsed="1" w:qFormat="1"/>
    <w:lsdException w:name="List Bullet 4" w:semiHidden="1" w:unhideWhenUsed="1"/>
    <w:lsdException w:name="List Bullet 5" w:semiHidden="1" w:unhideWhenUsed="1"/>
    <w:lsdException w:name="List Number 2" w:locked="0" w:semiHidden="1" w:unhideWhenUsed="1" w:qFormat="1"/>
    <w:lsdException w:name="List Number 3" w:locked="0" w:semiHidden="1" w:unhideWhenUsed="1" w:qFormat="1"/>
    <w:lsdException w:name="List Number 4" w:semiHidden="1" w:uiPriority="5" w:unhideWhenUsed="1"/>
    <w:lsdException w:name="List Number 5" w:semiHidden="1" w:uiPriority="5" w:unhideWhenUsed="1"/>
    <w:lsdException w:name="Closing" w:semiHidden="1"/>
    <w:lsdException w:name="Signature" w:semiHidden="1" w:unhideWhenUsed="1"/>
    <w:lsdException w:name="Default Paragraph Font" w:locked="0" w:semiHidden="1" w:uiPriority="1" w:unhideWhenUsed="1"/>
    <w:lsdException w:name="Body Text" w:semiHidden="1"/>
    <w:lsdException w:name="Body Text Indent" w:semiHidden="1"/>
    <w:lsdException w:name="List Continue" w:semiHidden="1" w:uiPriority="98"/>
    <w:lsdException w:name="List Continue 2" w:semiHidden="1" w:uiPriority="98"/>
    <w:lsdException w:name="List Continue 3" w:semiHidden="1" w:uiPriority="98"/>
    <w:lsdException w:name="List Continue 4" w:semiHidden="1" w:uiPriority="98"/>
    <w:lsdException w:name="List Continue 5" w:semiHidden="1" w:uiPriority="98"/>
    <w:lsdException w:name="Message Header" w:semiHidden="1" w:unhideWhenUsed="1"/>
    <w:lsdException w:name="Salutation" w:semiHidden="1" w:unhideWhenUsed="1"/>
    <w:lsdException w:name="Date" w:semiHidden="1" w:uiPriority="98"/>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nhideWhenUsed="1"/>
    <w:lsdException w:name="Strong" w:semiHidden="1"/>
    <w:lsdException w:name="Emphasis" w:semiHidden="1" w:uiPriority="98"/>
    <w:lsdException w:name="Document Map" w:semiHidden="1" w:unhideWhenUsed="1"/>
    <w:lsdException w:name="Plain Text" w:semiHidden="1" w:unhideWhenUsed="1"/>
    <w:lsdException w:name="E-mail Signature" w:semiHidden="1" w:uiPriority="98" w:unhideWhenUsed="1"/>
    <w:lsdException w:name="HTML Top of Form" w:locked="0" w:semiHidden="1" w:unhideWhenUsed="1"/>
    <w:lsdException w:name="HTML Bottom of Form" w:locked="0" w:semiHidden="1" w:unhideWhenUsed="1"/>
    <w:lsdException w:name="Normal (Web)" w:semiHidden="1" w:uiPriority="99"/>
    <w:lsdException w:name="HTML Acronym" w:semiHidden="1" w:uiPriority="98"/>
    <w:lsdException w:name="HTML Address" w:semiHidden="1" w:uiPriority="98"/>
    <w:lsdException w:name="HTML Cite" w:semiHidden="1" w:uiPriority="98"/>
    <w:lsdException w:name="HTML Code" w:semiHidden="1" w:uiPriority="98"/>
    <w:lsdException w:name="HTML Definition" w:semiHidden="1" w:uiPriority="98"/>
    <w:lsdException w:name="HTML Keyboard" w:semiHidden="1" w:uiPriority="98" w:unhideWhenUsed="1"/>
    <w:lsdException w:name="HTML Preformatted" w:semiHidden="1" w:uiPriority="98"/>
    <w:lsdException w:name="HTML Sample" w:semiHidden="1" w:uiPriority="98"/>
    <w:lsdException w:name="HTML Typewriter" w:semiHidden="1" w:uiPriority="98"/>
    <w:lsdException w:name="HTML Variable" w:semiHidden="1" w:uiPriority="98"/>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lsdException w:name="List Paragraph" w:semiHidden="1" w:uiPriority="34" w:qFormat="1"/>
    <w:lsdException w:name="Quote" w:semiHidden="1" w:uiPriority="98"/>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locked="0" w:semiHidden="1"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073AC"/>
    <w:pPr>
      <w:spacing w:line="264" w:lineRule="auto"/>
      <w:ind w:firstLine="360"/>
    </w:pPr>
  </w:style>
  <w:style w:type="paragraph" w:styleId="Heading1">
    <w:name w:val="heading 1"/>
    <w:basedOn w:val="Normal"/>
    <w:next w:val="Normal"/>
    <w:uiPriority w:val="2"/>
    <w:qFormat/>
    <w:rsid w:val="00F20463"/>
    <w:pPr>
      <w:keepNext/>
      <w:keepLines/>
      <w:pBdr>
        <w:bottom w:val="single" w:sz="4" w:space="1" w:color="auto"/>
      </w:pBdr>
      <w:suppressAutoHyphens/>
      <w:spacing w:after="840" w:line="288" w:lineRule="auto"/>
      <w:ind w:firstLine="0"/>
      <w:outlineLvl w:val="0"/>
    </w:pPr>
    <w:rPr>
      <w:rFonts w:ascii="Arial" w:hAnsi="Arial"/>
      <w:sz w:val="32"/>
      <w:szCs w:val="20"/>
    </w:rPr>
  </w:style>
  <w:style w:type="paragraph" w:styleId="Heading2">
    <w:name w:val="heading 2"/>
    <w:basedOn w:val="Heading1"/>
    <w:next w:val="Normal"/>
    <w:link w:val="Heading2Char"/>
    <w:uiPriority w:val="2"/>
    <w:qFormat/>
    <w:rsid w:val="00304BFD"/>
    <w:pPr>
      <w:pBdr>
        <w:bottom w:val="none" w:sz="0" w:space="0" w:color="auto"/>
      </w:pBdr>
      <w:spacing w:before="360" w:after="120"/>
      <w:ind w:left="360" w:hanging="360"/>
      <w:outlineLvl w:val="1"/>
    </w:pPr>
    <w:rPr>
      <w:sz w:val="28"/>
    </w:rPr>
  </w:style>
  <w:style w:type="paragraph" w:styleId="Heading3">
    <w:name w:val="heading 3"/>
    <w:basedOn w:val="Heading1"/>
    <w:next w:val="Normal"/>
    <w:uiPriority w:val="2"/>
    <w:qFormat/>
    <w:rsid w:val="00425347"/>
    <w:pPr>
      <w:pBdr>
        <w:bottom w:val="none" w:sz="0" w:space="0" w:color="auto"/>
      </w:pBdr>
      <w:spacing w:before="240" w:after="120"/>
      <w:ind w:left="360" w:hanging="360"/>
      <w:outlineLvl w:val="2"/>
    </w:pPr>
    <w:rPr>
      <w:i/>
      <w:sz w:val="24"/>
      <w:szCs w:val="26"/>
    </w:rPr>
  </w:style>
  <w:style w:type="paragraph" w:styleId="Heading4">
    <w:name w:val="heading 4"/>
    <w:basedOn w:val="Heading1"/>
    <w:next w:val="Normal"/>
    <w:uiPriority w:val="2"/>
    <w:qFormat/>
    <w:rsid w:val="00FC3EAE"/>
    <w:pPr>
      <w:pBdr>
        <w:bottom w:val="none" w:sz="0" w:space="0" w:color="auto"/>
      </w:pBdr>
      <w:spacing w:before="240" w:after="60"/>
      <w:ind w:left="360" w:hanging="360"/>
      <w:outlineLvl w:val="3"/>
    </w:pPr>
    <w:rPr>
      <w:sz w:val="22"/>
      <w:szCs w:val="28"/>
    </w:rPr>
  </w:style>
  <w:style w:type="paragraph" w:styleId="Heading5">
    <w:name w:val="heading 5"/>
    <w:basedOn w:val="Heading1"/>
    <w:next w:val="Normal"/>
    <w:uiPriority w:val="2"/>
    <w:qFormat/>
    <w:rsid w:val="005F03B8"/>
    <w:pPr>
      <w:pBdr>
        <w:bottom w:val="none" w:sz="0" w:space="0" w:color="auto"/>
      </w:pBdr>
      <w:spacing w:before="240" w:after="60"/>
      <w:ind w:left="360" w:hanging="360"/>
      <w:outlineLvl w:val="4"/>
    </w:pPr>
    <w:rPr>
      <w:i/>
      <w:sz w:val="20"/>
      <w:szCs w:val="26"/>
    </w:rPr>
  </w:style>
  <w:style w:type="paragraph" w:styleId="Heading6">
    <w:name w:val="heading 6"/>
    <w:aliases w:val="Figure Number"/>
    <w:basedOn w:val="Normal"/>
    <w:next w:val="Normal"/>
    <w:uiPriority w:val="2"/>
    <w:unhideWhenUsed/>
    <w:rsid w:val="008C131A"/>
    <w:pPr>
      <w:keepNext/>
      <w:spacing w:before="240" w:line="288" w:lineRule="auto"/>
      <w:jc w:val="center"/>
      <w:outlineLvl w:val="5"/>
    </w:pPr>
    <w:rPr>
      <w:rFonts w:ascii="Arial" w:hAnsi="Arial"/>
      <w:b/>
      <w:bCs/>
      <w:sz w:val="20"/>
      <w:szCs w:val="20"/>
    </w:rPr>
  </w:style>
  <w:style w:type="paragraph" w:styleId="Heading7">
    <w:name w:val="heading 7"/>
    <w:aliases w:val="Figure Title"/>
    <w:basedOn w:val="Heading1"/>
    <w:next w:val="FigurePlacement"/>
    <w:link w:val="Heading7Char"/>
    <w:uiPriority w:val="2"/>
    <w:qFormat/>
    <w:rsid w:val="005F03B8"/>
    <w:pPr>
      <w:pBdr>
        <w:bottom w:val="none" w:sz="0" w:space="0" w:color="auto"/>
      </w:pBdr>
      <w:spacing w:before="360" w:after="240"/>
      <w:jc w:val="center"/>
      <w:outlineLvl w:val="6"/>
    </w:pPr>
    <w:rPr>
      <w:b/>
      <w:sz w:val="20"/>
    </w:rPr>
  </w:style>
  <w:style w:type="paragraph" w:styleId="Heading8">
    <w:name w:val="heading 8"/>
    <w:aliases w:val="Table Number"/>
    <w:basedOn w:val="Heading6"/>
    <w:next w:val="Heading9"/>
    <w:link w:val="Heading8Char"/>
    <w:uiPriority w:val="2"/>
    <w:unhideWhenUsed/>
    <w:rsid w:val="008C131A"/>
    <w:pPr>
      <w:keepLines/>
      <w:contextualSpacing/>
      <w:outlineLvl w:val="7"/>
    </w:pPr>
  </w:style>
  <w:style w:type="paragraph" w:styleId="Heading9">
    <w:name w:val="heading 9"/>
    <w:aliases w:val="Table Title"/>
    <w:basedOn w:val="Heading1"/>
    <w:next w:val="Normal"/>
    <w:uiPriority w:val="2"/>
    <w:qFormat/>
    <w:rsid w:val="005F03B8"/>
    <w:pPr>
      <w:pBdr>
        <w:bottom w:val="none" w:sz="0" w:space="0" w:color="auto"/>
      </w:pBdr>
      <w:spacing w:before="360" w:after="240"/>
      <w:jc w:val="center"/>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2"/>
    <w:rsid w:val="004E00B8"/>
    <w:rPr>
      <w:rFonts w:ascii="Arial" w:hAnsi="Arial"/>
      <w:sz w:val="28"/>
      <w:szCs w:val="20"/>
    </w:rPr>
  </w:style>
  <w:style w:type="character" w:customStyle="1" w:styleId="Heading7Char">
    <w:name w:val="Heading 7 Char"/>
    <w:aliases w:val="Figure Title Char"/>
    <w:link w:val="Heading7"/>
    <w:uiPriority w:val="2"/>
    <w:rsid w:val="004E00B8"/>
    <w:rPr>
      <w:rFonts w:ascii="Arial" w:hAnsi="Arial"/>
      <w:b/>
      <w:sz w:val="20"/>
      <w:szCs w:val="20"/>
    </w:rPr>
  </w:style>
  <w:style w:type="character" w:customStyle="1" w:styleId="Heading8Char">
    <w:name w:val="Heading 8 Char"/>
    <w:aliases w:val="Table Number Char"/>
    <w:link w:val="Heading8"/>
    <w:uiPriority w:val="2"/>
    <w:rsid w:val="004B482B"/>
    <w:rPr>
      <w:rFonts w:ascii="Arial" w:hAnsi="Arial"/>
      <w:b/>
      <w:bCs/>
      <w:sz w:val="20"/>
      <w:szCs w:val="20"/>
    </w:rPr>
  </w:style>
  <w:style w:type="paragraph" w:customStyle="1" w:styleId="BibEntry">
    <w:name w:val="Bib Entry"/>
    <w:basedOn w:val="Normal"/>
    <w:uiPriority w:val="1"/>
    <w:qFormat/>
    <w:rsid w:val="009A14D3"/>
    <w:pPr>
      <w:keepLines/>
      <w:spacing w:after="120" w:line="288" w:lineRule="auto"/>
      <w:ind w:left="360" w:hanging="360"/>
    </w:pPr>
    <w:rPr>
      <w:szCs w:val="20"/>
    </w:rPr>
  </w:style>
  <w:style w:type="character" w:styleId="FootnoteReference">
    <w:name w:val="footnote reference"/>
    <w:uiPriority w:val="99"/>
    <w:locked/>
    <w:rsid w:val="008C131A"/>
    <w:rPr>
      <w:rFonts w:ascii="Times New Roman" w:hAnsi="Times New Roman"/>
      <w:bCs/>
      <w:iCs/>
      <w:dstrike w:val="0"/>
      <w:sz w:val="24"/>
      <w:szCs w:val="20"/>
      <w:vertAlign w:val="superscript"/>
    </w:rPr>
  </w:style>
  <w:style w:type="paragraph" w:styleId="FootnoteText">
    <w:name w:val="footnote text"/>
    <w:basedOn w:val="Normal"/>
    <w:link w:val="FootnoteTextChar"/>
    <w:uiPriority w:val="99"/>
    <w:qFormat/>
    <w:locked/>
    <w:rsid w:val="00AB3B9F"/>
    <w:pPr>
      <w:spacing w:before="60" w:after="60"/>
    </w:pPr>
    <w:rPr>
      <w:sz w:val="20"/>
      <w:szCs w:val="20"/>
    </w:rPr>
  </w:style>
  <w:style w:type="paragraph" w:customStyle="1" w:styleId="LeftFlush">
    <w:name w:val="Left Flush"/>
    <w:basedOn w:val="Normal"/>
    <w:next w:val="Normal"/>
    <w:uiPriority w:val="3"/>
    <w:qFormat/>
    <w:rsid w:val="008C131A"/>
    <w:pPr>
      <w:spacing w:line="288" w:lineRule="auto"/>
    </w:pPr>
    <w:rPr>
      <w:szCs w:val="20"/>
    </w:rPr>
  </w:style>
  <w:style w:type="paragraph" w:customStyle="1" w:styleId="Quotation">
    <w:name w:val="Quotation"/>
    <w:basedOn w:val="Normal"/>
    <w:uiPriority w:val="8"/>
    <w:qFormat/>
    <w:rsid w:val="0023344D"/>
    <w:pPr>
      <w:spacing w:before="120" w:after="120"/>
      <w:ind w:left="1080" w:right="1080"/>
    </w:pPr>
    <w:rPr>
      <w:iCs/>
      <w:sz w:val="22"/>
    </w:rPr>
  </w:style>
  <w:style w:type="paragraph" w:customStyle="1" w:styleId="TableNote">
    <w:name w:val="Table Note"/>
    <w:basedOn w:val="TableBody"/>
    <w:uiPriority w:val="9"/>
    <w:qFormat/>
    <w:rsid w:val="00425347"/>
    <w:pPr>
      <w:contextualSpacing/>
    </w:pPr>
  </w:style>
  <w:style w:type="paragraph" w:customStyle="1" w:styleId="TableBody">
    <w:name w:val="Table Body"/>
    <w:basedOn w:val="Normal"/>
    <w:uiPriority w:val="9"/>
    <w:qFormat/>
    <w:rsid w:val="00D44A2E"/>
    <w:pPr>
      <w:spacing w:line="240" w:lineRule="auto"/>
      <w:ind w:firstLine="0"/>
    </w:pPr>
    <w:rPr>
      <w:rFonts w:ascii="Arial" w:hAnsi="Arial"/>
      <w:sz w:val="18"/>
      <w:szCs w:val="20"/>
    </w:rPr>
  </w:style>
  <w:style w:type="character" w:customStyle="1" w:styleId="cItalicText">
    <w:name w:val="(c) Italic Text"/>
    <w:rsid w:val="008C131A"/>
    <w:rPr>
      <w:i/>
    </w:rPr>
  </w:style>
  <w:style w:type="character" w:customStyle="1" w:styleId="cBoldText">
    <w:name w:val="(c) Bold Text"/>
    <w:rsid w:val="008C131A"/>
    <w:rPr>
      <w:b/>
    </w:rPr>
  </w:style>
  <w:style w:type="paragraph" w:customStyle="1" w:styleId="FootnoteQuote">
    <w:name w:val="Footnote Quote"/>
    <w:basedOn w:val="FootnoteText"/>
    <w:uiPriority w:val="1"/>
    <w:qFormat/>
    <w:rsid w:val="00742063"/>
    <w:pPr>
      <w:ind w:left="720" w:right="720"/>
      <w:contextualSpacing/>
    </w:pPr>
    <w:rPr>
      <w:rFonts w:cs="Courier New"/>
    </w:rPr>
  </w:style>
  <w:style w:type="character" w:styleId="CommentReference">
    <w:name w:val="annotation reference"/>
    <w:uiPriority w:val="99"/>
    <w:semiHidden/>
    <w:locked/>
    <w:rsid w:val="008C131A"/>
    <w:rPr>
      <w:sz w:val="18"/>
    </w:rPr>
  </w:style>
  <w:style w:type="paragraph" w:customStyle="1" w:styleId="TableColHeading">
    <w:name w:val="Table Col Heading"/>
    <w:basedOn w:val="TableBody"/>
    <w:uiPriority w:val="9"/>
    <w:qFormat/>
    <w:rsid w:val="002F76E4"/>
    <w:pPr>
      <w:jc w:val="center"/>
    </w:pPr>
    <w:rPr>
      <w:b/>
    </w:rPr>
  </w:style>
  <w:style w:type="paragraph" w:styleId="ListBullet2">
    <w:name w:val="List Bullet 2"/>
    <w:basedOn w:val="Normal"/>
    <w:uiPriority w:val="7"/>
    <w:qFormat/>
    <w:rsid w:val="0023344D"/>
    <w:pPr>
      <w:numPr>
        <w:numId w:val="8"/>
      </w:numPr>
      <w:contextualSpacing/>
    </w:pPr>
  </w:style>
  <w:style w:type="paragraph" w:styleId="ListBullet3">
    <w:name w:val="List Bullet 3"/>
    <w:basedOn w:val="Normal"/>
    <w:uiPriority w:val="7"/>
    <w:qFormat/>
    <w:rsid w:val="0023344D"/>
    <w:pPr>
      <w:numPr>
        <w:numId w:val="3"/>
      </w:numPr>
      <w:spacing w:before="60" w:after="60"/>
      <w:contextualSpacing/>
    </w:pPr>
  </w:style>
  <w:style w:type="paragraph" w:customStyle="1" w:styleId="QuotationBullet">
    <w:name w:val="Quotation Bullet"/>
    <w:basedOn w:val="Quotation"/>
    <w:uiPriority w:val="8"/>
    <w:qFormat/>
    <w:rsid w:val="0023344D"/>
    <w:pPr>
      <w:numPr>
        <w:numId w:val="6"/>
      </w:numPr>
      <w:contextualSpacing/>
    </w:pPr>
  </w:style>
  <w:style w:type="paragraph" w:customStyle="1" w:styleId="ChapterNumber">
    <w:name w:val="Chapter Number"/>
    <w:basedOn w:val="Heading1"/>
    <w:next w:val="Heading1"/>
    <w:uiPriority w:val="97"/>
    <w:rsid w:val="00D37B6D"/>
    <w:pPr>
      <w:pageBreakBefore/>
      <w:pBdr>
        <w:bottom w:val="none" w:sz="0" w:space="0" w:color="auto"/>
      </w:pBdr>
      <w:spacing w:after="0"/>
    </w:pPr>
    <w:rPr>
      <w:b/>
      <w:sz w:val="20"/>
    </w:rPr>
  </w:style>
  <w:style w:type="paragraph" w:styleId="CommentText">
    <w:name w:val="annotation text"/>
    <w:basedOn w:val="Normal"/>
    <w:link w:val="CommentTextChar"/>
    <w:uiPriority w:val="99"/>
    <w:locked/>
    <w:rsid w:val="008C131A"/>
    <w:pPr>
      <w:spacing w:line="288" w:lineRule="auto"/>
    </w:pPr>
  </w:style>
  <w:style w:type="character" w:customStyle="1" w:styleId="cTableSuperscript">
    <w:name w:val="(c) Table Superscript"/>
    <w:rsid w:val="008C131A"/>
    <w:rPr>
      <w:rFonts w:ascii="Arial" w:hAnsi="Arial"/>
      <w:dstrike w:val="0"/>
      <w:color w:val="auto"/>
      <w:sz w:val="18"/>
      <w:vertAlign w:val="superscript"/>
    </w:rPr>
  </w:style>
  <w:style w:type="paragraph" w:customStyle="1" w:styleId="TableListBullet1">
    <w:name w:val="Table List Bullet 1"/>
    <w:basedOn w:val="Normal"/>
    <w:uiPriority w:val="9"/>
    <w:qFormat/>
    <w:rsid w:val="00425347"/>
    <w:pPr>
      <w:numPr>
        <w:numId w:val="7"/>
      </w:numPr>
    </w:pPr>
    <w:rPr>
      <w:rFonts w:ascii="Arial" w:hAnsi="Arial"/>
      <w:sz w:val="18"/>
      <w:szCs w:val="20"/>
    </w:rPr>
  </w:style>
  <w:style w:type="character" w:customStyle="1" w:styleId="CommentTextChar">
    <w:name w:val="Comment Text Char"/>
    <w:link w:val="CommentText"/>
    <w:uiPriority w:val="99"/>
    <w:rsid w:val="00214B74"/>
    <w:rPr>
      <w:sz w:val="24"/>
      <w:szCs w:val="24"/>
    </w:rPr>
  </w:style>
  <w:style w:type="paragraph" w:styleId="CommentSubject">
    <w:name w:val="annotation subject"/>
    <w:basedOn w:val="CommentText"/>
    <w:next w:val="CommentText"/>
    <w:link w:val="CommentSubjectChar"/>
    <w:semiHidden/>
    <w:locked/>
    <w:rsid w:val="008C131A"/>
    <w:rPr>
      <w:b/>
      <w:bCs/>
      <w:sz w:val="20"/>
      <w:szCs w:val="20"/>
    </w:rPr>
  </w:style>
  <w:style w:type="character" w:customStyle="1" w:styleId="CommentSubjectChar">
    <w:name w:val="Comment Subject Char"/>
    <w:link w:val="CommentSubject"/>
    <w:semiHidden/>
    <w:rsid w:val="00214B74"/>
    <w:rPr>
      <w:b/>
      <w:bCs/>
    </w:rPr>
  </w:style>
  <w:style w:type="paragraph" w:styleId="ListNumber2">
    <w:name w:val="List Number 2"/>
    <w:basedOn w:val="Normal"/>
    <w:uiPriority w:val="7"/>
    <w:qFormat/>
    <w:rsid w:val="00906D6D"/>
    <w:pPr>
      <w:numPr>
        <w:numId w:val="5"/>
      </w:numPr>
      <w:spacing w:before="60" w:after="60"/>
      <w:contextualSpacing/>
    </w:pPr>
  </w:style>
  <w:style w:type="paragraph" w:customStyle="1" w:styleId="TableBodyIndent1">
    <w:name w:val="Table Body Indent 1"/>
    <w:basedOn w:val="TableBody"/>
    <w:uiPriority w:val="9"/>
    <w:qFormat/>
    <w:rsid w:val="00425347"/>
    <w:pPr>
      <w:ind w:left="360"/>
    </w:pPr>
  </w:style>
  <w:style w:type="paragraph" w:customStyle="1" w:styleId="TableBodyIndent2">
    <w:name w:val="Table Body Indent 2"/>
    <w:basedOn w:val="TableBodyIndent1"/>
    <w:uiPriority w:val="9"/>
    <w:qFormat/>
    <w:rsid w:val="008C131A"/>
    <w:pPr>
      <w:ind w:left="720"/>
    </w:pPr>
  </w:style>
  <w:style w:type="paragraph" w:styleId="ListNumber3">
    <w:name w:val="List Number 3"/>
    <w:basedOn w:val="Normal"/>
    <w:uiPriority w:val="7"/>
    <w:qFormat/>
    <w:rsid w:val="00524F0C"/>
    <w:pPr>
      <w:numPr>
        <w:numId w:val="9"/>
      </w:numPr>
      <w:spacing w:before="60" w:after="60"/>
      <w:contextualSpacing/>
    </w:pPr>
  </w:style>
  <w:style w:type="paragraph" w:customStyle="1" w:styleId="TableBodyIndent3">
    <w:name w:val="Table Body Indent 3"/>
    <w:basedOn w:val="TableBodyIndent2"/>
    <w:uiPriority w:val="9"/>
    <w:qFormat/>
    <w:rsid w:val="008C131A"/>
    <w:pPr>
      <w:ind w:left="1080"/>
    </w:pPr>
  </w:style>
  <w:style w:type="paragraph" w:customStyle="1" w:styleId="FootnoteBullet">
    <w:name w:val="Footnote Bullet"/>
    <w:basedOn w:val="FootnoteText"/>
    <w:uiPriority w:val="1"/>
    <w:qFormat/>
    <w:rsid w:val="00742063"/>
    <w:pPr>
      <w:numPr>
        <w:numId w:val="1"/>
      </w:numPr>
      <w:spacing w:before="120" w:after="120"/>
      <w:contextualSpacing/>
    </w:pPr>
  </w:style>
  <w:style w:type="paragraph" w:customStyle="1" w:styleId="HeaderDisclaimer">
    <w:name w:val="Header Disclaimer"/>
    <w:basedOn w:val="Heading1"/>
    <w:semiHidden/>
    <w:rsid w:val="00DA6258"/>
    <w:pPr>
      <w:pBdr>
        <w:bottom w:val="none" w:sz="0" w:space="0" w:color="auto"/>
      </w:pBdr>
      <w:spacing w:after="0"/>
      <w:jc w:val="center"/>
      <w:outlineLvl w:val="9"/>
    </w:pPr>
    <w:rPr>
      <w:rFonts w:cs="Arial"/>
      <w:b/>
      <w:bCs/>
      <w:smallCaps/>
      <w:sz w:val="20"/>
    </w:rPr>
  </w:style>
  <w:style w:type="paragraph" w:customStyle="1" w:styleId="TableListNumber1">
    <w:name w:val="Table List Number 1"/>
    <w:basedOn w:val="Normal"/>
    <w:uiPriority w:val="9"/>
    <w:qFormat/>
    <w:rsid w:val="00425347"/>
    <w:pPr>
      <w:numPr>
        <w:numId w:val="11"/>
      </w:numPr>
    </w:pPr>
    <w:rPr>
      <w:rFonts w:ascii="Arial" w:hAnsi="Arial"/>
      <w:sz w:val="18"/>
      <w:szCs w:val="20"/>
    </w:rPr>
  </w:style>
  <w:style w:type="paragraph" w:customStyle="1" w:styleId="ListBullet1Continued">
    <w:name w:val="List Bullet 1 Continued"/>
    <w:basedOn w:val="Normal"/>
    <w:uiPriority w:val="7"/>
    <w:qFormat/>
    <w:rsid w:val="00800FB8"/>
    <w:pPr>
      <w:ind w:left="720"/>
      <w:contextualSpacing/>
    </w:pPr>
  </w:style>
  <w:style w:type="paragraph" w:styleId="BalloonText">
    <w:name w:val="Balloon Text"/>
    <w:basedOn w:val="Normal"/>
    <w:link w:val="BalloonTextChar"/>
    <w:semiHidden/>
    <w:locked/>
    <w:rsid w:val="002E2392"/>
    <w:pPr>
      <w:spacing w:line="288"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214B74"/>
    <w:rPr>
      <w:rFonts w:ascii="Lucida Grande" w:hAnsi="Lucida Grande" w:cs="Lucida Grande"/>
      <w:sz w:val="18"/>
      <w:szCs w:val="18"/>
    </w:rPr>
  </w:style>
  <w:style w:type="table" w:styleId="TableGrid">
    <w:name w:val="Table Grid"/>
    <w:basedOn w:val="TableNormal"/>
    <w:uiPriority w:val="39"/>
    <w:locked/>
    <w:rsid w:val="0061705C"/>
    <w:pPr>
      <w:spacing w:line="264" w:lineRule="auto"/>
    </w:pPr>
    <w:rPr>
      <w:rFonts w:ascii="Arial" w:hAnsi="Arial"/>
    </w:rPr>
    <w:tblPr>
      <w:tblBorders>
        <w:top w:val="single" w:sz="8" w:space="0" w:color="auto"/>
      </w:tblBorders>
      <w:tblCellMar>
        <w:top w:w="115" w:type="dxa"/>
        <w:left w:w="0" w:type="dxa"/>
        <w:bottom w:w="115" w:type="dxa"/>
        <w:right w:w="0" w:type="dxa"/>
      </w:tblCellMar>
    </w:tblPr>
    <w:tcPr>
      <w:tcMar>
        <w:top w:w="58" w:type="dxa"/>
        <w:bottom w:w="58" w:type="dxa"/>
        <w:right w:w="115" w:type="dxa"/>
      </w:tcMar>
    </w:tcPr>
    <w:tblStylePr w:type="firstRow">
      <w:tblPr/>
      <w:tcPr>
        <w:tcBorders>
          <w:top w:val="single" w:sz="8" w:space="0" w:color="auto"/>
          <w:bottom w:val="single" w:sz="8" w:space="0" w:color="auto"/>
        </w:tcBorders>
      </w:tcPr>
    </w:tblStylePr>
    <w:tblStylePr w:type="lastRow">
      <w:tblPr/>
      <w:tcPr>
        <w:tcBorders>
          <w:top w:val="nil"/>
        </w:tcBorders>
      </w:tcPr>
    </w:tblStylePr>
    <w:tblStylePr w:type="firstCol">
      <w:pPr>
        <w:jc w:val="left"/>
      </w:pPr>
    </w:tblStylePr>
  </w:style>
  <w:style w:type="paragraph" w:styleId="Header">
    <w:name w:val="header"/>
    <w:basedOn w:val="Normal"/>
    <w:link w:val="HeaderChar"/>
    <w:semiHidden/>
    <w:locked/>
    <w:rsid w:val="00145FE7"/>
    <w:pPr>
      <w:tabs>
        <w:tab w:val="center" w:pos="4680"/>
        <w:tab w:val="right" w:pos="9360"/>
      </w:tabs>
      <w:spacing w:line="288" w:lineRule="auto"/>
    </w:pPr>
  </w:style>
  <w:style w:type="character" w:customStyle="1" w:styleId="HeaderChar">
    <w:name w:val="Header Char"/>
    <w:basedOn w:val="DefaultParagraphFont"/>
    <w:link w:val="Header"/>
    <w:semiHidden/>
    <w:rsid w:val="00214B74"/>
    <w:rPr>
      <w:sz w:val="24"/>
      <w:szCs w:val="24"/>
    </w:rPr>
  </w:style>
  <w:style w:type="paragraph" w:styleId="Footer">
    <w:name w:val="footer"/>
    <w:basedOn w:val="Normal"/>
    <w:link w:val="FooterChar"/>
    <w:uiPriority w:val="99"/>
    <w:semiHidden/>
    <w:locked/>
    <w:rsid w:val="00145FE7"/>
    <w:pPr>
      <w:tabs>
        <w:tab w:val="center" w:pos="4680"/>
        <w:tab w:val="right" w:pos="9360"/>
      </w:tabs>
      <w:spacing w:line="288" w:lineRule="auto"/>
    </w:pPr>
  </w:style>
  <w:style w:type="character" w:customStyle="1" w:styleId="FooterChar">
    <w:name w:val="Footer Char"/>
    <w:basedOn w:val="DefaultParagraphFont"/>
    <w:link w:val="Footer"/>
    <w:uiPriority w:val="99"/>
    <w:semiHidden/>
    <w:rsid w:val="00214B74"/>
    <w:rPr>
      <w:sz w:val="24"/>
      <w:szCs w:val="24"/>
    </w:rPr>
  </w:style>
  <w:style w:type="paragraph" w:styleId="TOC1">
    <w:name w:val="toc 1"/>
    <w:basedOn w:val="Normal"/>
    <w:next w:val="Normal"/>
    <w:uiPriority w:val="39"/>
    <w:rsid w:val="000979C6"/>
    <w:pPr>
      <w:tabs>
        <w:tab w:val="right" w:leader="dot" w:pos="9350"/>
      </w:tabs>
      <w:spacing w:line="288" w:lineRule="auto"/>
      <w:ind w:left="360" w:hanging="360"/>
    </w:pPr>
  </w:style>
  <w:style w:type="paragraph" w:styleId="TOC2">
    <w:name w:val="toc 2"/>
    <w:basedOn w:val="Normal"/>
    <w:next w:val="Normal"/>
    <w:uiPriority w:val="39"/>
    <w:rsid w:val="00B01237"/>
    <w:pPr>
      <w:tabs>
        <w:tab w:val="right" w:leader="dot" w:pos="9350"/>
      </w:tabs>
      <w:spacing w:line="288" w:lineRule="auto"/>
      <w:ind w:left="605" w:hanging="360"/>
    </w:pPr>
    <w:rPr>
      <w:sz w:val="22"/>
    </w:rPr>
  </w:style>
  <w:style w:type="paragraph" w:styleId="TOC3">
    <w:name w:val="toc 3"/>
    <w:basedOn w:val="Normal"/>
    <w:next w:val="Normal"/>
    <w:uiPriority w:val="39"/>
    <w:rsid w:val="00946ADF"/>
    <w:pPr>
      <w:tabs>
        <w:tab w:val="right" w:leader="dot" w:pos="9350"/>
      </w:tabs>
      <w:spacing w:line="288" w:lineRule="auto"/>
      <w:ind w:left="835" w:hanging="360"/>
    </w:pPr>
    <w:rPr>
      <w:sz w:val="22"/>
    </w:rPr>
  </w:style>
  <w:style w:type="paragraph" w:styleId="Title">
    <w:name w:val="Title"/>
    <w:basedOn w:val="Normal"/>
    <w:next w:val="Subtitle"/>
    <w:link w:val="TitleChar"/>
    <w:semiHidden/>
    <w:locked/>
    <w:rsid w:val="00A96B05"/>
    <w:pPr>
      <w:spacing w:before="1680" w:after="360" w:line="288" w:lineRule="auto"/>
      <w:ind w:left="360" w:hanging="360"/>
    </w:pPr>
    <w:rPr>
      <w:rFonts w:ascii="Arial" w:hAnsi="Arial" w:cs="Arial"/>
      <w:sz w:val="48"/>
      <w:szCs w:val="48"/>
    </w:rPr>
  </w:style>
  <w:style w:type="character" w:customStyle="1" w:styleId="TitleChar">
    <w:name w:val="Title Char"/>
    <w:basedOn w:val="DefaultParagraphFont"/>
    <w:link w:val="Title"/>
    <w:semiHidden/>
    <w:rsid w:val="00765388"/>
    <w:rPr>
      <w:rFonts w:ascii="Arial" w:hAnsi="Arial" w:cs="Arial"/>
      <w:sz w:val="48"/>
      <w:szCs w:val="48"/>
    </w:rPr>
  </w:style>
  <w:style w:type="paragraph" w:styleId="Subtitle">
    <w:name w:val="Subtitle"/>
    <w:basedOn w:val="Normal"/>
    <w:next w:val="Cover-AuthorList"/>
    <w:link w:val="SubtitleChar"/>
    <w:semiHidden/>
    <w:locked/>
    <w:rsid w:val="00224486"/>
    <w:pPr>
      <w:spacing w:before="360" w:line="288" w:lineRule="auto"/>
      <w:ind w:left="360" w:hanging="360"/>
    </w:pPr>
    <w:rPr>
      <w:rFonts w:ascii="Arial" w:hAnsi="Arial" w:cs="Arial"/>
      <w:sz w:val="36"/>
      <w:szCs w:val="36"/>
    </w:rPr>
  </w:style>
  <w:style w:type="character" w:customStyle="1" w:styleId="SubtitleChar">
    <w:name w:val="Subtitle Char"/>
    <w:basedOn w:val="DefaultParagraphFont"/>
    <w:link w:val="Subtitle"/>
    <w:semiHidden/>
    <w:rsid w:val="00765388"/>
    <w:rPr>
      <w:rFonts w:ascii="Arial" w:hAnsi="Arial" w:cs="Arial"/>
      <w:sz w:val="36"/>
      <w:szCs w:val="36"/>
    </w:rPr>
  </w:style>
  <w:style w:type="paragraph" w:customStyle="1" w:styleId="Cover-DocumentType">
    <w:name w:val="Cover - Document Type"/>
    <w:basedOn w:val="Cover-Title"/>
    <w:next w:val="Cover-Title"/>
    <w:uiPriority w:val="12"/>
    <w:rsid w:val="00A96B05"/>
    <w:pPr>
      <w:pBdr>
        <w:bottom w:val="single" w:sz="4" w:space="1" w:color="auto"/>
      </w:pBdr>
      <w:spacing w:before="0" w:after="1680"/>
      <w:ind w:left="0" w:firstLine="0"/>
      <w:jc w:val="right"/>
    </w:pPr>
    <w:rPr>
      <w:rFonts w:cs="Arial"/>
      <w:sz w:val="28"/>
      <w:szCs w:val="28"/>
    </w:rPr>
  </w:style>
  <w:style w:type="paragraph" w:customStyle="1" w:styleId="Cover-Disclaimer">
    <w:name w:val="Cover - Disclaimer"/>
    <w:basedOn w:val="Cover-Title"/>
    <w:uiPriority w:val="12"/>
    <w:rsid w:val="0054221C"/>
    <w:pPr>
      <w:spacing w:before="240" w:after="0"/>
      <w:ind w:left="0" w:firstLine="0"/>
    </w:pPr>
    <w:rPr>
      <w:rFonts w:cs="Arial"/>
      <w:sz w:val="16"/>
      <w:szCs w:val="16"/>
    </w:rPr>
  </w:style>
  <w:style w:type="paragraph" w:customStyle="1" w:styleId="Cover-AuthorList">
    <w:name w:val="Cover - Author List"/>
    <w:basedOn w:val="Cover-Title"/>
    <w:next w:val="Cover-DivisionName"/>
    <w:uiPriority w:val="12"/>
    <w:rsid w:val="00DC4FD7"/>
    <w:pPr>
      <w:spacing w:before="960" w:after="2040"/>
      <w:ind w:left="0" w:firstLine="0"/>
    </w:pPr>
    <w:rPr>
      <w:rFonts w:cs="Arial"/>
      <w:sz w:val="24"/>
    </w:rPr>
  </w:style>
  <w:style w:type="paragraph" w:customStyle="1" w:styleId="Cover-DivisionName">
    <w:name w:val="Cover - Division Name"/>
    <w:basedOn w:val="Cover-Title"/>
    <w:next w:val="Cover-DocumentDetails"/>
    <w:uiPriority w:val="12"/>
    <w:rsid w:val="0054221C"/>
    <w:pPr>
      <w:spacing w:before="2040" w:after="1000"/>
      <w:ind w:left="0" w:firstLine="0"/>
    </w:pPr>
    <w:rPr>
      <w:rFonts w:cs="Arial"/>
      <w:sz w:val="24"/>
    </w:rPr>
  </w:style>
  <w:style w:type="paragraph" w:customStyle="1" w:styleId="Cover-DocumentDetails">
    <w:name w:val="Cover - Document Details"/>
    <w:basedOn w:val="Cover-Title"/>
    <w:uiPriority w:val="12"/>
    <w:rsid w:val="00DC4FD7"/>
    <w:pPr>
      <w:spacing w:before="60" w:after="60"/>
      <w:ind w:left="0" w:firstLine="0"/>
    </w:pPr>
    <w:rPr>
      <w:rFonts w:cs="Arial"/>
      <w:sz w:val="16"/>
      <w:szCs w:val="16"/>
    </w:rPr>
  </w:style>
  <w:style w:type="paragraph" w:styleId="TOC4">
    <w:name w:val="toc 4"/>
    <w:basedOn w:val="Normal"/>
    <w:next w:val="Normal"/>
    <w:autoRedefine/>
    <w:semiHidden/>
    <w:rsid w:val="00895FCC"/>
    <w:pPr>
      <w:spacing w:after="100" w:line="288" w:lineRule="auto"/>
      <w:ind w:left="1080" w:hanging="360"/>
    </w:pPr>
  </w:style>
  <w:style w:type="paragraph" w:styleId="TOCHeading">
    <w:name w:val="TOC Heading"/>
    <w:basedOn w:val="Heading1"/>
    <w:next w:val="Normal"/>
    <w:semiHidden/>
    <w:rsid w:val="00895FCC"/>
    <w:pPr>
      <w:outlineLvl w:val="9"/>
    </w:pPr>
    <w:rPr>
      <w:rFonts w:eastAsiaTheme="majorEastAsia" w:cstheme="majorBidi"/>
      <w:bCs/>
      <w:szCs w:val="32"/>
    </w:rPr>
  </w:style>
  <w:style w:type="paragraph" w:styleId="TOC5">
    <w:name w:val="toc 5"/>
    <w:basedOn w:val="Normal"/>
    <w:next w:val="Normal"/>
    <w:autoRedefine/>
    <w:semiHidden/>
    <w:rsid w:val="00895FCC"/>
    <w:pPr>
      <w:spacing w:line="288" w:lineRule="auto"/>
      <w:ind w:left="960"/>
    </w:pPr>
  </w:style>
  <w:style w:type="paragraph" w:styleId="TOC6">
    <w:name w:val="toc 6"/>
    <w:basedOn w:val="Normal"/>
    <w:next w:val="Normal"/>
    <w:autoRedefine/>
    <w:semiHidden/>
    <w:rsid w:val="00895FCC"/>
    <w:pPr>
      <w:spacing w:line="288" w:lineRule="auto"/>
      <w:ind w:left="1200"/>
    </w:pPr>
  </w:style>
  <w:style w:type="paragraph" w:styleId="TOC7">
    <w:name w:val="toc 7"/>
    <w:basedOn w:val="Normal"/>
    <w:next w:val="Normal"/>
    <w:autoRedefine/>
    <w:semiHidden/>
    <w:rsid w:val="00895FCC"/>
    <w:pPr>
      <w:spacing w:line="288" w:lineRule="auto"/>
      <w:ind w:left="1440"/>
    </w:pPr>
  </w:style>
  <w:style w:type="paragraph" w:styleId="TOC8">
    <w:name w:val="toc 8"/>
    <w:basedOn w:val="Normal"/>
    <w:next w:val="Normal"/>
    <w:autoRedefine/>
    <w:semiHidden/>
    <w:rsid w:val="00895FCC"/>
    <w:pPr>
      <w:spacing w:line="288" w:lineRule="auto"/>
      <w:ind w:left="1680"/>
    </w:pPr>
  </w:style>
  <w:style w:type="paragraph" w:styleId="TOC9">
    <w:name w:val="toc 9"/>
    <w:basedOn w:val="Normal"/>
    <w:next w:val="Normal"/>
    <w:uiPriority w:val="39"/>
    <w:semiHidden/>
    <w:unhideWhenUsed/>
    <w:rsid w:val="0089746C"/>
    <w:pPr>
      <w:spacing w:before="180" w:line="288" w:lineRule="auto"/>
    </w:pPr>
    <w:rPr>
      <w:smallCaps/>
      <w:sz w:val="18"/>
    </w:rPr>
  </w:style>
  <w:style w:type="paragraph" w:styleId="TableofFigures">
    <w:name w:val="table of figures"/>
    <w:basedOn w:val="Normal"/>
    <w:next w:val="Normal"/>
    <w:uiPriority w:val="99"/>
    <w:locked/>
    <w:rsid w:val="008B128B"/>
    <w:pPr>
      <w:spacing w:line="288" w:lineRule="auto"/>
      <w:ind w:left="480" w:hanging="480"/>
    </w:pPr>
  </w:style>
  <w:style w:type="paragraph" w:customStyle="1" w:styleId="AbbreviationText">
    <w:name w:val="Abbreviation Text"/>
    <w:basedOn w:val="Normal"/>
    <w:uiPriority w:val="1"/>
    <w:qFormat/>
    <w:rsid w:val="00921B52"/>
    <w:pPr>
      <w:suppressAutoHyphens/>
      <w:spacing w:line="288" w:lineRule="auto"/>
      <w:ind w:left="360" w:hanging="360"/>
    </w:pPr>
  </w:style>
  <w:style w:type="paragraph" w:customStyle="1" w:styleId="Cover-Caveat">
    <w:name w:val="Cover - Caveat"/>
    <w:basedOn w:val="Cover-Title"/>
    <w:next w:val="Cover-Disclaimer"/>
    <w:uiPriority w:val="12"/>
    <w:rsid w:val="00DC4FD7"/>
    <w:pPr>
      <w:spacing w:before="960"/>
      <w:ind w:left="0" w:firstLine="0"/>
    </w:pPr>
    <w:rPr>
      <w:rFonts w:cs="Arial"/>
      <w:b/>
      <w:bCs/>
      <w:smallCaps/>
      <w:sz w:val="32"/>
      <w:szCs w:val="20"/>
    </w:rPr>
  </w:style>
  <w:style w:type="character" w:styleId="PageNumber">
    <w:name w:val="page number"/>
    <w:basedOn w:val="DefaultParagraphFont"/>
    <w:semiHidden/>
    <w:rsid w:val="00B70E0A"/>
  </w:style>
  <w:style w:type="paragraph" w:customStyle="1" w:styleId="FigurePlacement">
    <w:name w:val="Figure Placement"/>
    <w:basedOn w:val="Normal"/>
    <w:next w:val="Normal"/>
    <w:uiPriority w:val="1"/>
    <w:qFormat/>
    <w:rsid w:val="005F03B8"/>
    <w:pPr>
      <w:spacing w:after="240" w:line="288" w:lineRule="auto"/>
      <w:jc w:val="center"/>
    </w:pPr>
  </w:style>
  <w:style w:type="paragraph" w:styleId="DocumentMap">
    <w:name w:val="Document Map"/>
    <w:basedOn w:val="Normal"/>
    <w:link w:val="DocumentMapChar"/>
    <w:uiPriority w:val="98"/>
    <w:semiHidden/>
    <w:locked/>
    <w:rsid w:val="003F56AF"/>
    <w:pPr>
      <w:spacing w:line="288" w:lineRule="auto"/>
    </w:pPr>
    <w:rPr>
      <w:rFonts w:ascii="Lucida Grande" w:hAnsi="Lucida Grande" w:cs="Lucida Grande"/>
    </w:rPr>
  </w:style>
  <w:style w:type="character" w:customStyle="1" w:styleId="DocumentMapChar">
    <w:name w:val="Document Map Char"/>
    <w:basedOn w:val="DefaultParagraphFont"/>
    <w:link w:val="DocumentMap"/>
    <w:uiPriority w:val="98"/>
    <w:semiHidden/>
    <w:rsid w:val="00722266"/>
    <w:rPr>
      <w:rFonts w:ascii="Lucida Grande" w:hAnsi="Lucida Grande" w:cs="Lucida Grande"/>
      <w:sz w:val="24"/>
      <w:szCs w:val="24"/>
    </w:rPr>
  </w:style>
  <w:style w:type="paragraph" w:customStyle="1" w:styleId="Cover-Title">
    <w:name w:val="Cover - Title"/>
    <w:basedOn w:val="Normal"/>
    <w:next w:val="Cover-Subtitle"/>
    <w:uiPriority w:val="12"/>
    <w:rsid w:val="00DA6258"/>
    <w:pPr>
      <w:spacing w:before="1680" w:after="360"/>
      <w:ind w:left="360" w:hanging="360"/>
    </w:pPr>
    <w:rPr>
      <w:rFonts w:ascii="Arial" w:hAnsi="Arial"/>
      <w:sz w:val="48"/>
    </w:rPr>
  </w:style>
  <w:style w:type="paragraph" w:customStyle="1" w:styleId="Cover-Subtitle">
    <w:name w:val="Cover - Subtitle"/>
    <w:basedOn w:val="Cover-Title"/>
    <w:next w:val="Cover-AuthorList"/>
    <w:uiPriority w:val="12"/>
    <w:rsid w:val="00765388"/>
    <w:pPr>
      <w:spacing w:before="360" w:after="960"/>
    </w:pPr>
    <w:rPr>
      <w:sz w:val="36"/>
    </w:rPr>
  </w:style>
  <w:style w:type="table" w:styleId="TableTheme">
    <w:name w:val="Table Theme"/>
    <w:basedOn w:val="TableNormal"/>
    <w:locked/>
    <w:rsid w:val="0058600D"/>
    <w:pPr>
      <w:spacing w:line="264" w:lineRule="auto"/>
      <w:ind w:firstLine="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Note">
    <w:name w:val="Figure Note"/>
    <w:basedOn w:val="TableBody"/>
    <w:next w:val="Normal"/>
    <w:uiPriority w:val="1"/>
    <w:qFormat/>
    <w:rsid w:val="0061596E"/>
    <w:pPr>
      <w:keepLines/>
      <w:spacing w:after="240"/>
      <w:contextualSpacing/>
    </w:pPr>
  </w:style>
  <w:style w:type="paragraph" w:styleId="Caption">
    <w:name w:val="caption"/>
    <w:basedOn w:val="Normal"/>
    <w:next w:val="Normal"/>
    <w:semiHidden/>
    <w:locked/>
    <w:rsid w:val="001B1D11"/>
    <w:pPr>
      <w:spacing w:after="360"/>
      <w:ind w:left="720" w:right="720"/>
      <w:contextualSpacing/>
    </w:pPr>
    <w:rPr>
      <w:rFonts w:ascii="Arial" w:hAnsi="Arial"/>
      <w:iCs/>
      <w:sz w:val="20"/>
      <w:szCs w:val="18"/>
    </w:rPr>
  </w:style>
  <w:style w:type="character" w:customStyle="1" w:styleId="cSuperscript">
    <w:name w:val="(c) Superscript"/>
    <w:basedOn w:val="DefaultParagraphFont"/>
    <w:rsid w:val="00EC4C02"/>
    <w:rPr>
      <w:vertAlign w:val="superscript"/>
    </w:rPr>
  </w:style>
  <w:style w:type="character" w:customStyle="1" w:styleId="cSubscript">
    <w:name w:val="(c) Subscript"/>
    <w:basedOn w:val="DefaultParagraphFont"/>
    <w:rsid w:val="00EC4C02"/>
    <w:rPr>
      <w:vertAlign w:val="subscript"/>
    </w:rPr>
  </w:style>
  <w:style w:type="paragraph" w:customStyle="1" w:styleId="TableListBullet2">
    <w:name w:val="Table List Bullet 2"/>
    <w:basedOn w:val="Normal"/>
    <w:uiPriority w:val="9"/>
    <w:qFormat/>
    <w:rsid w:val="00425347"/>
    <w:pPr>
      <w:numPr>
        <w:numId w:val="10"/>
      </w:numPr>
    </w:pPr>
    <w:rPr>
      <w:rFonts w:ascii="Arial" w:hAnsi="Arial"/>
      <w:sz w:val="18"/>
      <w:szCs w:val="20"/>
    </w:rPr>
  </w:style>
  <w:style w:type="paragraph" w:customStyle="1" w:styleId="TableListNumber2">
    <w:name w:val="Table List Number 2"/>
    <w:basedOn w:val="Normal"/>
    <w:uiPriority w:val="9"/>
    <w:qFormat/>
    <w:rsid w:val="00425347"/>
    <w:pPr>
      <w:numPr>
        <w:numId w:val="19"/>
      </w:numPr>
    </w:pPr>
    <w:rPr>
      <w:rFonts w:ascii="Arial" w:hAnsi="Arial"/>
      <w:sz w:val="18"/>
      <w:szCs w:val="20"/>
    </w:rPr>
  </w:style>
  <w:style w:type="paragraph" w:customStyle="1" w:styleId="Heading11">
    <w:name w:val="Heading 11"/>
    <w:aliases w:val="Text Box Title"/>
    <w:basedOn w:val="Heading9"/>
    <w:uiPriority w:val="3"/>
    <w:qFormat/>
    <w:rsid w:val="006A5F2A"/>
    <w:pPr>
      <w:spacing w:before="120"/>
    </w:pPr>
  </w:style>
  <w:style w:type="paragraph" w:customStyle="1" w:styleId="Heading10">
    <w:name w:val="Heading 10"/>
    <w:aliases w:val="Text Box Number"/>
    <w:basedOn w:val="Heading6"/>
    <w:uiPriority w:val="3"/>
    <w:unhideWhenUsed/>
    <w:qFormat/>
    <w:rsid w:val="00261A0F"/>
    <w:pPr>
      <w:outlineLvl w:val="9"/>
    </w:pPr>
  </w:style>
  <w:style w:type="paragraph" w:customStyle="1" w:styleId="ListBullet1">
    <w:name w:val="List Bullet 1"/>
    <w:basedOn w:val="Normal"/>
    <w:uiPriority w:val="7"/>
    <w:qFormat/>
    <w:rsid w:val="00C0273B"/>
    <w:pPr>
      <w:numPr>
        <w:numId w:val="2"/>
      </w:numPr>
      <w:spacing w:before="120" w:after="120"/>
      <w:contextualSpacing/>
    </w:pPr>
  </w:style>
  <w:style w:type="paragraph" w:customStyle="1" w:styleId="ListNumber1">
    <w:name w:val="List Number 1"/>
    <w:basedOn w:val="Normal"/>
    <w:uiPriority w:val="7"/>
    <w:qFormat/>
    <w:rsid w:val="001D58D7"/>
    <w:pPr>
      <w:numPr>
        <w:numId w:val="4"/>
      </w:numPr>
      <w:spacing w:before="120" w:after="120"/>
      <w:contextualSpacing/>
    </w:pPr>
  </w:style>
  <w:style w:type="character" w:styleId="PlaceholderText">
    <w:name w:val="Placeholder Text"/>
    <w:basedOn w:val="DefaultParagraphFont"/>
    <w:semiHidden/>
    <w:locked/>
    <w:rsid w:val="00426F66"/>
    <w:rPr>
      <w:color w:val="808080"/>
    </w:rPr>
  </w:style>
  <w:style w:type="paragraph" w:customStyle="1" w:styleId="EquationPlacement">
    <w:name w:val="Equation Placement"/>
    <w:basedOn w:val="Normal"/>
    <w:uiPriority w:val="1"/>
    <w:qFormat/>
    <w:rsid w:val="00426F66"/>
    <w:pPr>
      <w:spacing w:before="240" w:after="240" w:line="288" w:lineRule="auto"/>
      <w:jc w:val="center"/>
    </w:pPr>
    <w:rPr>
      <w:szCs w:val="20"/>
    </w:rPr>
  </w:style>
  <w:style w:type="character" w:styleId="Hyperlink">
    <w:name w:val="Hyperlink"/>
    <w:basedOn w:val="DefaultParagraphFont"/>
    <w:uiPriority w:val="99"/>
    <w:unhideWhenUsed/>
    <w:locked/>
    <w:rsid w:val="00131BFC"/>
    <w:rPr>
      <w:color w:val="0000FF" w:themeColor="hyperlink"/>
      <w:u w:val="single"/>
    </w:rPr>
  </w:style>
  <w:style w:type="character" w:customStyle="1" w:styleId="UnresolvedMention1">
    <w:name w:val="Unresolved Mention1"/>
    <w:basedOn w:val="DefaultParagraphFont"/>
    <w:uiPriority w:val="99"/>
    <w:semiHidden/>
    <w:unhideWhenUsed/>
    <w:rsid w:val="00131BFC"/>
    <w:rPr>
      <w:color w:val="605E5C"/>
      <w:shd w:val="clear" w:color="auto" w:fill="E1DFDD"/>
    </w:rPr>
  </w:style>
  <w:style w:type="paragraph" w:styleId="NormalWeb">
    <w:name w:val="Normal (Web)"/>
    <w:basedOn w:val="Normal"/>
    <w:uiPriority w:val="99"/>
    <w:unhideWhenUsed/>
    <w:locked/>
    <w:rsid w:val="003D7B45"/>
    <w:pPr>
      <w:spacing w:before="100" w:beforeAutospacing="1" w:after="100" w:afterAutospacing="1"/>
    </w:pPr>
  </w:style>
  <w:style w:type="paragraph" w:styleId="ListParagraph">
    <w:name w:val="List Paragraph"/>
    <w:basedOn w:val="Normal"/>
    <w:uiPriority w:val="34"/>
    <w:qFormat/>
    <w:locked/>
    <w:rsid w:val="00E57A1F"/>
    <w:pPr>
      <w:spacing w:line="288" w:lineRule="auto"/>
      <w:ind w:left="720"/>
      <w:contextualSpacing/>
    </w:pPr>
  </w:style>
  <w:style w:type="character" w:customStyle="1" w:styleId="normaltextrun">
    <w:name w:val="normaltextrun"/>
    <w:basedOn w:val="DefaultParagraphFont"/>
    <w:rsid w:val="00686092"/>
  </w:style>
  <w:style w:type="character" w:customStyle="1" w:styleId="eop">
    <w:name w:val="eop"/>
    <w:basedOn w:val="DefaultParagraphFont"/>
    <w:rsid w:val="00686092"/>
  </w:style>
  <w:style w:type="character" w:customStyle="1" w:styleId="spellingerror">
    <w:name w:val="spellingerror"/>
    <w:basedOn w:val="DefaultParagraphFont"/>
    <w:rsid w:val="00686092"/>
  </w:style>
  <w:style w:type="paragraph" w:styleId="Revision">
    <w:name w:val="Revision"/>
    <w:hidden/>
    <w:semiHidden/>
    <w:rsid w:val="002C5DD4"/>
  </w:style>
  <w:style w:type="character" w:styleId="UnresolvedMention">
    <w:name w:val="Unresolved Mention"/>
    <w:basedOn w:val="DefaultParagraphFont"/>
    <w:uiPriority w:val="99"/>
    <w:semiHidden/>
    <w:unhideWhenUsed/>
    <w:rsid w:val="00520307"/>
    <w:rPr>
      <w:color w:val="605E5C"/>
      <w:shd w:val="clear" w:color="auto" w:fill="E1DFDD"/>
    </w:rPr>
  </w:style>
  <w:style w:type="character" w:styleId="FollowedHyperlink">
    <w:name w:val="FollowedHyperlink"/>
    <w:basedOn w:val="DefaultParagraphFont"/>
    <w:semiHidden/>
    <w:unhideWhenUsed/>
    <w:locked/>
    <w:rsid w:val="005344BA"/>
    <w:rPr>
      <w:color w:val="800080" w:themeColor="followedHyperlink"/>
      <w:u w:val="single"/>
    </w:rPr>
  </w:style>
  <w:style w:type="character" w:customStyle="1" w:styleId="FootnoteTextChar">
    <w:name w:val="Footnote Text Char"/>
    <w:basedOn w:val="DefaultParagraphFont"/>
    <w:link w:val="FootnoteText"/>
    <w:uiPriority w:val="99"/>
    <w:rsid w:val="00DC42F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055">
      <w:bodyDiv w:val="1"/>
      <w:marLeft w:val="0"/>
      <w:marRight w:val="0"/>
      <w:marTop w:val="0"/>
      <w:marBottom w:val="0"/>
      <w:divBdr>
        <w:top w:val="none" w:sz="0" w:space="0" w:color="auto"/>
        <w:left w:val="none" w:sz="0" w:space="0" w:color="auto"/>
        <w:bottom w:val="none" w:sz="0" w:space="0" w:color="auto"/>
        <w:right w:val="none" w:sz="0" w:space="0" w:color="auto"/>
      </w:divBdr>
    </w:div>
    <w:div w:id="40905166">
      <w:bodyDiv w:val="1"/>
      <w:marLeft w:val="0"/>
      <w:marRight w:val="0"/>
      <w:marTop w:val="0"/>
      <w:marBottom w:val="0"/>
      <w:divBdr>
        <w:top w:val="none" w:sz="0" w:space="0" w:color="auto"/>
        <w:left w:val="none" w:sz="0" w:space="0" w:color="auto"/>
        <w:bottom w:val="none" w:sz="0" w:space="0" w:color="auto"/>
        <w:right w:val="none" w:sz="0" w:space="0" w:color="auto"/>
      </w:divBdr>
      <w:divsChild>
        <w:div w:id="1306857980">
          <w:marLeft w:val="0"/>
          <w:marRight w:val="0"/>
          <w:marTop w:val="0"/>
          <w:marBottom w:val="0"/>
          <w:divBdr>
            <w:top w:val="none" w:sz="0" w:space="0" w:color="auto"/>
            <w:left w:val="none" w:sz="0" w:space="0" w:color="auto"/>
            <w:bottom w:val="none" w:sz="0" w:space="0" w:color="auto"/>
            <w:right w:val="none" w:sz="0" w:space="0" w:color="auto"/>
          </w:divBdr>
          <w:divsChild>
            <w:div w:id="1729036820">
              <w:marLeft w:val="0"/>
              <w:marRight w:val="0"/>
              <w:marTop w:val="0"/>
              <w:marBottom w:val="0"/>
              <w:divBdr>
                <w:top w:val="none" w:sz="0" w:space="0" w:color="auto"/>
                <w:left w:val="none" w:sz="0" w:space="0" w:color="auto"/>
                <w:bottom w:val="none" w:sz="0" w:space="0" w:color="auto"/>
                <w:right w:val="none" w:sz="0" w:space="0" w:color="auto"/>
              </w:divBdr>
              <w:divsChild>
                <w:div w:id="7789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8436">
      <w:bodyDiv w:val="1"/>
      <w:marLeft w:val="0"/>
      <w:marRight w:val="0"/>
      <w:marTop w:val="0"/>
      <w:marBottom w:val="0"/>
      <w:divBdr>
        <w:top w:val="none" w:sz="0" w:space="0" w:color="auto"/>
        <w:left w:val="none" w:sz="0" w:space="0" w:color="auto"/>
        <w:bottom w:val="none" w:sz="0" w:space="0" w:color="auto"/>
        <w:right w:val="none" w:sz="0" w:space="0" w:color="auto"/>
      </w:divBdr>
    </w:div>
    <w:div w:id="53431220">
      <w:bodyDiv w:val="1"/>
      <w:marLeft w:val="0"/>
      <w:marRight w:val="0"/>
      <w:marTop w:val="0"/>
      <w:marBottom w:val="0"/>
      <w:divBdr>
        <w:top w:val="none" w:sz="0" w:space="0" w:color="auto"/>
        <w:left w:val="none" w:sz="0" w:space="0" w:color="auto"/>
        <w:bottom w:val="none" w:sz="0" w:space="0" w:color="auto"/>
        <w:right w:val="none" w:sz="0" w:space="0" w:color="auto"/>
      </w:divBdr>
    </w:div>
    <w:div w:id="55013636">
      <w:bodyDiv w:val="1"/>
      <w:marLeft w:val="0"/>
      <w:marRight w:val="0"/>
      <w:marTop w:val="0"/>
      <w:marBottom w:val="0"/>
      <w:divBdr>
        <w:top w:val="none" w:sz="0" w:space="0" w:color="auto"/>
        <w:left w:val="none" w:sz="0" w:space="0" w:color="auto"/>
        <w:bottom w:val="none" w:sz="0" w:space="0" w:color="auto"/>
        <w:right w:val="none" w:sz="0" w:space="0" w:color="auto"/>
      </w:divBdr>
    </w:div>
    <w:div w:id="56636065">
      <w:bodyDiv w:val="1"/>
      <w:marLeft w:val="0"/>
      <w:marRight w:val="0"/>
      <w:marTop w:val="0"/>
      <w:marBottom w:val="0"/>
      <w:divBdr>
        <w:top w:val="none" w:sz="0" w:space="0" w:color="auto"/>
        <w:left w:val="none" w:sz="0" w:space="0" w:color="auto"/>
        <w:bottom w:val="none" w:sz="0" w:space="0" w:color="auto"/>
        <w:right w:val="none" w:sz="0" w:space="0" w:color="auto"/>
      </w:divBdr>
    </w:div>
    <w:div w:id="61610688">
      <w:bodyDiv w:val="1"/>
      <w:marLeft w:val="0"/>
      <w:marRight w:val="0"/>
      <w:marTop w:val="0"/>
      <w:marBottom w:val="0"/>
      <w:divBdr>
        <w:top w:val="none" w:sz="0" w:space="0" w:color="auto"/>
        <w:left w:val="none" w:sz="0" w:space="0" w:color="auto"/>
        <w:bottom w:val="none" w:sz="0" w:space="0" w:color="auto"/>
        <w:right w:val="none" w:sz="0" w:space="0" w:color="auto"/>
      </w:divBdr>
    </w:div>
    <w:div w:id="71701414">
      <w:bodyDiv w:val="1"/>
      <w:marLeft w:val="0"/>
      <w:marRight w:val="0"/>
      <w:marTop w:val="0"/>
      <w:marBottom w:val="0"/>
      <w:divBdr>
        <w:top w:val="none" w:sz="0" w:space="0" w:color="auto"/>
        <w:left w:val="none" w:sz="0" w:space="0" w:color="auto"/>
        <w:bottom w:val="none" w:sz="0" w:space="0" w:color="auto"/>
        <w:right w:val="none" w:sz="0" w:space="0" w:color="auto"/>
      </w:divBdr>
    </w:div>
    <w:div w:id="74592263">
      <w:bodyDiv w:val="1"/>
      <w:marLeft w:val="0"/>
      <w:marRight w:val="0"/>
      <w:marTop w:val="0"/>
      <w:marBottom w:val="0"/>
      <w:divBdr>
        <w:top w:val="none" w:sz="0" w:space="0" w:color="auto"/>
        <w:left w:val="none" w:sz="0" w:space="0" w:color="auto"/>
        <w:bottom w:val="none" w:sz="0" w:space="0" w:color="auto"/>
        <w:right w:val="none" w:sz="0" w:space="0" w:color="auto"/>
      </w:divBdr>
    </w:div>
    <w:div w:id="76051775">
      <w:bodyDiv w:val="1"/>
      <w:marLeft w:val="0"/>
      <w:marRight w:val="0"/>
      <w:marTop w:val="0"/>
      <w:marBottom w:val="0"/>
      <w:divBdr>
        <w:top w:val="none" w:sz="0" w:space="0" w:color="auto"/>
        <w:left w:val="none" w:sz="0" w:space="0" w:color="auto"/>
        <w:bottom w:val="none" w:sz="0" w:space="0" w:color="auto"/>
        <w:right w:val="none" w:sz="0" w:space="0" w:color="auto"/>
      </w:divBdr>
      <w:divsChild>
        <w:div w:id="1186556629">
          <w:marLeft w:val="0"/>
          <w:marRight w:val="0"/>
          <w:marTop w:val="0"/>
          <w:marBottom w:val="0"/>
          <w:divBdr>
            <w:top w:val="none" w:sz="0" w:space="0" w:color="auto"/>
            <w:left w:val="none" w:sz="0" w:space="0" w:color="auto"/>
            <w:bottom w:val="none" w:sz="0" w:space="0" w:color="auto"/>
            <w:right w:val="none" w:sz="0" w:space="0" w:color="auto"/>
          </w:divBdr>
          <w:divsChild>
            <w:div w:id="275911660">
              <w:marLeft w:val="0"/>
              <w:marRight w:val="0"/>
              <w:marTop w:val="0"/>
              <w:marBottom w:val="0"/>
              <w:divBdr>
                <w:top w:val="none" w:sz="0" w:space="0" w:color="auto"/>
                <w:left w:val="none" w:sz="0" w:space="0" w:color="auto"/>
                <w:bottom w:val="none" w:sz="0" w:space="0" w:color="auto"/>
                <w:right w:val="none" w:sz="0" w:space="0" w:color="auto"/>
              </w:divBdr>
              <w:divsChild>
                <w:div w:id="2271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9537">
      <w:bodyDiv w:val="1"/>
      <w:marLeft w:val="0"/>
      <w:marRight w:val="0"/>
      <w:marTop w:val="0"/>
      <w:marBottom w:val="0"/>
      <w:divBdr>
        <w:top w:val="none" w:sz="0" w:space="0" w:color="auto"/>
        <w:left w:val="none" w:sz="0" w:space="0" w:color="auto"/>
        <w:bottom w:val="none" w:sz="0" w:space="0" w:color="auto"/>
        <w:right w:val="none" w:sz="0" w:space="0" w:color="auto"/>
      </w:divBdr>
    </w:div>
    <w:div w:id="124126871">
      <w:bodyDiv w:val="1"/>
      <w:marLeft w:val="0"/>
      <w:marRight w:val="0"/>
      <w:marTop w:val="0"/>
      <w:marBottom w:val="0"/>
      <w:divBdr>
        <w:top w:val="none" w:sz="0" w:space="0" w:color="auto"/>
        <w:left w:val="none" w:sz="0" w:space="0" w:color="auto"/>
        <w:bottom w:val="none" w:sz="0" w:space="0" w:color="auto"/>
        <w:right w:val="none" w:sz="0" w:space="0" w:color="auto"/>
      </w:divBdr>
    </w:div>
    <w:div w:id="127627292">
      <w:bodyDiv w:val="1"/>
      <w:marLeft w:val="0"/>
      <w:marRight w:val="0"/>
      <w:marTop w:val="0"/>
      <w:marBottom w:val="0"/>
      <w:divBdr>
        <w:top w:val="none" w:sz="0" w:space="0" w:color="auto"/>
        <w:left w:val="none" w:sz="0" w:space="0" w:color="auto"/>
        <w:bottom w:val="none" w:sz="0" w:space="0" w:color="auto"/>
        <w:right w:val="none" w:sz="0" w:space="0" w:color="auto"/>
      </w:divBdr>
    </w:div>
    <w:div w:id="137580210">
      <w:bodyDiv w:val="1"/>
      <w:marLeft w:val="0"/>
      <w:marRight w:val="0"/>
      <w:marTop w:val="0"/>
      <w:marBottom w:val="0"/>
      <w:divBdr>
        <w:top w:val="none" w:sz="0" w:space="0" w:color="auto"/>
        <w:left w:val="none" w:sz="0" w:space="0" w:color="auto"/>
        <w:bottom w:val="none" w:sz="0" w:space="0" w:color="auto"/>
        <w:right w:val="none" w:sz="0" w:space="0" w:color="auto"/>
      </w:divBdr>
    </w:div>
    <w:div w:id="144519452">
      <w:bodyDiv w:val="1"/>
      <w:marLeft w:val="0"/>
      <w:marRight w:val="0"/>
      <w:marTop w:val="0"/>
      <w:marBottom w:val="0"/>
      <w:divBdr>
        <w:top w:val="none" w:sz="0" w:space="0" w:color="auto"/>
        <w:left w:val="none" w:sz="0" w:space="0" w:color="auto"/>
        <w:bottom w:val="none" w:sz="0" w:space="0" w:color="auto"/>
        <w:right w:val="none" w:sz="0" w:space="0" w:color="auto"/>
      </w:divBdr>
      <w:divsChild>
        <w:div w:id="661589410">
          <w:marLeft w:val="0"/>
          <w:marRight w:val="0"/>
          <w:marTop w:val="0"/>
          <w:marBottom w:val="0"/>
          <w:divBdr>
            <w:top w:val="none" w:sz="0" w:space="0" w:color="auto"/>
            <w:left w:val="none" w:sz="0" w:space="0" w:color="auto"/>
            <w:bottom w:val="none" w:sz="0" w:space="0" w:color="auto"/>
            <w:right w:val="none" w:sz="0" w:space="0" w:color="auto"/>
          </w:divBdr>
          <w:divsChild>
            <w:div w:id="642657531">
              <w:marLeft w:val="0"/>
              <w:marRight w:val="0"/>
              <w:marTop w:val="0"/>
              <w:marBottom w:val="0"/>
              <w:divBdr>
                <w:top w:val="none" w:sz="0" w:space="0" w:color="auto"/>
                <w:left w:val="none" w:sz="0" w:space="0" w:color="auto"/>
                <w:bottom w:val="none" w:sz="0" w:space="0" w:color="auto"/>
                <w:right w:val="none" w:sz="0" w:space="0" w:color="auto"/>
              </w:divBdr>
              <w:divsChild>
                <w:div w:id="427969939">
                  <w:marLeft w:val="0"/>
                  <w:marRight w:val="0"/>
                  <w:marTop w:val="0"/>
                  <w:marBottom w:val="0"/>
                  <w:divBdr>
                    <w:top w:val="none" w:sz="0" w:space="0" w:color="auto"/>
                    <w:left w:val="none" w:sz="0" w:space="0" w:color="auto"/>
                    <w:bottom w:val="none" w:sz="0" w:space="0" w:color="auto"/>
                    <w:right w:val="none" w:sz="0" w:space="0" w:color="auto"/>
                  </w:divBdr>
                  <w:divsChild>
                    <w:div w:id="5810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938">
      <w:bodyDiv w:val="1"/>
      <w:marLeft w:val="0"/>
      <w:marRight w:val="0"/>
      <w:marTop w:val="0"/>
      <w:marBottom w:val="0"/>
      <w:divBdr>
        <w:top w:val="none" w:sz="0" w:space="0" w:color="auto"/>
        <w:left w:val="none" w:sz="0" w:space="0" w:color="auto"/>
        <w:bottom w:val="none" w:sz="0" w:space="0" w:color="auto"/>
        <w:right w:val="none" w:sz="0" w:space="0" w:color="auto"/>
      </w:divBdr>
    </w:div>
    <w:div w:id="181434043">
      <w:bodyDiv w:val="1"/>
      <w:marLeft w:val="0"/>
      <w:marRight w:val="0"/>
      <w:marTop w:val="0"/>
      <w:marBottom w:val="0"/>
      <w:divBdr>
        <w:top w:val="none" w:sz="0" w:space="0" w:color="auto"/>
        <w:left w:val="none" w:sz="0" w:space="0" w:color="auto"/>
        <w:bottom w:val="none" w:sz="0" w:space="0" w:color="auto"/>
        <w:right w:val="none" w:sz="0" w:space="0" w:color="auto"/>
      </w:divBdr>
    </w:div>
    <w:div w:id="193883891">
      <w:bodyDiv w:val="1"/>
      <w:marLeft w:val="0"/>
      <w:marRight w:val="0"/>
      <w:marTop w:val="0"/>
      <w:marBottom w:val="0"/>
      <w:divBdr>
        <w:top w:val="none" w:sz="0" w:space="0" w:color="auto"/>
        <w:left w:val="none" w:sz="0" w:space="0" w:color="auto"/>
        <w:bottom w:val="none" w:sz="0" w:space="0" w:color="auto"/>
        <w:right w:val="none" w:sz="0" w:space="0" w:color="auto"/>
      </w:divBdr>
      <w:divsChild>
        <w:div w:id="129251028">
          <w:marLeft w:val="0"/>
          <w:marRight w:val="0"/>
          <w:marTop w:val="0"/>
          <w:marBottom w:val="0"/>
          <w:divBdr>
            <w:top w:val="none" w:sz="0" w:space="0" w:color="auto"/>
            <w:left w:val="none" w:sz="0" w:space="0" w:color="auto"/>
            <w:bottom w:val="none" w:sz="0" w:space="0" w:color="auto"/>
            <w:right w:val="none" w:sz="0" w:space="0" w:color="auto"/>
          </w:divBdr>
          <w:divsChild>
            <w:div w:id="350112640">
              <w:marLeft w:val="0"/>
              <w:marRight w:val="0"/>
              <w:marTop w:val="0"/>
              <w:marBottom w:val="0"/>
              <w:divBdr>
                <w:top w:val="none" w:sz="0" w:space="0" w:color="auto"/>
                <w:left w:val="none" w:sz="0" w:space="0" w:color="auto"/>
                <w:bottom w:val="none" w:sz="0" w:space="0" w:color="auto"/>
                <w:right w:val="none" w:sz="0" w:space="0" w:color="auto"/>
              </w:divBdr>
              <w:divsChild>
                <w:div w:id="1061635908">
                  <w:marLeft w:val="0"/>
                  <w:marRight w:val="0"/>
                  <w:marTop w:val="0"/>
                  <w:marBottom w:val="0"/>
                  <w:divBdr>
                    <w:top w:val="none" w:sz="0" w:space="0" w:color="auto"/>
                    <w:left w:val="none" w:sz="0" w:space="0" w:color="auto"/>
                    <w:bottom w:val="none" w:sz="0" w:space="0" w:color="auto"/>
                    <w:right w:val="none" w:sz="0" w:space="0" w:color="auto"/>
                  </w:divBdr>
                  <w:divsChild>
                    <w:div w:id="2394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0938">
      <w:bodyDiv w:val="1"/>
      <w:marLeft w:val="0"/>
      <w:marRight w:val="0"/>
      <w:marTop w:val="0"/>
      <w:marBottom w:val="0"/>
      <w:divBdr>
        <w:top w:val="none" w:sz="0" w:space="0" w:color="auto"/>
        <w:left w:val="none" w:sz="0" w:space="0" w:color="auto"/>
        <w:bottom w:val="none" w:sz="0" w:space="0" w:color="auto"/>
        <w:right w:val="none" w:sz="0" w:space="0" w:color="auto"/>
      </w:divBdr>
      <w:divsChild>
        <w:div w:id="662127357">
          <w:marLeft w:val="0"/>
          <w:marRight w:val="0"/>
          <w:marTop w:val="0"/>
          <w:marBottom w:val="0"/>
          <w:divBdr>
            <w:top w:val="none" w:sz="0" w:space="0" w:color="auto"/>
            <w:left w:val="none" w:sz="0" w:space="0" w:color="auto"/>
            <w:bottom w:val="none" w:sz="0" w:space="0" w:color="auto"/>
            <w:right w:val="none" w:sz="0" w:space="0" w:color="auto"/>
          </w:divBdr>
          <w:divsChild>
            <w:div w:id="1585989027">
              <w:marLeft w:val="0"/>
              <w:marRight w:val="0"/>
              <w:marTop w:val="0"/>
              <w:marBottom w:val="0"/>
              <w:divBdr>
                <w:top w:val="none" w:sz="0" w:space="0" w:color="auto"/>
                <w:left w:val="none" w:sz="0" w:space="0" w:color="auto"/>
                <w:bottom w:val="none" w:sz="0" w:space="0" w:color="auto"/>
                <w:right w:val="none" w:sz="0" w:space="0" w:color="auto"/>
              </w:divBdr>
              <w:divsChild>
                <w:div w:id="15211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2326">
      <w:bodyDiv w:val="1"/>
      <w:marLeft w:val="0"/>
      <w:marRight w:val="0"/>
      <w:marTop w:val="0"/>
      <w:marBottom w:val="0"/>
      <w:divBdr>
        <w:top w:val="none" w:sz="0" w:space="0" w:color="auto"/>
        <w:left w:val="none" w:sz="0" w:space="0" w:color="auto"/>
        <w:bottom w:val="none" w:sz="0" w:space="0" w:color="auto"/>
        <w:right w:val="none" w:sz="0" w:space="0" w:color="auto"/>
      </w:divBdr>
      <w:divsChild>
        <w:div w:id="783423944">
          <w:marLeft w:val="0"/>
          <w:marRight w:val="0"/>
          <w:marTop w:val="0"/>
          <w:marBottom w:val="0"/>
          <w:divBdr>
            <w:top w:val="none" w:sz="0" w:space="0" w:color="auto"/>
            <w:left w:val="none" w:sz="0" w:space="0" w:color="auto"/>
            <w:bottom w:val="none" w:sz="0" w:space="0" w:color="auto"/>
            <w:right w:val="none" w:sz="0" w:space="0" w:color="auto"/>
          </w:divBdr>
          <w:divsChild>
            <w:div w:id="1425685399">
              <w:marLeft w:val="0"/>
              <w:marRight w:val="0"/>
              <w:marTop w:val="0"/>
              <w:marBottom w:val="0"/>
              <w:divBdr>
                <w:top w:val="none" w:sz="0" w:space="0" w:color="auto"/>
                <w:left w:val="none" w:sz="0" w:space="0" w:color="auto"/>
                <w:bottom w:val="none" w:sz="0" w:space="0" w:color="auto"/>
                <w:right w:val="none" w:sz="0" w:space="0" w:color="auto"/>
              </w:divBdr>
              <w:divsChild>
                <w:div w:id="820655537">
                  <w:marLeft w:val="0"/>
                  <w:marRight w:val="0"/>
                  <w:marTop w:val="0"/>
                  <w:marBottom w:val="0"/>
                  <w:divBdr>
                    <w:top w:val="none" w:sz="0" w:space="0" w:color="auto"/>
                    <w:left w:val="none" w:sz="0" w:space="0" w:color="auto"/>
                    <w:bottom w:val="none" w:sz="0" w:space="0" w:color="auto"/>
                    <w:right w:val="none" w:sz="0" w:space="0" w:color="auto"/>
                  </w:divBdr>
                  <w:divsChild>
                    <w:div w:id="12771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3917">
      <w:bodyDiv w:val="1"/>
      <w:marLeft w:val="0"/>
      <w:marRight w:val="0"/>
      <w:marTop w:val="0"/>
      <w:marBottom w:val="0"/>
      <w:divBdr>
        <w:top w:val="none" w:sz="0" w:space="0" w:color="auto"/>
        <w:left w:val="none" w:sz="0" w:space="0" w:color="auto"/>
        <w:bottom w:val="none" w:sz="0" w:space="0" w:color="auto"/>
        <w:right w:val="none" w:sz="0" w:space="0" w:color="auto"/>
      </w:divBdr>
      <w:divsChild>
        <w:div w:id="67654649">
          <w:marLeft w:val="360"/>
          <w:marRight w:val="0"/>
          <w:marTop w:val="200"/>
          <w:marBottom w:val="0"/>
          <w:divBdr>
            <w:top w:val="none" w:sz="0" w:space="0" w:color="auto"/>
            <w:left w:val="none" w:sz="0" w:space="0" w:color="auto"/>
            <w:bottom w:val="none" w:sz="0" w:space="0" w:color="auto"/>
            <w:right w:val="none" w:sz="0" w:space="0" w:color="auto"/>
          </w:divBdr>
        </w:div>
        <w:div w:id="447044865">
          <w:marLeft w:val="360"/>
          <w:marRight w:val="0"/>
          <w:marTop w:val="200"/>
          <w:marBottom w:val="0"/>
          <w:divBdr>
            <w:top w:val="none" w:sz="0" w:space="0" w:color="auto"/>
            <w:left w:val="none" w:sz="0" w:space="0" w:color="auto"/>
            <w:bottom w:val="none" w:sz="0" w:space="0" w:color="auto"/>
            <w:right w:val="none" w:sz="0" w:space="0" w:color="auto"/>
          </w:divBdr>
        </w:div>
        <w:div w:id="833684981">
          <w:marLeft w:val="360"/>
          <w:marRight w:val="0"/>
          <w:marTop w:val="200"/>
          <w:marBottom w:val="0"/>
          <w:divBdr>
            <w:top w:val="none" w:sz="0" w:space="0" w:color="auto"/>
            <w:left w:val="none" w:sz="0" w:space="0" w:color="auto"/>
            <w:bottom w:val="none" w:sz="0" w:space="0" w:color="auto"/>
            <w:right w:val="none" w:sz="0" w:space="0" w:color="auto"/>
          </w:divBdr>
        </w:div>
        <w:div w:id="1390694061">
          <w:marLeft w:val="360"/>
          <w:marRight w:val="0"/>
          <w:marTop w:val="200"/>
          <w:marBottom w:val="0"/>
          <w:divBdr>
            <w:top w:val="none" w:sz="0" w:space="0" w:color="auto"/>
            <w:left w:val="none" w:sz="0" w:space="0" w:color="auto"/>
            <w:bottom w:val="none" w:sz="0" w:space="0" w:color="auto"/>
            <w:right w:val="none" w:sz="0" w:space="0" w:color="auto"/>
          </w:divBdr>
        </w:div>
        <w:div w:id="1750497754">
          <w:marLeft w:val="360"/>
          <w:marRight w:val="0"/>
          <w:marTop w:val="200"/>
          <w:marBottom w:val="0"/>
          <w:divBdr>
            <w:top w:val="none" w:sz="0" w:space="0" w:color="auto"/>
            <w:left w:val="none" w:sz="0" w:space="0" w:color="auto"/>
            <w:bottom w:val="none" w:sz="0" w:space="0" w:color="auto"/>
            <w:right w:val="none" w:sz="0" w:space="0" w:color="auto"/>
          </w:divBdr>
        </w:div>
        <w:div w:id="1833326922">
          <w:marLeft w:val="360"/>
          <w:marRight w:val="0"/>
          <w:marTop w:val="200"/>
          <w:marBottom w:val="0"/>
          <w:divBdr>
            <w:top w:val="none" w:sz="0" w:space="0" w:color="auto"/>
            <w:left w:val="none" w:sz="0" w:space="0" w:color="auto"/>
            <w:bottom w:val="none" w:sz="0" w:space="0" w:color="auto"/>
            <w:right w:val="none" w:sz="0" w:space="0" w:color="auto"/>
          </w:divBdr>
        </w:div>
      </w:divsChild>
    </w:div>
    <w:div w:id="2155139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457">
          <w:marLeft w:val="0"/>
          <w:marRight w:val="0"/>
          <w:marTop w:val="0"/>
          <w:marBottom w:val="0"/>
          <w:divBdr>
            <w:top w:val="none" w:sz="0" w:space="0" w:color="auto"/>
            <w:left w:val="none" w:sz="0" w:space="0" w:color="auto"/>
            <w:bottom w:val="none" w:sz="0" w:space="0" w:color="auto"/>
            <w:right w:val="none" w:sz="0" w:space="0" w:color="auto"/>
          </w:divBdr>
          <w:divsChild>
            <w:div w:id="1614626072">
              <w:marLeft w:val="0"/>
              <w:marRight w:val="0"/>
              <w:marTop w:val="0"/>
              <w:marBottom w:val="0"/>
              <w:divBdr>
                <w:top w:val="none" w:sz="0" w:space="0" w:color="auto"/>
                <w:left w:val="none" w:sz="0" w:space="0" w:color="auto"/>
                <w:bottom w:val="none" w:sz="0" w:space="0" w:color="auto"/>
                <w:right w:val="none" w:sz="0" w:space="0" w:color="auto"/>
              </w:divBdr>
              <w:divsChild>
                <w:div w:id="1500732171">
                  <w:marLeft w:val="0"/>
                  <w:marRight w:val="0"/>
                  <w:marTop w:val="0"/>
                  <w:marBottom w:val="0"/>
                  <w:divBdr>
                    <w:top w:val="none" w:sz="0" w:space="0" w:color="auto"/>
                    <w:left w:val="none" w:sz="0" w:space="0" w:color="auto"/>
                    <w:bottom w:val="none" w:sz="0" w:space="0" w:color="auto"/>
                    <w:right w:val="none" w:sz="0" w:space="0" w:color="auto"/>
                  </w:divBdr>
                  <w:divsChild>
                    <w:div w:id="18604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775579">
      <w:bodyDiv w:val="1"/>
      <w:marLeft w:val="0"/>
      <w:marRight w:val="0"/>
      <w:marTop w:val="0"/>
      <w:marBottom w:val="0"/>
      <w:divBdr>
        <w:top w:val="none" w:sz="0" w:space="0" w:color="auto"/>
        <w:left w:val="none" w:sz="0" w:space="0" w:color="auto"/>
        <w:bottom w:val="none" w:sz="0" w:space="0" w:color="auto"/>
        <w:right w:val="none" w:sz="0" w:space="0" w:color="auto"/>
      </w:divBdr>
      <w:divsChild>
        <w:div w:id="1950895613">
          <w:marLeft w:val="0"/>
          <w:marRight w:val="0"/>
          <w:marTop w:val="0"/>
          <w:marBottom w:val="0"/>
          <w:divBdr>
            <w:top w:val="none" w:sz="0" w:space="0" w:color="auto"/>
            <w:left w:val="none" w:sz="0" w:space="0" w:color="auto"/>
            <w:bottom w:val="none" w:sz="0" w:space="0" w:color="auto"/>
            <w:right w:val="none" w:sz="0" w:space="0" w:color="auto"/>
          </w:divBdr>
          <w:divsChild>
            <w:div w:id="2095204787">
              <w:marLeft w:val="0"/>
              <w:marRight w:val="0"/>
              <w:marTop w:val="0"/>
              <w:marBottom w:val="0"/>
              <w:divBdr>
                <w:top w:val="none" w:sz="0" w:space="0" w:color="auto"/>
                <w:left w:val="none" w:sz="0" w:space="0" w:color="auto"/>
                <w:bottom w:val="none" w:sz="0" w:space="0" w:color="auto"/>
                <w:right w:val="none" w:sz="0" w:space="0" w:color="auto"/>
              </w:divBdr>
              <w:divsChild>
                <w:div w:id="560335933">
                  <w:marLeft w:val="0"/>
                  <w:marRight w:val="0"/>
                  <w:marTop w:val="0"/>
                  <w:marBottom w:val="0"/>
                  <w:divBdr>
                    <w:top w:val="none" w:sz="0" w:space="0" w:color="auto"/>
                    <w:left w:val="none" w:sz="0" w:space="0" w:color="auto"/>
                    <w:bottom w:val="none" w:sz="0" w:space="0" w:color="auto"/>
                    <w:right w:val="none" w:sz="0" w:space="0" w:color="auto"/>
                  </w:divBdr>
                  <w:divsChild>
                    <w:div w:id="11939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21490">
      <w:bodyDiv w:val="1"/>
      <w:marLeft w:val="0"/>
      <w:marRight w:val="0"/>
      <w:marTop w:val="0"/>
      <w:marBottom w:val="0"/>
      <w:divBdr>
        <w:top w:val="none" w:sz="0" w:space="0" w:color="auto"/>
        <w:left w:val="none" w:sz="0" w:space="0" w:color="auto"/>
        <w:bottom w:val="none" w:sz="0" w:space="0" w:color="auto"/>
        <w:right w:val="none" w:sz="0" w:space="0" w:color="auto"/>
      </w:divBdr>
      <w:divsChild>
        <w:div w:id="732433342">
          <w:marLeft w:val="0"/>
          <w:marRight w:val="0"/>
          <w:marTop w:val="0"/>
          <w:marBottom w:val="0"/>
          <w:divBdr>
            <w:top w:val="none" w:sz="0" w:space="0" w:color="auto"/>
            <w:left w:val="none" w:sz="0" w:space="0" w:color="auto"/>
            <w:bottom w:val="none" w:sz="0" w:space="0" w:color="auto"/>
            <w:right w:val="none" w:sz="0" w:space="0" w:color="auto"/>
          </w:divBdr>
          <w:divsChild>
            <w:div w:id="305093446">
              <w:marLeft w:val="0"/>
              <w:marRight w:val="0"/>
              <w:marTop w:val="0"/>
              <w:marBottom w:val="0"/>
              <w:divBdr>
                <w:top w:val="none" w:sz="0" w:space="0" w:color="auto"/>
                <w:left w:val="none" w:sz="0" w:space="0" w:color="auto"/>
                <w:bottom w:val="none" w:sz="0" w:space="0" w:color="auto"/>
                <w:right w:val="none" w:sz="0" w:space="0" w:color="auto"/>
              </w:divBdr>
              <w:divsChild>
                <w:div w:id="3957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91555">
      <w:bodyDiv w:val="1"/>
      <w:marLeft w:val="0"/>
      <w:marRight w:val="0"/>
      <w:marTop w:val="0"/>
      <w:marBottom w:val="0"/>
      <w:divBdr>
        <w:top w:val="none" w:sz="0" w:space="0" w:color="auto"/>
        <w:left w:val="none" w:sz="0" w:space="0" w:color="auto"/>
        <w:bottom w:val="none" w:sz="0" w:space="0" w:color="auto"/>
        <w:right w:val="none" w:sz="0" w:space="0" w:color="auto"/>
      </w:divBdr>
    </w:div>
    <w:div w:id="273749447">
      <w:bodyDiv w:val="1"/>
      <w:marLeft w:val="0"/>
      <w:marRight w:val="0"/>
      <w:marTop w:val="0"/>
      <w:marBottom w:val="0"/>
      <w:divBdr>
        <w:top w:val="none" w:sz="0" w:space="0" w:color="auto"/>
        <w:left w:val="none" w:sz="0" w:space="0" w:color="auto"/>
        <w:bottom w:val="none" w:sz="0" w:space="0" w:color="auto"/>
        <w:right w:val="none" w:sz="0" w:space="0" w:color="auto"/>
      </w:divBdr>
      <w:divsChild>
        <w:div w:id="1393775389">
          <w:marLeft w:val="0"/>
          <w:marRight w:val="0"/>
          <w:marTop w:val="0"/>
          <w:marBottom w:val="0"/>
          <w:divBdr>
            <w:top w:val="none" w:sz="0" w:space="0" w:color="auto"/>
            <w:left w:val="none" w:sz="0" w:space="0" w:color="auto"/>
            <w:bottom w:val="none" w:sz="0" w:space="0" w:color="auto"/>
            <w:right w:val="none" w:sz="0" w:space="0" w:color="auto"/>
          </w:divBdr>
          <w:divsChild>
            <w:div w:id="1554542732">
              <w:marLeft w:val="0"/>
              <w:marRight w:val="0"/>
              <w:marTop w:val="0"/>
              <w:marBottom w:val="0"/>
              <w:divBdr>
                <w:top w:val="none" w:sz="0" w:space="0" w:color="auto"/>
                <w:left w:val="none" w:sz="0" w:space="0" w:color="auto"/>
                <w:bottom w:val="none" w:sz="0" w:space="0" w:color="auto"/>
                <w:right w:val="none" w:sz="0" w:space="0" w:color="auto"/>
              </w:divBdr>
              <w:divsChild>
                <w:div w:id="4630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9572">
      <w:bodyDiv w:val="1"/>
      <w:marLeft w:val="0"/>
      <w:marRight w:val="0"/>
      <w:marTop w:val="0"/>
      <w:marBottom w:val="0"/>
      <w:divBdr>
        <w:top w:val="none" w:sz="0" w:space="0" w:color="auto"/>
        <w:left w:val="none" w:sz="0" w:space="0" w:color="auto"/>
        <w:bottom w:val="none" w:sz="0" w:space="0" w:color="auto"/>
        <w:right w:val="none" w:sz="0" w:space="0" w:color="auto"/>
      </w:divBdr>
    </w:div>
    <w:div w:id="283536052">
      <w:bodyDiv w:val="1"/>
      <w:marLeft w:val="0"/>
      <w:marRight w:val="0"/>
      <w:marTop w:val="0"/>
      <w:marBottom w:val="0"/>
      <w:divBdr>
        <w:top w:val="none" w:sz="0" w:space="0" w:color="auto"/>
        <w:left w:val="none" w:sz="0" w:space="0" w:color="auto"/>
        <w:bottom w:val="none" w:sz="0" w:space="0" w:color="auto"/>
        <w:right w:val="none" w:sz="0" w:space="0" w:color="auto"/>
      </w:divBdr>
    </w:div>
    <w:div w:id="288168733">
      <w:bodyDiv w:val="1"/>
      <w:marLeft w:val="0"/>
      <w:marRight w:val="0"/>
      <w:marTop w:val="0"/>
      <w:marBottom w:val="0"/>
      <w:divBdr>
        <w:top w:val="none" w:sz="0" w:space="0" w:color="auto"/>
        <w:left w:val="none" w:sz="0" w:space="0" w:color="auto"/>
        <w:bottom w:val="none" w:sz="0" w:space="0" w:color="auto"/>
        <w:right w:val="none" w:sz="0" w:space="0" w:color="auto"/>
      </w:divBdr>
    </w:div>
    <w:div w:id="294026124">
      <w:bodyDiv w:val="1"/>
      <w:marLeft w:val="0"/>
      <w:marRight w:val="0"/>
      <w:marTop w:val="0"/>
      <w:marBottom w:val="0"/>
      <w:divBdr>
        <w:top w:val="none" w:sz="0" w:space="0" w:color="auto"/>
        <w:left w:val="none" w:sz="0" w:space="0" w:color="auto"/>
        <w:bottom w:val="none" w:sz="0" w:space="0" w:color="auto"/>
        <w:right w:val="none" w:sz="0" w:space="0" w:color="auto"/>
      </w:divBdr>
    </w:div>
    <w:div w:id="296496022">
      <w:bodyDiv w:val="1"/>
      <w:marLeft w:val="0"/>
      <w:marRight w:val="0"/>
      <w:marTop w:val="0"/>
      <w:marBottom w:val="0"/>
      <w:divBdr>
        <w:top w:val="none" w:sz="0" w:space="0" w:color="auto"/>
        <w:left w:val="none" w:sz="0" w:space="0" w:color="auto"/>
        <w:bottom w:val="none" w:sz="0" w:space="0" w:color="auto"/>
        <w:right w:val="none" w:sz="0" w:space="0" w:color="auto"/>
      </w:divBdr>
      <w:divsChild>
        <w:div w:id="670912785">
          <w:marLeft w:val="0"/>
          <w:marRight w:val="0"/>
          <w:marTop w:val="0"/>
          <w:marBottom w:val="0"/>
          <w:divBdr>
            <w:top w:val="none" w:sz="0" w:space="0" w:color="auto"/>
            <w:left w:val="none" w:sz="0" w:space="0" w:color="auto"/>
            <w:bottom w:val="none" w:sz="0" w:space="0" w:color="auto"/>
            <w:right w:val="none" w:sz="0" w:space="0" w:color="auto"/>
          </w:divBdr>
          <w:divsChild>
            <w:div w:id="1137836703">
              <w:marLeft w:val="0"/>
              <w:marRight w:val="0"/>
              <w:marTop w:val="0"/>
              <w:marBottom w:val="0"/>
              <w:divBdr>
                <w:top w:val="none" w:sz="0" w:space="0" w:color="auto"/>
                <w:left w:val="none" w:sz="0" w:space="0" w:color="auto"/>
                <w:bottom w:val="none" w:sz="0" w:space="0" w:color="auto"/>
                <w:right w:val="none" w:sz="0" w:space="0" w:color="auto"/>
              </w:divBdr>
              <w:divsChild>
                <w:div w:id="16373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73017">
      <w:bodyDiv w:val="1"/>
      <w:marLeft w:val="0"/>
      <w:marRight w:val="0"/>
      <w:marTop w:val="0"/>
      <w:marBottom w:val="0"/>
      <w:divBdr>
        <w:top w:val="none" w:sz="0" w:space="0" w:color="auto"/>
        <w:left w:val="none" w:sz="0" w:space="0" w:color="auto"/>
        <w:bottom w:val="none" w:sz="0" w:space="0" w:color="auto"/>
        <w:right w:val="none" w:sz="0" w:space="0" w:color="auto"/>
      </w:divBdr>
      <w:divsChild>
        <w:div w:id="1991592305">
          <w:marLeft w:val="0"/>
          <w:marRight w:val="0"/>
          <w:marTop w:val="0"/>
          <w:marBottom w:val="0"/>
          <w:divBdr>
            <w:top w:val="none" w:sz="0" w:space="0" w:color="auto"/>
            <w:left w:val="none" w:sz="0" w:space="0" w:color="auto"/>
            <w:bottom w:val="none" w:sz="0" w:space="0" w:color="auto"/>
            <w:right w:val="none" w:sz="0" w:space="0" w:color="auto"/>
          </w:divBdr>
          <w:divsChild>
            <w:div w:id="1315258869">
              <w:marLeft w:val="0"/>
              <w:marRight w:val="0"/>
              <w:marTop w:val="0"/>
              <w:marBottom w:val="0"/>
              <w:divBdr>
                <w:top w:val="none" w:sz="0" w:space="0" w:color="auto"/>
                <w:left w:val="none" w:sz="0" w:space="0" w:color="auto"/>
                <w:bottom w:val="none" w:sz="0" w:space="0" w:color="auto"/>
                <w:right w:val="none" w:sz="0" w:space="0" w:color="auto"/>
              </w:divBdr>
              <w:divsChild>
                <w:div w:id="17884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7809">
      <w:bodyDiv w:val="1"/>
      <w:marLeft w:val="0"/>
      <w:marRight w:val="0"/>
      <w:marTop w:val="0"/>
      <w:marBottom w:val="0"/>
      <w:divBdr>
        <w:top w:val="none" w:sz="0" w:space="0" w:color="auto"/>
        <w:left w:val="none" w:sz="0" w:space="0" w:color="auto"/>
        <w:bottom w:val="none" w:sz="0" w:space="0" w:color="auto"/>
        <w:right w:val="none" w:sz="0" w:space="0" w:color="auto"/>
      </w:divBdr>
      <w:divsChild>
        <w:div w:id="1982269084">
          <w:marLeft w:val="0"/>
          <w:marRight w:val="0"/>
          <w:marTop w:val="0"/>
          <w:marBottom w:val="0"/>
          <w:divBdr>
            <w:top w:val="none" w:sz="0" w:space="0" w:color="auto"/>
            <w:left w:val="none" w:sz="0" w:space="0" w:color="auto"/>
            <w:bottom w:val="none" w:sz="0" w:space="0" w:color="auto"/>
            <w:right w:val="none" w:sz="0" w:space="0" w:color="auto"/>
          </w:divBdr>
          <w:divsChild>
            <w:div w:id="1217398050">
              <w:marLeft w:val="0"/>
              <w:marRight w:val="0"/>
              <w:marTop w:val="0"/>
              <w:marBottom w:val="0"/>
              <w:divBdr>
                <w:top w:val="none" w:sz="0" w:space="0" w:color="auto"/>
                <w:left w:val="none" w:sz="0" w:space="0" w:color="auto"/>
                <w:bottom w:val="none" w:sz="0" w:space="0" w:color="auto"/>
                <w:right w:val="none" w:sz="0" w:space="0" w:color="auto"/>
              </w:divBdr>
              <w:divsChild>
                <w:div w:id="1705061868">
                  <w:marLeft w:val="0"/>
                  <w:marRight w:val="0"/>
                  <w:marTop w:val="0"/>
                  <w:marBottom w:val="0"/>
                  <w:divBdr>
                    <w:top w:val="none" w:sz="0" w:space="0" w:color="auto"/>
                    <w:left w:val="none" w:sz="0" w:space="0" w:color="auto"/>
                    <w:bottom w:val="none" w:sz="0" w:space="0" w:color="auto"/>
                    <w:right w:val="none" w:sz="0" w:space="0" w:color="auto"/>
                  </w:divBdr>
                  <w:divsChild>
                    <w:div w:id="357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29233">
      <w:bodyDiv w:val="1"/>
      <w:marLeft w:val="0"/>
      <w:marRight w:val="0"/>
      <w:marTop w:val="0"/>
      <w:marBottom w:val="0"/>
      <w:divBdr>
        <w:top w:val="none" w:sz="0" w:space="0" w:color="auto"/>
        <w:left w:val="none" w:sz="0" w:space="0" w:color="auto"/>
        <w:bottom w:val="none" w:sz="0" w:space="0" w:color="auto"/>
        <w:right w:val="none" w:sz="0" w:space="0" w:color="auto"/>
      </w:divBdr>
    </w:div>
    <w:div w:id="346828762">
      <w:bodyDiv w:val="1"/>
      <w:marLeft w:val="0"/>
      <w:marRight w:val="0"/>
      <w:marTop w:val="0"/>
      <w:marBottom w:val="0"/>
      <w:divBdr>
        <w:top w:val="none" w:sz="0" w:space="0" w:color="auto"/>
        <w:left w:val="none" w:sz="0" w:space="0" w:color="auto"/>
        <w:bottom w:val="none" w:sz="0" w:space="0" w:color="auto"/>
        <w:right w:val="none" w:sz="0" w:space="0" w:color="auto"/>
      </w:divBdr>
    </w:div>
    <w:div w:id="357240910">
      <w:bodyDiv w:val="1"/>
      <w:marLeft w:val="0"/>
      <w:marRight w:val="0"/>
      <w:marTop w:val="0"/>
      <w:marBottom w:val="0"/>
      <w:divBdr>
        <w:top w:val="none" w:sz="0" w:space="0" w:color="auto"/>
        <w:left w:val="none" w:sz="0" w:space="0" w:color="auto"/>
        <w:bottom w:val="none" w:sz="0" w:space="0" w:color="auto"/>
        <w:right w:val="none" w:sz="0" w:space="0" w:color="auto"/>
      </w:divBdr>
    </w:div>
    <w:div w:id="397169167">
      <w:bodyDiv w:val="1"/>
      <w:marLeft w:val="0"/>
      <w:marRight w:val="0"/>
      <w:marTop w:val="0"/>
      <w:marBottom w:val="0"/>
      <w:divBdr>
        <w:top w:val="none" w:sz="0" w:space="0" w:color="auto"/>
        <w:left w:val="none" w:sz="0" w:space="0" w:color="auto"/>
        <w:bottom w:val="none" w:sz="0" w:space="0" w:color="auto"/>
        <w:right w:val="none" w:sz="0" w:space="0" w:color="auto"/>
      </w:divBdr>
      <w:divsChild>
        <w:div w:id="1763450626">
          <w:marLeft w:val="0"/>
          <w:marRight w:val="0"/>
          <w:marTop w:val="0"/>
          <w:marBottom w:val="0"/>
          <w:divBdr>
            <w:top w:val="none" w:sz="0" w:space="0" w:color="auto"/>
            <w:left w:val="none" w:sz="0" w:space="0" w:color="auto"/>
            <w:bottom w:val="none" w:sz="0" w:space="0" w:color="auto"/>
            <w:right w:val="none" w:sz="0" w:space="0" w:color="auto"/>
          </w:divBdr>
          <w:divsChild>
            <w:div w:id="246427617">
              <w:marLeft w:val="0"/>
              <w:marRight w:val="0"/>
              <w:marTop w:val="0"/>
              <w:marBottom w:val="0"/>
              <w:divBdr>
                <w:top w:val="none" w:sz="0" w:space="0" w:color="auto"/>
                <w:left w:val="none" w:sz="0" w:space="0" w:color="auto"/>
                <w:bottom w:val="none" w:sz="0" w:space="0" w:color="auto"/>
                <w:right w:val="none" w:sz="0" w:space="0" w:color="auto"/>
              </w:divBdr>
              <w:divsChild>
                <w:div w:id="12760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5150">
      <w:bodyDiv w:val="1"/>
      <w:marLeft w:val="0"/>
      <w:marRight w:val="0"/>
      <w:marTop w:val="0"/>
      <w:marBottom w:val="0"/>
      <w:divBdr>
        <w:top w:val="none" w:sz="0" w:space="0" w:color="auto"/>
        <w:left w:val="none" w:sz="0" w:space="0" w:color="auto"/>
        <w:bottom w:val="none" w:sz="0" w:space="0" w:color="auto"/>
        <w:right w:val="none" w:sz="0" w:space="0" w:color="auto"/>
      </w:divBdr>
      <w:divsChild>
        <w:div w:id="2074428845">
          <w:marLeft w:val="0"/>
          <w:marRight w:val="0"/>
          <w:marTop w:val="0"/>
          <w:marBottom w:val="0"/>
          <w:divBdr>
            <w:top w:val="none" w:sz="0" w:space="0" w:color="auto"/>
            <w:left w:val="none" w:sz="0" w:space="0" w:color="auto"/>
            <w:bottom w:val="none" w:sz="0" w:space="0" w:color="auto"/>
            <w:right w:val="none" w:sz="0" w:space="0" w:color="auto"/>
          </w:divBdr>
          <w:divsChild>
            <w:div w:id="1622028211">
              <w:marLeft w:val="0"/>
              <w:marRight w:val="0"/>
              <w:marTop w:val="0"/>
              <w:marBottom w:val="0"/>
              <w:divBdr>
                <w:top w:val="none" w:sz="0" w:space="0" w:color="auto"/>
                <w:left w:val="none" w:sz="0" w:space="0" w:color="auto"/>
                <w:bottom w:val="none" w:sz="0" w:space="0" w:color="auto"/>
                <w:right w:val="none" w:sz="0" w:space="0" w:color="auto"/>
              </w:divBdr>
              <w:divsChild>
                <w:div w:id="1035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1282">
      <w:bodyDiv w:val="1"/>
      <w:marLeft w:val="0"/>
      <w:marRight w:val="0"/>
      <w:marTop w:val="0"/>
      <w:marBottom w:val="0"/>
      <w:divBdr>
        <w:top w:val="none" w:sz="0" w:space="0" w:color="auto"/>
        <w:left w:val="none" w:sz="0" w:space="0" w:color="auto"/>
        <w:bottom w:val="none" w:sz="0" w:space="0" w:color="auto"/>
        <w:right w:val="none" w:sz="0" w:space="0" w:color="auto"/>
      </w:divBdr>
    </w:div>
    <w:div w:id="439837248">
      <w:bodyDiv w:val="1"/>
      <w:marLeft w:val="0"/>
      <w:marRight w:val="0"/>
      <w:marTop w:val="0"/>
      <w:marBottom w:val="0"/>
      <w:divBdr>
        <w:top w:val="none" w:sz="0" w:space="0" w:color="auto"/>
        <w:left w:val="none" w:sz="0" w:space="0" w:color="auto"/>
        <w:bottom w:val="none" w:sz="0" w:space="0" w:color="auto"/>
        <w:right w:val="none" w:sz="0" w:space="0" w:color="auto"/>
      </w:divBdr>
    </w:div>
    <w:div w:id="444426397">
      <w:bodyDiv w:val="1"/>
      <w:marLeft w:val="0"/>
      <w:marRight w:val="0"/>
      <w:marTop w:val="0"/>
      <w:marBottom w:val="0"/>
      <w:divBdr>
        <w:top w:val="none" w:sz="0" w:space="0" w:color="auto"/>
        <w:left w:val="none" w:sz="0" w:space="0" w:color="auto"/>
        <w:bottom w:val="none" w:sz="0" w:space="0" w:color="auto"/>
        <w:right w:val="none" w:sz="0" w:space="0" w:color="auto"/>
      </w:divBdr>
    </w:div>
    <w:div w:id="500437408">
      <w:bodyDiv w:val="1"/>
      <w:marLeft w:val="0"/>
      <w:marRight w:val="0"/>
      <w:marTop w:val="0"/>
      <w:marBottom w:val="0"/>
      <w:divBdr>
        <w:top w:val="none" w:sz="0" w:space="0" w:color="auto"/>
        <w:left w:val="none" w:sz="0" w:space="0" w:color="auto"/>
        <w:bottom w:val="none" w:sz="0" w:space="0" w:color="auto"/>
        <w:right w:val="none" w:sz="0" w:space="0" w:color="auto"/>
      </w:divBdr>
    </w:div>
    <w:div w:id="513811612">
      <w:bodyDiv w:val="1"/>
      <w:marLeft w:val="0"/>
      <w:marRight w:val="0"/>
      <w:marTop w:val="0"/>
      <w:marBottom w:val="0"/>
      <w:divBdr>
        <w:top w:val="none" w:sz="0" w:space="0" w:color="auto"/>
        <w:left w:val="none" w:sz="0" w:space="0" w:color="auto"/>
        <w:bottom w:val="none" w:sz="0" w:space="0" w:color="auto"/>
        <w:right w:val="none" w:sz="0" w:space="0" w:color="auto"/>
      </w:divBdr>
    </w:div>
    <w:div w:id="519053642">
      <w:bodyDiv w:val="1"/>
      <w:marLeft w:val="0"/>
      <w:marRight w:val="0"/>
      <w:marTop w:val="0"/>
      <w:marBottom w:val="0"/>
      <w:divBdr>
        <w:top w:val="none" w:sz="0" w:space="0" w:color="auto"/>
        <w:left w:val="none" w:sz="0" w:space="0" w:color="auto"/>
        <w:bottom w:val="none" w:sz="0" w:space="0" w:color="auto"/>
        <w:right w:val="none" w:sz="0" w:space="0" w:color="auto"/>
      </w:divBdr>
      <w:divsChild>
        <w:div w:id="774833670">
          <w:marLeft w:val="0"/>
          <w:marRight w:val="0"/>
          <w:marTop w:val="0"/>
          <w:marBottom w:val="0"/>
          <w:divBdr>
            <w:top w:val="none" w:sz="0" w:space="0" w:color="auto"/>
            <w:left w:val="none" w:sz="0" w:space="0" w:color="auto"/>
            <w:bottom w:val="none" w:sz="0" w:space="0" w:color="auto"/>
            <w:right w:val="none" w:sz="0" w:space="0" w:color="auto"/>
          </w:divBdr>
          <w:divsChild>
            <w:div w:id="1517619325">
              <w:marLeft w:val="0"/>
              <w:marRight w:val="0"/>
              <w:marTop w:val="0"/>
              <w:marBottom w:val="0"/>
              <w:divBdr>
                <w:top w:val="none" w:sz="0" w:space="0" w:color="auto"/>
                <w:left w:val="none" w:sz="0" w:space="0" w:color="auto"/>
                <w:bottom w:val="none" w:sz="0" w:space="0" w:color="auto"/>
                <w:right w:val="none" w:sz="0" w:space="0" w:color="auto"/>
              </w:divBdr>
              <w:divsChild>
                <w:div w:id="1007055749">
                  <w:marLeft w:val="0"/>
                  <w:marRight w:val="0"/>
                  <w:marTop w:val="0"/>
                  <w:marBottom w:val="0"/>
                  <w:divBdr>
                    <w:top w:val="none" w:sz="0" w:space="0" w:color="auto"/>
                    <w:left w:val="none" w:sz="0" w:space="0" w:color="auto"/>
                    <w:bottom w:val="none" w:sz="0" w:space="0" w:color="auto"/>
                    <w:right w:val="none" w:sz="0" w:space="0" w:color="auto"/>
                  </w:divBdr>
                  <w:divsChild>
                    <w:div w:id="16956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63296">
      <w:bodyDiv w:val="1"/>
      <w:marLeft w:val="0"/>
      <w:marRight w:val="0"/>
      <w:marTop w:val="0"/>
      <w:marBottom w:val="0"/>
      <w:divBdr>
        <w:top w:val="none" w:sz="0" w:space="0" w:color="auto"/>
        <w:left w:val="none" w:sz="0" w:space="0" w:color="auto"/>
        <w:bottom w:val="none" w:sz="0" w:space="0" w:color="auto"/>
        <w:right w:val="none" w:sz="0" w:space="0" w:color="auto"/>
      </w:divBdr>
    </w:div>
    <w:div w:id="536165848">
      <w:bodyDiv w:val="1"/>
      <w:marLeft w:val="0"/>
      <w:marRight w:val="0"/>
      <w:marTop w:val="0"/>
      <w:marBottom w:val="0"/>
      <w:divBdr>
        <w:top w:val="none" w:sz="0" w:space="0" w:color="auto"/>
        <w:left w:val="none" w:sz="0" w:space="0" w:color="auto"/>
        <w:bottom w:val="none" w:sz="0" w:space="0" w:color="auto"/>
        <w:right w:val="none" w:sz="0" w:space="0" w:color="auto"/>
      </w:divBdr>
    </w:div>
    <w:div w:id="548491416">
      <w:bodyDiv w:val="1"/>
      <w:marLeft w:val="0"/>
      <w:marRight w:val="0"/>
      <w:marTop w:val="0"/>
      <w:marBottom w:val="0"/>
      <w:divBdr>
        <w:top w:val="none" w:sz="0" w:space="0" w:color="auto"/>
        <w:left w:val="none" w:sz="0" w:space="0" w:color="auto"/>
        <w:bottom w:val="none" w:sz="0" w:space="0" w:color="auto"/>
        <w:right w:val="none" w:sz="0" w:space="0" w:color="auto"/>
      </w:divBdr>
    </w:div>
    <w:div w:id="554507417">
      <w:bodyDiv w:val="1"/>
      <w:marLeft w:val="0"/>
      <w:marRight w:val="0"/>
      <w:marTop w:val="0"/>
      <w:marBottom w:val="0"/>
      <w:divBdr>
        <w:top w:val="none" w:sz="0" w:space="0" w:color="auto"/>
        <w:left w:val="none" w:sz="0" w:space="0" w:color="auto"/>
        <w:bottom w:val="none" w:sz="0" w:space="0" w:color="auto"/>
        <w:right w:val="none" w:sz="0" w:space="0" w:color="auto"/>
      </w:divBdr>
      <w:divsChild>
        <w:div w:id="541022318">
          <w:marLeft w:val="0"/>
          <w:marRight w:val="0"/>
          <w:marTop w:val="0"/>
          <w:marBottom w:val="0"/>
          <w:divBdr>
            <w:top w:val="none" w:sz="0" w:space="0" w:color="auto"/>
            <w:left w:val="none" w:sz="0" w:space="0" w:color="auto"/>
            <w:bottom w:val="none" w:sz="0" w:space="0" w:color="auto"/>
            <w:right w:val="none" w:sz="0" w:space="0" w:color="auto"/>
          </w:divBdr>
          <w:divsChild>
            <w:div w:id="946040290">
              <w:marLeft w:val="0"/>
              <w:marRight w:val="0"/>
              <w:marTop w:val="0"/>
              <w:marBottom w:val="0"/>
              <w:divBdr>
                <w:top w:val="none" w:sz="0" w:space="0" w:color="auto"/>
                <w:left w:val="none" w:sz="0" w:space="0" w:color="auto"/>
                <w:bottom w:val="none" w:sz="0" w:space="0" w:color="auto"/>
                <w:right w:val="none" w:sz="0" w:space="0" w:color="auto"/>
              </w:divBdr>
              <w:divsChild>
                <w:div w:id="19631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2860">
      <w:bodyDiv w:val="1"/>
      <w:marLeft w:val="0"/>
      <w:marRight w:val="0"/>
      <w:marTop w:val="0"/>
      <w:marBottom w:val="0"/>
      <w:divBdr>
        <w:top w:val="none" w:sz="0" w:space="0" w:color="auto"/>
        <w:left w:val="none" w:sz="0" w:space="0" w:color="auto"/>
        <w:bottom w:val="none" w:sz="0" w:space="0" w:color="auto"/>
        <w:right w:val="none" w:sz="0" w:space="0" w:color="auto"/>
      </w:divBdr>
    </w:div>
    <w:div w:id="567422349">
      <w:bodyDiv w:val="1"/>
      <w:marLeft w:val="0"/>
      <w:marRight w:val="0"/>
      <w:marTop w:val="0"/>
      <w:marBottom w:val="0"/>
      <w:divBdr>
        <w:top w:val="none" w:sz="0" w:space="0" w:color="auto"/>
        <w:left w:val="none" w:sz="0" w:space="0" w:color="auto"/>
        <w:bottom w:val="none" w:sz="0" w:space="0" w:color="auto"/>
        <w:right w:val="none" w:sz="0" w:space="0" w:color="auto"/>
      </w:divBdr>
      <w:divsChild>
        <w:div w:id="995916756">
          <w:marLeft w:val="0"/>
          <w:marRight w:val="0"/>
          <w:marTop w:val="0"/>
          <w:marBottom w:val="0"/>
          <w:divBdr>
            <w:top w:val="none" w:sz="0" w:space="0" w:color="auto"/>
            <w:left w:val="none" w:sz="0" w:space="0" w:color="auto"/>
            <w:bottom w:val="none" w:sz="0" w:space="0" w:color="auto"/>
            <w:right w:val="none" w:sz="0" w:space="0" w:color="auto"/>
          </w:divBdr>
          <w:divsChild>
            <w:div w:id="1650017136">
              <w:marLeft w:val="0"/>
              <w:marRight w:val="0"/>
              <w:marTop w:val="0"/>
              <w:marBottom w:val="0"/>
              <w:divBdr>
                <w:top w:val="none" w:sz="0" w:space="0" w:color="auto"/>
                <w:left w:val="none" w:sz="0" w:space="0" w:color="auto"/>
                <w:bottom w:val="none" w:sz="0" w:space="0" w:color="auto"/>
                <w:right w:val="none" w:sz="0" w:space="0" w:color="auto"/>
              </w:divBdr>
              <w:divsChild>
                <w:div w:id="10266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37350">
      <w:bodyDiv w:val="1"/>
      <w:marLeft w:val="0"/>
      <w:marRight w:val="0"/>
      <w:marTop w:val="0"/>
      <w:marBottom w:val="0"/>
      <w:divBdr>
        <w:top w:val="none" w:sz="0" w:space="0" w:color="auto"/>
        <w:left w:val="none" w:sz="0" w:space="0" w:color="auto"/>
        <w:bottom w:val="none" w:sz="0" w:space="0" w:color="auto"/>
        <w:right w:val="none" w:sz="0" w:space="0" w:color="auto"/>
      </w:divBdr>
    </w:div>
    <w:div w:id="603153716">
      <w:bodyDiv w:val="1"/>
      <w:marLeft w:val="0"/>
      <w:marRight w:val="0"/>
      <w:marTop w:val="0"/>
      <w:marBottom w:val="0"/>
      <w:divBdr>
        <w:top w:val="none" w:sz="0" w:space="0" w:color="auto"/>
        <w:left w:val="none" w:sz="0" w:space="0" w:color="auto"/>
        <w:bottom w:val="none" w:sz="0" w:space="0" w:color="auto"/>
        <w:right w:val="none" w:sz="0" w:space="0" w:color="auto"/>
      </w:divBdr>
    </w:div>
    <w:div w:id="618076242">
      <w:bodyDiv w:val="1"/>
      <w:marLeft w:val="0"/>
      <w:marRight w:val="0"/>
      <w:marTop w:val="0"/>
      <w:marBottom w:val="0"/>
      <w:divBdr>
        <w:top w:val="none" w:sz="0" w:space="0" w:color="auto"/>
        <w:left w:val="none" w:sz="0" w:space="0" w:color="auto"/>
        <w:bottom w:val="none" w:sz="0" w:space="0" w:color="auto"/>
        <w:right w:val="none" w:sz="0" w:space="0" w:color="auto"/>
      </w:divBdr>
    </w:div>
    <w:div w:id="620501362">
      <w:bodyDiv w:val="1"/>
      <w:marLeft w:val="0"/>
      <w:marRight w:val="0"/>
      <w:marTop w:val="0"/>
      <w:marBottom w:val="0"/>
      <w:divBdr>
        <w:top w:val="none" w:sz="0" w:space="0" w:color="auto"/>
        <w:left w:val="none" w:sz="0" w:space="0" w:color="auto"/>
        <w:bottom w:val="none" w:sz="0" w:space="0" w:color="auto"/>
        <w:right w:val="none" w:sz="0" w:space="0" w:color="auto"/>
      </w:divBdr>
    </w:div>
    <w:div w:id="634025993">
      <w:bodyDiv w:val="1"/>
      <w:marLeft w:val="0"/>
      <w:marRight w:val="0"/>
      <w:marTop w:val="0"/>
      <w:marBottom w:val="0"/>
      <w:divBdr>
        <w:top w:val="none" w:sz="0" w:space="0" w:color="auto"/>
        <w:left w:val="none" w:sz="0" w:space="0" w:color="auto"/>
        <w:bottom w:val="none" w:sz="0" w:space="0" w:color="auto"/>
        <w:right w:val="none" w:sz="0" w:space="0" w:color="auto"/>
      </w:divBdr>
    </w:div>
    <w:div w:id="643239116">
      <w:bodyDiv w:val="1"/>
      <w:marLeft w:val="0"/>
      <w:marRight w:val="0"/>
      <w:marTop w:val="0"/>
      <w:marBottom w:val="0"/>
      <w:divBdr>
        <w:top w:val="none" w:sz="0" w:space="0" w:color="auto"/>
        <w:left w:val="none" w:sz="0" w:space="0" w:color="auto"/>
        <w:bottom w:val="none" w:sz="0" w:space="0" w:color="auto"/>
        <w:right w:val="none" w:sz="0" w:space="0" w:color="auto"/>
      </w:divBdr>
    </w:div>
    <w:div w:id="655957406">
      <w:bodyDiv w:val="1"/>
      <w:marLeft w:val="0"/>
      <w:marRight w:val="0"/>
      <w:marTop w:val="0"/>
      <w:marBottom w:val="0"/>
      <w:divBdr>
        <w:top w:val="none" w:sz="0" w:space="0" w:color="auto"/>
        <w:left w:val="none" w:sz="0" w:space="0" w:color="auto"/>
        <w:bottom w:val="none" w:sz="0" w:space="0" w:color="auto"/>
        <w:right w:val="none" w:sz="0" w:space="0" w:color="auto"/>
      </w:divBdr>
    </w:div>
    <w:div w:id="662121370">
      <w:bodyDiv w:val="1"/>
      <w:marLeft w:val="0"/>
      <w:marRight w:val="0"/>
      <w:marTop w:val="0"/>
      <w:marBottom w:val="0"/>
      <w:divBdr>
        <w:top w:val="none" w:sz="0" w:space="0" w:color="auto"/>
        <w:left w:val="none" w:sz="0" w:space="0" w:color="auto"/>
        <w:bottom w:val="none" w:sz="0" w:space="0" w:color="auto"/>
        <w:right w:val="none" w:sz="0" w:space="0" w:color="auto"/>
      </w:divBdr>
    </w:div>
    <w:div w:id="674770316">
      <w:bodyDiv w:val="1"/>
      <w:marLeft w:val="0"/>
      <w:marRight w:val="0"/>
      <w:marTop w:val="0"/>
      <w:marBottom w:val="0"/>
      <w:divBdr>
        <w:top w:val="none" w:sz="0" w:space="0" w:color="auto"/>
        <w:left w:val="none" w:sz="0" w:space="0" w:color="auto"/>
        <w:bottom w:val="none" w:sz="0" w:space="0" w:color="auto"/>
        <w:right w:val="none" w:sz="0" w:space="0" w:color="auto"/>
      </w:divBdr>
    </w:div>
    <w:div w:id="675691342">
      <w:bodyDiv w:val="1"/>
      <w:marLeft w:val="0"/>
      <w:marRight w:val="0"/>
      <w:marTop w:val="0"/>
      <w:marBottom w:val="0"/>
      <w:divBdr>
        <w:top w:val="none" w:sz="0" w:space="0" w:color="auto"/>
        <w:left w:val="none" w:sz="0" w:space="0" w:color="auto"/>
        <w:bottom w:val="none" w:sz="0" w:space="0" w:color="auto"/>
        <w:right w:val="none" w:sz="0" w:space="0" w:color="auto"/>
      </w:divBdr>
    </w:div>
    <w:div w:id="677007141">
      <w:bodyDiv w:val="1"/>
      <w:marLeft w:val="0"/>
      <w:marRight w:val="0"/>
      <w:marTop w:val="0"/>
      <w:marBottom w:val="0"/>
      <w:divBdr>
        <w:top w:val="none" w:sz="0" w:space="0" w:color="auto"/>
        <w:left w:val="none" w:sz="0" w:space="0" w:color="auto"/>
        <w:bottom w:val="none" w:sz="0" w:space="0" w:color="auto"/>
        <w:right w:val="none" w:sz="0" w:space="0" w:color="auto"/>
      </w:divBdr>
      <w:divsChild>
        <w:div w:id="286552326">
          <w:marLeft w:val="0"/>
          <w:marRight w:val="0"/>
          <w:marTop w:val="0"/>
          <w:marBottom w:val="0"/>
          <w:divBdr>
            <w:top w:val="none" w:sz="0" w:space="0" w:color="auto"/>
            <w:left w:val="none" w:sz="0" w:space="0" w:color="auto"/>
            <w:bottom w:val="none" w:sz="0" w:space="0" w:color="auto"/>
            <w:right w:val="none" w:sz="0" w:space="0" w:color="auto"/>
          </w:divBdr>
          <w:divsChild>
            <w:div w:id="50159216">
              <w:marLeft w:val="0"/>
              <w:marRight w:val="0"/>
              <w:marTop w:val="0"/>
              <w:marBottom w:val="0"/>
              <w:divBdr>
                <w:top w:val="none" w:sz="0" w:space="0" w:color="auto"/>
                <w:left w:val="none" w:sz="0" w:space="0" w:color="auto"/>
                <w:bottom w:val="none" w:sz="0" w:space="0" w:color="auto"/>
                <w:right w:val="none" w:sz="0" w:space="0" w:color="auto"/>
              </w:divBdr>
              <w:divsChild>
                <w:div w:id="12649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5685">
      <w:bodyDiv w:val="1"/>
      <w:marLeft w:val="0"/>
      <w:marRight w:val="0"/>
      <w:marTop w:val="0"/>
      <w:marBottom w:val="0"/>
      <w:divBdr>
        <w:top w:val="none" w:sz="0" w:space="0" w:color="auto"/>
        <w:left w:val="none" w:sz="0" w:space="0" w:color="auto"/>
        <w:bottom w:val="none" w:sz="0" w:space="0" w:color="auto"/>
        <w:right w:val="none" w:sz="0" w:space="0" w:color="auto"/>
      </w:divBdr>
    </w:div>
    <w:div w:id="688915577">
      <w:bodyDiv w:val="1"/>
      <w:marLeft w:val="0"/>
      <w:marRight w:val="0"/>
      <w:marTop w:val="0"/>
      <w:marBottom w:val="0"/>
      <w:divBdr>
        <w:top w:val="none" w:sz="0" w:space="0" w:color="auto"/>
        <w:left w:val="none" w:sz="0" w:space="0" w:color="auto"/>
        <w:bottom w:val="none" w:sz="0" w:space="0" w:color="auto"/>
        <w:right w:val="none" w:sz="0" w:space="0" w:color="auto"/>
      </w:divBdr>
    </w:div>
    <w:div w:id="699744522">
      <w:bodyDiv w:val="1"/>
      <w:marLeft w:val="0"/>
      <w:marRight w:val="0"/>
      <w:marTop w:val="0"/>
      <w:marBottom w:val="0"/>
      <w:divBdr>
        <w:top w:val="none" w:sz="0" w:space="0" w:color="auto"/>
        <w:left w:val="none" w:sz="0" w:space="0" w:color="auto"/>
        <w:bottom w:val="none" w:sz="0" w:space="0" w:color="auto"/>
        <w:right w:val="none" w:sz="0" w:space="0" w:color="auto"/>
      </w:divBdr>
    </w:div>
    <w:div w:id="715735361">
      <w:bodyDiv w:val="1"/>
      <w:marLeft w:val="0"/>
      <w:marRight w:val="0"/>
      <w:marTop w:val="0"/>
      <w:marBottom w:val="0"/>
      <w:divBdr>
        <w:top w:val="none" w:sz="0" w:space="0" w:color="auto"/>
        <w:left w:val="none" w:sz="0" w:space="0" w:color="auto"/>
        <w:bottom w:val="none" w:sz="0" w:space="0" w:color="auto"/>
        <w:right w:val="none" w:sz="0" w:space="0" w:color="auto"/>
      </w:divBdr>
      <w:divsChild>
        <w:div w:id="231353255">
          <w:marLeft w:val="0"/>
          <w:marRight w:val="0"/>
          <w:marTop w:val="0"/>
          <w:marBottom w:val="360"/>
          <w:divBdr>
            <w:top w:val="none" w:sz="0" w:space="0" w:color="auto"/>
            <w:left w:val="none" w:sz="0" w:space="0" w:color="auto"/>
            <w:bottom w:val="none" w:sz="0" w:space="0" w:color="auto"/>
            <w:right w:val="none" w:sz="0" w:space="0" w:color="auto"/>
          </w:divBdr>
        </w:div>
      </w:divsChild>
    </w:div>
    <w:div w:id="743768656">
      <w:bodyDiv w:val="1"/>
      <w:marLeft w:val="0"/>
      <w:marRight w:val="0"/>
      <w:marTop w:val="0"/>
      <w:marBottom w:val="0"/>
      <w:divBdr>
        <w:top w:val="none" w:sz="0" w:space="0" w:color="auto"/>
        <w:left w:val="none" w:sz="0" w:space="0" w:color="auto"/>
        <w:bottom w:val="none" w:sz="0" w:space="0" w:color="auto"/>
        <w:right w:val="none" w:sz="0" w:space="0" w:color="auto"/>
      </w:divBdr>
    </w:div>
    <w:div w:id="751048898">
      <w:bodyDiv w:val="1"/>
      <w:marLeft w:val="0"/>
      <w:marRight w:val="0"/>
      <w:marTop w:val="0"/>
      <w:marBottom w:val="0"/>
      <w:divBdr>
        <w:top w:val="none" w:sz="0" w:space="0" w:color="auto"/>
        <w:left w:val="none" w:sz="0" w:space="0" w:color="auto"/>
        <w:bottom w:val="none" w:sz="0" w:space="0" w:color="auto"/>
        <w:right w:val="none" w:sz="0" w:space="0" w:color="auto"/>
      </w:divBdr>
    </w:div>
    <w:div w:id="751777656">
      <w:bodyDiv w:val="1"/>
      <w:marLeft w:val="0"/>
      <w:marRight w:val="0"/>
      <w:marTop w:val="0"/>
      <w:marBottom w:val="0"/>
      <w:divBdr>
        <w:top w:val="none" w:sz="0" w:space="0" w:color="auto"/>
        <w:left w:val="none" w:sz="0" w:space="0" w:color="auto"/>
        <w:bottom w:val="none" w:sz="0" w:space="0" w:color="auto"/>
        <w:right w:val="none" w:sz="0" w:space="0" w:color="auto"/>
      </w:divBdr>
    </w:div>
    <w:div w:id="757485649">
      <w:bodyDiv w:val="1"/>
      <w:marLeft w:val="0"/>
      <w:marRight w:val="0"/>
      <w:marTop w:val="0"/>
      <w:marBottom w:val="0"/>
      <w:divBdr>
        <w:top w:val="none" w:sz="0" w:space="0" w:color="auto"/>
        <w:left w:val="none" w:sz="0" w:space="0" w:color="auto"/>
        <w:bottom w:val="none" w:sz="0" w:space="0" w:color="auto"/>
        <w:right w:val="none" w:sz="0" w:space="0" w:color="auto"/>
      </w:divBdr>
    </w:div>
    <w:div w:id="769937021">
      <w:bodyDiv w:val="1"/>
      <w:marLeft w:val="0"/>
      <w:marRight w:val="0"/>
      <w:marTop w:val="0"/>
      <w:marBottom w:val="0"/>
      <w:divBdr>
        <w:top w:val="none" w:sz="0" w:space="0" w:color="auto"/>
        <w:left w:val="none" w:sz="0" w:space="0" w:color="auto"/>
        <w:bottom w:val="none" w:sz="0" w:space="0" w:color="auto"/>
        <w:right w:val="none" w:sz="0" w:space="0" w:color="auto"/>
      </w:divBdr>
    </w:div>
    <w:div w:id="774980371">
      <w:bodyDiv w:val="1"/>
      <w:marLeft w:val="0"/>
      <w:marRight w:val="0"/>
      <w:marTop w:val="0"/>
      <w:marBottom w:val="0"/>
      <w:divBdr>
        <w:top w:val="none" w:sz="0" w:space="0" w:color="auto"/>
        <w:left w:val="none" w:sz="0" w:space="0" w:color="auto"/>
        <w:bottom w:val="none" w:sz="0" w:space="0" w:color="auto"/>
        <w:right w:val="none" w:sz="0" w:space="0" w:color="auto"/>
      </w:divBdr>
    </w:div>
    <w:div w:id="780533825">
      <w:bodyDiv w:val="1"/>
      <w:marLeft w:val="0"/>
      <w:marRight w:val="0"/>
      <w:marTop w:val="0"/>
      <w:marBottom w:val="0"/>
      <w:divBdr>
        <w:top w:val="none" w:sz="0" w:space="0" w:color="auto"/>
        <w:left w:val="none" w:sz="0" w:space="0" w:color="auto"/>
        <w:bottom w:val="none" w:sz="0" w:space="0" w:color="auto"/>
        <w:right w:val="none" w:sz="0" w:space="0" w:color="auto"/>
      </w:divBdr>
    </w:div>
    <w:div w:id="781874342">
      <w:bodyDiv w:val="1"/>
      <w:marLeft w:val="0"/>
      <w:marRight w:val="0"/>
      <w:marTop w:val="0"/>
      <w:marBottom w:val="0"/>
      <w:divBdr>
        <w:top w:val="none" w:sz="0" w:space="0" w:color="auto"/>
        <w:left w:val="none" w:sz="0" w:space="0" w:color="auto"/>
        <w:bottom w:val="none" w:sz="0" w:space="0" w:color="auto"/>
        <w:right w:val="none" w:sz="0" w:space="0" w:color="auto"/>
      </w:divBdr>
      <w:divsChild>
        <w:div w:id="743720039">
          <w:marLeft w:val="0"/>
          <w:marRight w:val="0"/>
          <w:marTop w:val="0"/>
          <w:marBottom w:val="0"/>
          <w:divBdr>
            <w:top w:val="none" w:sz="0" w:space="0" w:color="auto"/>
            <w:left w:val="none" w:sz="0" w:space="0" w:color="auto"/>
            <w:bottom w:val="none" w:sz="0" w:space="0" w:color="auto"/>
            <w:right w:val="none" w:sz="0" w:space="0" w:color="auto"/>
          </w:divBdr>
          <w:divsChild>
            <w:div w:id="1507137148">
              <w:marLeft w:val="0"/>
              <w:marRight w:val="0"/>
              <w:marTop w:val="0"/>
              <w:marBottom w:val="0"/>
              <w:divBdr>
                <w:top w:val="none" w:sz="0" w:space="0" w:color="auto"/>
                <w:left w:val="none" w:sz="0" w:space="0" w:color="auto"/>
                <w:bottom w:val="none" w:sz="0" w:space="0" w:color="auto"/>
                <w:right w:val="none" w:sz="0" w:space="0" w:color="auto"/>
              </w:divBdr>
              <w:divsChild>
                <w:div w:id="7610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00557">
      <w:bodyDiv w:val="1"/>
      <w:marLeft w:val="0"/>
      <w:marRight w:val="0"/>
      <w:marTop w:val="0"/>
      <w:marBottom w:val="0"/>
      <w:divBdr>
        <w:top w:val="none" w:sz="0" w:space="0" w:color="auto"/>
        <w:left w:val="none" w:sz="0" w:space="0" w:color="auto"/>
        <w:bottom w:val="none" w:sz="0" w:space="0" w:color="auto"/>
        <w:right w:val="none" w:sz="0" w:space="0" w:color="auto"/>
      </w:divBdr>
    </w:div>
    <w:div w:id="796946232">
      <w:bodyDiv w:val="1"/>
      <w:marLeft w:val="0"/>
      <w:marRight w:val="0"/>
      <w:marTop w:val="0"/>
      <w:marBottom w:val="0"/>
      <w:divBdr>
        <w:top w:val="none" w:sz="0" w:space="0" w:color="auto"/>
        <w:left w:val="none" w:sz="0" w:space="0" w:color="auto"/>
        <w:bottom w:val="none" w:sz="0" w:space="0" w:color="auto"/>
        <w:right w:val="none" w:sz="0" w:space="0" w:color="auto"/>
      </w:divBdr>
    </w:div>
    <w:div w:id="798691387">
      <w:bodyDiv w:val="1"/>
      <w:marLeft w:val="0"/>
      <w:marRight w:val="0"/>
      <w:marTop w:val="0"/>
      <w:marBottom w:val="0"/>
      <w:divBdr>
        <w:top w:val="none" w:sz="0" w:space="0" w:color="auto"/>
        <w:left w:val="none" w:sz="0" w:space="0" w:color="auto"/>
        <w:bottom w:val="none" w:sz="0" w:space="0" w:color="auto"/>
        <w:right w:val="none" w:sz="0" w:space="0" w:color="auto"/>
      </w:divBdr>
    </w:div>
    <w:div w:id="803890649">
      <w:bodyDiv w:val="1"/>
      <w:marLeft w:val="0"/>
      <w:marRight w:val="0"/>
      <w:marTop w:val="0"/>
      <w:marBottom w:val="0"/>
      <w:divBdr>
        <w:top w:val="none" w:sz="0" w:space="0" w:color="auto"/>
        <w:left w:val="none" w:sz="0" w:space="0" w:color="auto"/>
        <w:bottom w:val="none" w:sz="0" w:space="0" w:color="auto"/>
        <w:right w:val="none" w:sz="0" w:space="0" w:color="auto"/>
      </w:divBdr>
    </w:div>
    <w:div w:id="804589250">
      <w:bodyDiv w:val="1"/>
      <w:marLeft w:val="0"/>
      <w:marRight w:val="0"/>
      <w:marTop w:val="0"/>
      <w:marBottom w:val="0"/>
      <w:divBdr>
        <w:top w:val="none" w:sz="0" w:space="0" w:color="auto"/>
        <w:left w:val="none" w:sz="0" w:space="0" w:color="auto"/>
        <w:bottom w:val="none" w:sz="0" w:space="0" w:color="auto"/>
        <w:right w:val="none" w:sz="0" w:space="0" w:color="auto"/>
      </w:divBdr>
    </w:div>
    <w:div w:id="806628200">
      <w:bodyDiv w:val="1"/>
      <w:marLeft w:val="0"/>
      <w:marRight w:val="0"/>
      <w:marTop w:val="0"/>
      <w:marBottom w:val="0"/>
      <w:divBdr>
        <w:top w:val="none" w:sz="0" w:space="0" w:color="auto"/>
        <w:left w:val="none" w:sz="0" w:space="0" w:color="auto"/>
        <w:bottom w:val="none" w:sz="0" w:space="0" w:color="auto"/>
        <w:right w:val="none" w:sz="0" w:space="0" w:color="auto"/>
      </w:divBdr>
    </w:div>
    <w:div w:id="824971592">
      <w:bodyDiv w:val="1"/>
      <w:marLeft w:val="0"/>
      <w:marRight w:val="0"/>
      <w:marTop w:val="0"/>
      <w:marBottom w:val="0"/>
      <w:divBdr>
        <w:top w:val="none" w:sz="0" w:space="0" w:color="auto"/>
        <w:left w:val="none" w:sz="0" w:space="0" w:color="auto"/>
        <w:bottom w:val="none" w:sz="0" w:space="0" w:color="auto"/>
        <w:right w:val="none" w:sz="0" w:space="0" w:color="auto"/>
      </w:divBdr>
    </w:div>
    <w:div w:id="832918859">
      <w:bodyDiv w:val="1"/>
      <w:marLeft w:val="0"/>
      <w:marRight w:val="0"/>
      <w:marTop w:val="0"/>
      <w:marBottom w:val="0"/>
      <w:divBdr>
        <w:top w:val="none" w:sz="0" w:space="0" w:color="auto"/>
        <w:left w:val="none" w:sz="0" w:space="0" w:color="auto"/>
        <w:bottom w:val="none" w:sz="0" w:space="0" w:color="auto"/>
        <w:right w:val="none" w:sz="0" w:space="0" w:color="auto"/>
      </w:divBdr>
      <w:divsChild>
        <w:div w:id="1476339753">
          <w:marLeft w:val="0"/>
          <w:marRight w:val="0"/>
          <w:marTop w:val="0"/>
          <w:marBottom w:val="0"/>
          <w:divBdr>
            <w:top w:val="none" w:sz="0" w:space="0" w:color="auto"/>
            <w:left w:val="none" w:sz="0" w:space="0" w:color="auto"/>
            <w:bottom w:val="none" w:sz="0" w:space="0" w:color="auto"/>
            <w:right w:val="none" w:sz="0" w:space="0" w:color="auto"/>
          </w:divBdr>
          <w:divsChild>
            <w:div w:id="626207883">
              <w:marLeft w:val="0"/>
              <w:marRight w:val="0"/>
              <w:marTop w:val="0"/>
              <w:marBottom w:val="0"/>
              <w:divBdr>
                <w:top w:val="none" w:sz="0" w:space="0" w:color="auto"/>
                <w:left w:val="none" w:sz="0" w:space="0" w:color="auto"/>
                <w:bottom w:val="none" w:sz="0" w:space="0" w:color="auto"/>
                <w:right w:val="none" w:sz="0" w:space="0" w:color="auto"/>
              </w:divBdr>
              <w:divsChild>
                <w:div w:id="3728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27897">
      <w:bodyDiv w:val="1"/>
      <w:marLeft w:val="0"/>
      <w:marRight w:val="0"/>
      <w:marTop w:val="0"/>
      <w:marBottom w:val="0"/>
      <w:divBdr>
        <w:top w:val="none" w:sz="0" w:space="0" w:color="auto"/>
        <w:left w:val="none" w:sz="0" w:space="0" w:color="auto"/>
        <w:bottom w:val="none" w:sz="0" w:space="0" w:color="auto"/>
        <w:right w:val="none" w:sz="0" w:space="0" w:color="auto"/>
      </w:divBdr>
    </w:div>
    <w:div w:id="848062256">
      <w:bodyDiv w:val="1"/>
      <w:marLeft w:val="0"/>
      <w:marRight w:val="0"/>
      <w:marTop w:val="0"/>
      <w:marBottom w:val="0"/>
      <w:divBdr>
        <w:top w:val="none" w:sz="0" w:space="0" w:color="auto"/>
        <w:left w:val="none" w:sz="0" w:space="0" w:color="auto"/>
        <w:bottom w:val="none" w:sz="0" w:space="0" w:color="auto"/>
        <w:right w:val="none" w:sz="0" w:space="0" w:color="auto"/>
      </w:divBdr>
      <w:divsChild>
        <w:div w:id="2130389106">
          <w:marLeft w:val="0"/>
          <w:marRight w:val="0"/>
          <w:marTop w:val="0"/>
          <w:marBottom w:val="0"/>
          <w:divBdr>
            <w:top w:val="none" w:sz="0" w:space="0" w:color="auto"/>
            <w:left w:val="none" w:sz="0" w:space="0" w:color="auto"/>
            <w:bottom w:val="none" w:sz="0" w:space="0" w:color="auto"/>
            <w:right w:val="none" w:sz="0" w:space="0" w:color="auto"/>
          </w:divBdr>
          <w:divsChild>
            <w:div w:id="1430347556">
              <w:marLeft w:val="0"/>
              <w:marRight w:val="0"/>
              <w:marTop w:val="0"/>
              <w:marBottom w:val="0"/>
              <w:divBdr>
                <w:top w:val="none" w:sz="0" w:space="0" w:color="auto"/>
                <w:left w:val="none" w:sz="0" w:space="0" w:color="auto"/>
                <w:bottom w:val="none" w:sz="0" w:space="0" w:color="auto"/>
                <w:right w:val="none" w:sz="0" w:space="0" w:color="auto"/>
              </w:divBdr>
              <w:divsChild>
                <w:div w:id="18874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3878">
      <w:bodyDiv w:val="1"/>
      <w:marLeft w:val="0"/>
      <w:marRight w:val="0"/>
      <w:marTop w:val="0"/>
      <w:marBottom w:val="0"/>
      <w:divBdr>
        <w:top w:val="none" w:sz="0" w:space="0" w:color="auto"/>
        <w:left w:val="none" w:sz="0" w:space="0" w:color="auto"/>
        <w:bottom w:val="none" w:sz="0" w:space="0" w:color="auto"/>
        <w:right w:val="none" w:sz="0" w:space="0" w:color="auto"/>
      </w:divBdr>
    </w:div>
    <w:div w:id="856622539">
      <w:bodyDiv w:val="1"/>
      <w:marLeft w:val="0"/>
      <w:marRight w:val="0"/>
      <w:marTop w:val="0"/>
      <w:marBottom w:val="0"/>
      <w:divBdr>
        <w:top w:val="none" w:sz="0" w:space="0" w:color="auto"/>
        <w:left w:val="none" w:sz="0" w:space="0" w:color="auto"/>
        <w:bottom w:val="none" w:sz="0" w:space="0" w:color="auto"/>
        <w:right w:val="none" w:sz="0" w:space="0" w:color="auto"/>
      </w:divBdr>
      <w:divsChild>
        <w:div w:id="392390341">
          <w:marLeft w:val="0"/>
          <w:marRight w:val="0"/>
          <w:marTop w:val="0"/>
          <w:marBottom w:val="0"/>
          <w:divBdr>
            <w:top w:val="none" w:sz="0" w:space="0" w:color="auto"/>
            <w:left w:val="none" w:sz="0" w:space="0" w:color="auto"/>
            <w:bottom w:val="none" w:sz="0" w:space="0" w:color="auto"/>
            <w:right w:val="none" w:sz="0" w:space="0" w:color="auto"/>
          </w:divBdr>
          <w:divsChild>
            <w:div w:id="1602762233">
              <w:marLeft w:val="0"/>
              <w:marRight w:val="0"/>
              <w:marTop w:val="0"/>
              <w:marBottom w:val="0"/>
              <w:divBdr>
                <w:top w:val="none" w:sz="0" w:space="0" w:color="auto"/>
                <w:left w:val="none" w:sz="0" w:space="0" w:color="auto"/>
                <w:bottom w:val="none" w:sz="0" w:space="0" w:color="auto"/>
                <w:right w:val="none" w:sz="0" w:space="0" w:color="auto"/>
              </w:divBdr>
              <w:divsChild>
                <w:div w:id="93756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052767">
      <w:bodyDiv w:val="1"/>
      <w:marLeft w:val="0"/>
      <w:marRight w:val="0"/>
      <w:marTop w:val="0"/>
      <w:marBottom w:val="0"/>
      <w:divBdr>
        <w:top w:val="none" w:sz="0" w:space="0" w:color="auto"/>
        <w:left w:val="none" w:sz="0" w:space="0" w:color="auto"/>
        <w:bottom w:val="none" w:sz="0" w:space="0" w:color="auto"/>
        <w:right w:val="none" w:sz="0" w:space="0" w:color="auto"/>
      </w:divBdr>
    </w:div>
    <w:div w:id="867178625">
      <w:bodyDiv w:val="1"/>
      <w:marLeft w:val="0"/>
      <w:marRight w:val="0"/>
      <w:marTop w:val="0"/>
      <w:marBottom w:val="0"/>
      <w:divBdr>
        <w:top w:val="none" w:sz="0" w:space="0" w:color="auto"/>
        <w:left w:val="none" w:sz="0" w:space="0" w:color="auto"/>
        <w:bottom w:val="none" w:sz="0" w:space="0" w:color="auto"/>
        <w:right w:val="none" w:sz="0" w:space="0" w:color="auto"/>
      </w:divBdr>
    </w:div>
    <w:div w:id="872618794">
      <w:bodyDiv w:val="1"/>
      <w:marLeft w:val="0"/>
      <w:marRight w:val="0"/>
      <w:marTop w:val="0"/>
      <w:marBottom w:val="0"/>
      <w:divBdr>
        <w:top w:val="none" w:sz="0" w:space="0" w:color="auto"/>
        <w:left w:val="none" w:sz="0" w:space="0" w:color="auto"/>
        <w:bottom w:val="none" w:sz="0" w:space="0" w:color="auto"/>
        <w:right w:val="none" w:sz="0" w:space="0" w:color="auto"/>
      </w:divBdr>
    </w:div>
    <w:div w:id="888765607">
      <w:bodyDiv w:val="1"/>
      <w:marLeft w:val="0"/>
      <w:marRight w:val="0"/>
      <w:marTop w:val="0"/>
      <w:marBottom w:val="0"/>
      <w:divBdr>
        <w:top w:val="none" w:sz="0" w:space="0" w:color="auto"/>
        <w:left w:val="none" w:sz="0" w:space="0" w:color="auto"/>
        <w:bottom w:val="none" w:sz="0" w:space="0" w:color="auto"/>
        <w:right w:val="none" w:sz="0" w:space="0" w:color="auto"/>
      </w:divBdr>
    </w:div>
    <w:div w:id="890846106">
      <w:bodyDiv w:val="1"/>
      <w:marLeft w:val="0"/>
      <w:marRight w:val="0"/>
      <w:marTop w:val="0"/>
      <w:marBottom w:val="0"/>
      <w:divBdr>
        <w:top w:val="none" w:sz="0" w:space="0" w:color="auto"/>
        <w:left w:val="none" w:sz="0" w:space="0" w:color="auto"/>
        <w:bottom w:val="none" w:sz="0" w:space="0" w:color="auto"/>
        <w:right w:val="none" w:sz="0" w:space="0" w:color="auto"/>
      </w:divBdr>
      <w:divsChild>
        <w:div w:id="123353006">
          <w:marLeft w:val="0"/>
          <w:marRight w:val="0"/>
          <w:marTop w:val="0"/>
          <w:marBottom w:val="0"/>
          <w:divBdr>
            <w:top w:val="none" w:sz="0" w:space="0" w:color="auto"/>
            <w:left w:val="none" w:sz="0" w:space="0" w:color="auto"/>
            <w:bottom w:val="none" w:sz="0" w:space="0" w:color="auto"/>
            <w:right w:val="none" w:sz="0" w:space="0" w:color="auto"/>
          </w:divBdr>
          <w:divsChild>
            <w:div w:id="1145390068">
              <w:marLeft w:val="0"/>
              <w:marRight w:val="0"/>
              <w:marTop w:val="0"/>
              <w:marBottom w:val="0"/>
              <w:divBdr>
                <w:top w:val="none" w:sz="0" w:space="0" w:color="auto"/>
                <w:left w:val="none" w:sz="0" w:space="0" w:color="auto"/>
                <w:bottom w:val="none" w:sz="0" w:space="0" w:color="auto"/>
                <w:right w:val="none" w:sz="0" w:space="0" w:color="auto"/>
              </w:divBdr>
              <w:divsChild>
                <w:div w:id="14338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568">
      <w:bodyDiv w:val="1"/>
      <w:marLeft w:val="0"/>
      <w:marRight w:val="0"/>
      <w:marTop w:val="0"/>
      <w:marBottom w:val="0"/>
      <w:divBdr>
        <w:top w:val="none" w:sz="0" w:space="0" w:color="auto"/>
        <w:left w:val="none" w:sz="0" w:space="0" w:color="auto"/>
        <w:bottom w:val="none" w:sz="0" w:space="0" w:color="auto"/>
        <w:right w:val="none" w:sz="0" w:space="0" w:color="auto"/>
      </w:divBdr>
      <w:divsChild>
        <w:div w:id="2016225317">
          <w:marLeft w:val="0"/>
          <w:marRight w:val="0"/>
          <w:marTop w:val="0"/>
          <w:marBottom w:val="0"/>
          <w:divBdr>
            <w:top w:val="none" w:sz="0" w:space="0" w:color="auto"/>
            <w:left w:val="none" w:sz="0" w:space="0" w:color="auto"/>
            <w:bottom w:val="none" w:sz="0" w:space="0" w:color="auto"/>
            <w:right w:val="none" w:sz="0" w:space="0" w:color="auto"/>
          </w:divBdr>
          <w:divsChild>
            <w:div w:id="236793042">
              <w:marLeft w:val="0"/>
              <w:marRight w:val="0"/>
              <w:marTop w:val="0"/>
              <w:marBottom w:val="0"/>
              <w:divBdr>
                <w:top w:val="none" w:sz="0" w:space="0" w:color="auto"/>
                <w:left w:val="none" w:sz="0" w:space="0" w:color="auto"/>
                <w:bottom w:val="none" w:sz="0" w:space="0" w:color="auto"/>
                <w:right w:val="none" w:sz="0" w:space="0" w:color="auto"/>
              </w:divBdr>
              <w:divsChild>
                <w:div w:id="723793567">
                  <w:marLeft w:val="0"/>
                  <w:marRight w:val="0"/>
                  <w:marTop w:val="0"/>
                  <w:marBottom w:val="0"/>
                  <w:divBdr>
                    <w:top w:val="none" w:sz="0" w:space="0" w:color="auto"/>
                    <w:left w:val="none" w:sz="0" w:space="0" w:color="auto"/>
                    <w:bottom w:val="none" w:sz="0" w:space="0" w:color="auto"/>
                    <w:right w:val="none" w:sz="0" w:space="0" w:color="auto"/>
                  </w:divBdr>
                  <w:divsChild>
                    <w:div w:id="4031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3189">
      <w:bodyDiv w:val="1"/>
      <w:marLeft w:val="0"/>
      <w:marRight w:val="0"/>
      <w:marTop w:val="0"/>
      <w:marBottom w:val="0"/>
      <w:divBdr>
        <w:top w:val="none" w:sz="0" w:space="0" w:color="auto"/>
        <w:left w:val="none" w:sz="0" w:space="0" w:color="auto"/>
        <w:bottom w:val="none" w:sz="0" w:space="0" w:color="auto"/>
        <w:right w:val="none" w:sz="0" w:space="0" w:color="auto"/>
      </w:divBdr>
      <w:divsChild>
        <w:div w:id="466555095">
          <w:marLeft w:val="0"/>
          <w:marRight w:val="0"/>
          <w:marTop w:val="0"/>
          <w:marBottom w:val="0"/>
          <w:divBdr>
            <w:top w:val="none" w:sz="0" w:space="0" w:color="auto"/>
            <w:left w:val="none" w:sz="0" w:space="0" w:color="auto"/>
            <w:bottom w:val="none" w:sz="0" w:space="0" w:color="auto"/>
            <w:right w:val="none" w:sz="0" w:space="0" w:color="auto"/>
          </w:divBdr>
          <w:divsChild>
            <w:div w:id="337654451">
              <w:marLeft w:val="0"/>
              <w:marRight w:val="0"/>
              <w:marTop w:val="0"/>
              <w:marBottom w:val="0"/>
              <w:divBdr>
                <w:top w:val="none" w:sz="0" w:space="0" w:color="auto"/>
                <w:left w:val="none" w:sz="0" w:space="0" w:color="auto"/>
                <w:bottom w:val="none" w:sz="0" w:space="0" w:color="auto"/>
                <w:right w:val="none" w:sz="0" w:space="0" w:color="auto"/>
              </w:divBdr>
            </w:div>
          </w:divsChild>
        </w:div>
        <w:div w:id="753743725">
          <w:marLeft w:val="0"/>
          <w:marRight w:val="0"/>
          <w:marTop w:val="0"/>
          <w:marBottom w:val="0"/>
          <w:divBdr>
            <w:top w:val="none" w:sz="0" w:space="0" w:color="auto"/>
            <w:left w:val="none" w:sz="0" w:space="0" w:color="auto"/>
            <w:bottom w:val="none" w:sz="0" w:space="0" w:color="auto"/>
            <w:right w:val="none" w:sz="0" w:space="0" w:color="auto"/>
          </w:divBdr>
          <w:divsChild>
            <w:div w:id="284821289">
              <w:marLeft w:val="0"/>
              <w:marRight w:val="0"/>
              <w:marTop w:val="0"/>
              <w:marBottom w:val="0"/>
              <w:divBdr>
                <w:top w:val="none" w:sz="0" w:space="0" w:color="auto"/>
                <w:left w:val="none" w:sz="0" w:space="0" w:color="auto"/>
                <w:bottom w:val="none" w:sz="0" w:space="0" w:color="auto"/>
                <w:right w:val="none" w:sz="0" w:space="0" w:color="auto"/>
              </w:divBdr>
            </w:div>
          </w:divsChild>
        </w:div>
        <w:div w:id="1515000472">
          <w:marLeft w:val="0"/>
          <w:marRight w:val="0"/>
          <w:marTop w:val="0"/>
          <w:marBottom w:val="0"/>
          <w:divBdr>
            <w:top w:val="none" w:sz="0" w:space="0" w:color="auto"/>
            <w:left w:val="none" w:sz="0" w:space="0" w:color="auto"/>
            <w:bottom w:val="none" w:sz="0" w:space="0" w:color="auto"/>
            <w:right w:val="none" w:sz="0" w:space="0" w:color="auto"/>
          </w:divBdr>
          <w:divsChild>
            <w:div w:id="17188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3111">
      <w:bodyDiv w:val="1"/>
      <w:marLeft w:val="0"/>
      <w:marRight w:val="0"/>
      <w:marTop w:val="0"/>
      <w:marBottom w:val="0"/>
      <w:divBdr>
        <w:top w:val="none" w:sz="0" w:space="0" w:color="auto"/>
        <w:left w:val="none" w:sz="0" w:space="0" w:color="auto"/>
        <w:bottom w:val="none" w:sz="0" w:space="0" w:color="auto"/>
        <w:right w:val="none" w:sz="0" w:space="0" w:color="auto"/>
      </w:divBdr>
      <w:divsChild>
        <w:div w:id="1196115931">
          <w:marLeft w:val="0"/>
          <w:marRight w:val="0"/>
          <w:marTop w:val="0"/>
          <w:marBottom w:val="0"/>
          <w:divBdr>
            <w:top w:val="none" w:sz="0" w:space="0" w:color="auto"/>
            <w:left w:val="none" w:sz="0" w:space="0" w:color="auto"/>
            <w:bottom w:val="none" w:sz="0" w:space="0" w:color="auto"/>
            <w:right w:val="none" w:sz="0" w:space="0" w:color="auto"/>
          </w:divBdr>
          <w:divsChild>
            <w:div w:id="12961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5672">
      <w:bodyDiv w:val="1"/>
      <w:marLeft w:val="0"/>
      <w:marRight w:val="0"/>
      <w:marTop w:val="0"/>
      <w:marBottom w:val="0"/>
      <w:divBdr>
        <w:top w:val="none" w:sz="0" w:space="0" w:color="auto"/>
        <w:left w:val="none" w:sz="0" w:space="0" w:color="auto"/>
        <w:bottom w:val="none" w:sz="0" w:space="0" w:color="auto"/>
        <w:right w:val="none" w:sz="0" w:space="0" w:color="auto"/>
      </w:divBdr>
    </w:div>
    <w:div w:id="926966370">
      <w:bodyDiv w:val="1"/>
      <w:marLeft w:val="0"/>
      <w:marRight w:val="0"/>
      <w:marTop w:val="0"/>
      <w:marBottom w:val="0"/>
      <w:divBdr>
        <w:top w:val="none" w:sz="0" w:space="0" w:color="auto"/>
        <w:left w:val="none" w:sz="0" w:space="0" w:color="auto"/>
        <w:bottom w:val="none" w:sz="0" w:space="0" w:color="auto"/>
        <w:right w:val="none" w:sz="0" w:space="0" w:color="auto"/>
      </w:divBdr>
    </w:div>
    <w:div w:id="944465572">
      <w:bodyDiv w:val="1"/>
      <w:marLeft w:val="0"/>
      <w:marRight w:val="0"/>
      <w:marTop w:val="0"/>
      <w:marBottom w:val="0"/>
      <w:divBdr>
        <w:top w:val="none" w:sz="0" w:space="0" w:color="auto"/>
        <w:left w:val="none" w:sz="0" w:space="0" w:color="auto"/>
        <w:bottom w:val="none" w:sz="0" w:space="0" w:color="auto"/>
        <w:right w:val="none" w:sz="0" w:space="0" w:color="auto"/>
      </w:divBdr>
    </w:div>
    <w:div w:id="949121855">
      <w:bodyDiv w:val="1"/>
      <w:marLeft w:val="0"/>
      <w:marRight w:val="0"/>
      <w:marTop w:val="0"/>
      <w:marBottom w:val="0"/>
      <w:divBdr>
        <w:top w:val="none" w:sz="0" w:space="0" w:color="auto"/>
        <w:left w:val="none" w:sz="0" w:space="0" w:color="auto"/>
        <w:bottom w:val="none" w:sz="0" w:space="0" w:color="auto"/>
        <w:right w:val="none" w:sz="0" w:space="0" w:color="auto"/>
      </w:divBdr>
      <w:divsChild>
        <w:div w:id="852110551">
          <w:marLeft w:val="0"/>
          <w:marRight w:val="0"/>
          <w:marTop w:val="0"/>
          <w:marBottom w:val="0"/>
          <w:divBdr>
            <w:top w:val="none" w:sz="0" w:space="0" w:color="auto"/>
            <w:left w:val="none" w:sz="0" w:space="0" w:color="auto"/>
            <w:bottom w:val="none" w:sz="0" w:space="0" w:color="auto"/>
            <w:right w:val="none" w:sz="0" w:space="0" w:color="auto"/>
          </w:divBdr>
          <w:divsChild>
            <w:div w:id="1845198671">
              <w:marLeft w:val="0"/>
              <w:marRight w:val="0"/>
              <w:marTop w:val="0"/>
              <w:marBottom w:val="0"/>
              <w:divBdr>
                <w:top w:val="none" w:sz="0" w:space="0" w:color="auto"/>
                <w:left w:val="none" w:sz="0" w:space="0" w:color="auto"/>
                <w:bottom w:val="none" w:sz="0" w:space="0" w:color="auto"/>
                <w:right w:val="none" w:sz="0" w:space="0" w:color="auto"/>
              </w:divBdr>
              <w:divsChild>
                <w:div w:id="818545677">
                  <w:marLeft w:val="0"/>
                  <w:marRight w:val="0"/>
                  <w:marTop w:val="0"/>
                  <w:marBottom w:val="0"/>
                  <w:divBdr>
                    <w:top w:val="none" w:sz="0" w:space="0" w:color="auto"/>
                    <w:left w:val="none" w:sz="0" w:space="0" w:color="auto"/>
                    <w:bottom w:val="none" w:sz="0" w:space="0" w:color="auto"/>
                    <w:right w:val="none" w:sz="0" w:space="0" w:color="auto"/>
                  </w:divBdr>
                  <w:divsChild>
                    <w:div w:id="762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90533">
      <w:bodyDiv w:val="1"/>
      <w:marLeft w:val="0"/>
      <w:marRight w:val="0"/>
      <w:marTop w:val="0"/>
      <w:marBottom w:val="0"/>
      <w:divBdr>
        <w:top w:val="none" w:sz="0" w:space="0" w:color="auto"/>
        <w:left w:val="none" w:sz="0" w:space="0" w:color="auto"/>
        <w:bottom w:val="none" w:sz="0" w:space="0" w:color="auto"/>
        <w:right w:val="none" w:sz="0" w:space="0" w:color="auto"/>
      </w:divBdr>
    </w:div>
    <w:div w:id="970595880">
      <w:bodyDiv w:val="1"/>
      <w:marLeft w:val="0"/>
      <w:marRight w:val="0"/>
      <w:marTop w:val="0"/>
      <w:marBottom w:val="0"/>
      <w:divBdr>
        <w:top w:val="none" w:sz="0" w:space="0" w:color="auto"/>
        <w:left w:val="none" w:sz="0" w:space="0" w:color="auto"/>
        <w:bottom w:val="none" w:sz="0" w:space="0" w:color="auto"/>
        <w:right w:val="none" w:sz="0" w:space="0" w:color="auto"/>
      </w:divBdr>
    </w:div>
    <w:div w:id="982346101">
      <w:bodyDiv w:val="1"/>
      <w:marLeft w:val="0"/>
      <w:marRight w:val="0"/>
      <w:marTop w:val="0"/>
      <w:marBottom w:val="0"/>
      <w:divBdr>
        <w:top w:val="none" w:sz="0" w:space="0" w:color="auto"/>
        <w:left w:val="none" w:sz="0" w:space="0" w:color="auto"/>
        <w:bottom w:val="none" w:sz="0" w:space="0" w:color="auto"/>
        <w:right w:val="none" w:sz="0" w:space="0" w:color="auto"/>
      </w:divBdr>
      <w:divsChild>
        <w:div w:id="1616407127">
          <w:marLeft w:val="0"/>
          <w:marRight w:val="0"/>
          <w:marTop w:val="0"/>
          <w:marBottom w:val="0"/>
          <w:divBdr>
            <w:top w:val="none" w:sz="0" w:space="0" w:color="auto"/>
            <w:left w:val="none" w:sz="0" w:space="0" w:color="auto"/>
            <w:bottom w:val="none" w:sz="0" w:space="0" w:color="auto"/>
            <w:right w:val="none" w:sz="0" w:space="0" w:color="auto"/>
          </w:divBdr>
          <w:divsChild>
            <w:div w:id="363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7849">
      <w:bodyDiv w:val="1"/>
      <w:marLeft w:val="0"/>
      <w:marRight w:val="0"/>
      <w:marTop w:val="0"/>
      <w:marBottom w:val="0"/>
      <w:divBdr>
        <w:top w:val="none" w:sz="0" w:space="0" w:color="auto"/>
        <w:left w:val="none" w:sz="0" w:space="0" w:color="auto"/>
        <w:bottom w:val="none" w:sz="0" w:space="0" w:color="auto"/>
        <w:right w:val="none" w:sz="0" w:space="0" w:color="auto"/>
      </w:divBdr>
      <w:divsChild>
        <w:div w:id="204677888">
          <w:marLeft w:val="0"/>
          <w:marRight w:val="0"/>
          <w:marTop w:val="0"/>
          <w:marBottom w:val="0"/>
          <w:divBdr>
            <w:top w:val="none" w:sz="0" w:space="0" w:color="auto"/>
            <w:left w:val="none" w:sz="0" w:space="0" w:color="auto"/>
            <w:bottom w:val="none" w:sz="0" w:space="0" w:color="auto"/>
            <w:right w:val="none" w:sz="0" w:space="0" w:color="auto"/>
          </w:divBdr>
          <w:divsChild>
            <w:div w:id="369038848">
              <w:marLeft w:val="0"/>
              <w:marRight w:val="0"/>
              <w:marTop w:val="0"/>
              <w:marBottom w:val="0"/>
              <w:divBdr>
                <w:top w:val="none" w:sz="0" w:space="0" w:color="auto"/>
                <w:left w:val="none" w:sz="0" w:space="0" w:color="auto"/>
                <w:bottom w:val="none" w:sz="0" w:space="0" w:color="auto"/>
                <w:right w:val="none" w:sz="0" w:space="0" w:color="auto"/>
              </w:divBdr>
              <w:divsChild>
                <w:div w:id="515273553">
                  <w:marLeft w:val="0"/>
                  <w:marRight w:val="0"/>
                  <w:marTop w:val="0"/>
                  <w:marBottom w:val="0"/>
                  <w:divBdr>
                    <w:top w:val="none" w:sz="0" w:space="0" w:color="auto"/>
                    <w:left w:val="none" w:sz="0" w:space="0" w:color="auto"/>
                    <w:bottom w:val="none" w:sz="0" w:space="0" w:color="auto"/>
                    <w:right w:val="none" w:sz="0" w:space="0" w:color="auto"/>
                  </w:divBdr>
                  <w:divsChild>
                    <w:div w:id="10450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3000">
      <w:bodyDiv w:val="1"/>
      <w:marLeft w:val="0"/>
      <w:marRight w:val="0"/>
      <w:marTop w:val="0"/>
      <w:marBottom w:val="0"/>
      <w:divBdr>
        <w:top w:val="none" w:sz="0" w:space="0" w:color="auto"/>
        <w:left w:val="none" w:sz="0" w:space="0" w:color="auto"/>
        <w:bottom w:val="none" w:sz="0" w:space="0" w:color="auto"/>
        <w:right w:val="none" w:sz="0" w:space="0" w:color="auto"/>
      </w:divBdr>
      <w:divsChild>
        <w:div w:id="455293357">
          <w:marLeft w:val="0"/>
          <w:marRight w:val="0"/>
          <w:marTop w:val="0"/>
          <w:marBottom w:val="0"/>
          <w:divBdr>
            <w:top w:val="none" w:sz="0" w:space="0" w:color="auto"/>
            <w:left w:val="none" w:sz="0" w:space="0" w:color="auto"/>
            <w:bottom w:val="none" w:sz="0" w:space="0" w:color="auto"/>
            <w:right w:val="none" w:sz="0" w:space="0" w:color="auto"/>
          </w:divBdr>
          <w:divsChild>
            <w:div w:id="639654789">
              <w:marLeft w:val="0"/>
              <w:marRight w:val="0"/>
              <w:marTop w:val="0"/>
              <w:marBottom w:val="0"/>
              <w:divBdr>
                <w:top w:val="none" w:sz="0" w:space="0" w:color="auto"/>
                <w:left w:val="none" w:sz="0" w:space="0" w:color="auto"/>
                <w:bottom w:val="none" w:sz="0" w:space="0" w:color="auto"/>
                <w:right w:val="none" w:sz="0" w:space="0" w:color="auto"/>
              </w:divBdr>
              <w:divsChild>
                <w:div w:id="1482230866">
                  <w:marLeft w:val="0"/>
                  <w:marRight w:val="0"/>
                  <w:marTop w:val="0"/>
                  <w:marBottom w:val="0"/>
                  <w:divBdr>
                    <w:top w:val="none" w:sz="0" w:space="0" w:color="auto"/>
                    <w:left w:val="none" w:sz="0" w:space="0" w:color="auto"/>
                    <w:bottom w:val="none" w:sz="0" w:space="0" w:color="auto"/>
                    <w:right w:val="none" w:sz="0" w:space="0" w:color="auto"/>
                  </w:divBdr>
                  <w:divsChild>
                    <w:div w:id="9053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11550">
      <w:bodyDiv w:val="1"/>
      <w:marLeft w:val="0"/>
      <w:marRight w:val="0"/>
      <w:marTop w:val="0"/>
      <w:marBottom w:val="0"/>
      <w:divBdr>
        <w:top w:val="none" w:sz="0" w:space="0" w:color="auto"/>
        <w:left w:val="none" w:sz="0" w:space="0" w:color="auto"/>
        <w:bottom w:val="none" w:sz="0" w:space="0" w:color="auto"/>
        <w:right w:val="none" w:sz="0" w:space="0" w:color="auto"/>
      </w:divBdr>
    </w:div>
    <w:div w:id="1035345157">
      <w:bodyDiv w:val="1"/>
      <w:marLeft w:val="0"/>
      <w:marRight w:val="0"/>
      <w:marTop w:val="0"/>
      <w:marBottom w:val="0"/>
      <w:divBdr>
        <w:top w:val="none" w:sz="0" w:space="0" w:color="auto"/>
        <w:left w:val="none" w:sz="0" w:space="0" w:color="auto"/>
        <w:bottom w:val="none" w:sz="0" w:space="0" w:color="auto"/>
        <w:right w:val="none" w:sz="0" w:space="0" w:color="auto"/>
      </w:divBdr>
    </w:div>
    <w:div w:id="1039083999">
      <w:bodyDiv w:val="1"/>
      <w:marLeft w:val="0"/>
      <w:marRight w:val="0"/>
      <w:marTop w:val="0"/>
      <w:marBottom w:val="0"/>
      <w:divBdr>
        <w:top w:val="none" w:sz="0" w:space="0" w:color="auto"/>
        <w:left w:val="none" w:sz="0" w:space="0" w:color="auto"/>
        <w:bottom w:val="none" w:sz="0" w:space="0" w:color="auto"/>
        <w:right w:val="none" w:sz="0" w:space="0" w:color="auto"/>
      </w:divBdr>
    </w:div>
    <w:div w:id="1049115285">
      <w:bodyDiv w:val="1"/>
      <w:marLeft w:val="0"/>
      <w:marRight w:val="0"/>
      <w:marTop w:val="0"/>
      <w:marBottom w:val="0"/>
      <w:divBdr>
        <w:top w:val="none" w:sz="0" w:space="0" w:color="auto"/>
        <w:left w:val="none" w:sz="0" w:space="0" w:color="auto"/>
        <w:bottom w:val="none" w:sz="0" w:space="0" w:color="auto"/>
        <w:right w:val="none" w:sz="0" w:space="0" w:color="auto"/>
      </w:divBdr>
      <w:divsChild>
        <w:div w:id="647708174">
          <w:marLeft w:val="0"/>
          <w:marRight w:val="0"/>
          <w:marTop w:val="0"/>
          <w:marBottom w:val="0"/>
          <w:divBdr>
            <w:top w:val="none" w:sz="0" w:space="0" w:color="auto"/>
            <w:left w:val="none" w:sz="0" w:space="0" w:color="auto"/>
            <w:bottom w:val="none" w:sz="0" w:space="0" w:color="auto"/>
            <w:right w:val="none" w:sz="0" w:space="0" w:color="auto"/>
          </w:divBdr>
          <w:divsChild>
            <w:div w:id="2133356413">
              <w:marLeft w:val="0"/>
              <w:marRight w:val="0"/>
              <w:marTop w:val="0"/>
              <w:marBottom w:val="0"/>
              <w:divBdr>
                <w:top w:val="none" w:sz="0" w:space="0" w:color="auto"/>
                <w:left w:val="none" w:sz="0" w:space="0" w:color="auto"/>
                <w:bottom w:val="none" w:sz="0" w:space="0" w:color="auto"/>
                <w:right w:val="none" w:sz="0" w:space="0" w:color="auto"/>
              </w:divBdr>
              <w:divsChild>
                <w:div w:id="19155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3037">
      <w:bodyDiv w:val="1"/>
      <w:marLeft w:val="0"/>
      <w:marRight w:val="0"/>
      <w:marTop w:val="0"/>
      <w:marBottom w:val="0"/>
      <w:divBdr>
        <w:top w:val="none" w:sz="0" w:space="0" w:color="auto"/>
        <w:left w:val="none" w:sz="0" w:space="0" w:color="auto"/>
        <w:bottom w:val="none" w:sz="0" w:space="0" w:color="auto"/>
        <w:right w:val="none" w:sz="0" w:space="0" w:color="auto"/>
      </w:divBdr>
      <w:divsChild>
        <w:div w:id="700518706">
          <w:marLeft w:val="0"/>
          <w:marRight w:val="0"/>
          <w:marTop w:val="0"/>
          <w:marBottom w:val="0"/>
          <w:divBdr>
            <w:top w:val="none" w:sz="0" w:space="0" w:color="auto"/>
            <w:left w:val="none" w:sz="0" w:space="0" w:color="auto"/>
            <w:bottom w:val="none" w:sz="0" w:space="0" w:color="auto"/>
            <w:right w:val="none" w:sz="0" w:space="0" w:color="auto"/>
          </w:divBdr>
          <w:divsChild>
            <w:div w:id="608898310">
              <w:marLeft w:val="0"/>
              <w:marRight w:val="0"/>
              <w:marTop w:val="0"/>
              <w:marBottom w:val="0"/>
              <w:divBdr>
                <w:top w:val="none" w:sz="0" w:space="0" w:color="auto"/>
                <w:left w:val="none" w:sz="0" w:space="0" w:color="auto"/>
                <w:bottom w:val="none" w:sz="0" w:space="0" w:color="auto"/>
                <w:right w:val="none" w:sz="0" w:space="0" w:color="auto"/>
              </w:divBdr>
              <w:divsChild>
                <w:div w:id="74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5467">
      <w:bodyDiv w:val="1"/>
      <w:marLeft w:val="0"/>
      <w:marRight w:val="0"/>
      <w:marTop w:val="0"/>
      <w:marBottom w:val="0"/>
      <w:divBdr>
        <w:top w:val="none" w:sz="0" w:space="0" w:color="auto"/>
        <w:left w:val="none" w:sz="0" w:space="0" w:color="auto"/>
        <w:bottom w:val="none" w:sz="0" w:space="0" w:color="auto"/>
        <w:right w:val="none" w:sz="0" w:space="0" w:color="auto"/>
      </w:divBdr>
    </w:div>
    <w:div w:id="1122925033">
      <w:bodyDiv w:val="1"/>
      <w:marLeft w:val="0"/>
      <w:marRight w:val="0"/>
      <w:marTop w:val="0"/>
      <w:marBottom w:val="0"/>
      <w:divBdr>
        <w:top w:val="none" w:sz="0" w:space="0" w:color="auto"/>
        <w:left w:val="none" w:sz="0" w:space="0" w:color="auto"/>
        <w:bottom w:val="none" w:sz="0" w:space="0" w:color="auto"/>
        <w:right w:val="none" w:sz="0" w:space="0" w:color="auto"/>
      </w:divBdr>
      <w:divsChild>
        <w:div w:id="46803711">
          <w:marLeft w:val="0"/>
          <w:marRight w:val="0"/>
          <w:marTop w:val="0"/>
          <w:marBottom w:val="0"/>
          <w:divBdr>
            <w:top w:val="none" w:sz="0" w:space="0" w:color="auto"/>
            <w:left w:val="none" w:sz="0" w:space="0" w:color="auto"/>
            <w:bottom w:val="none" w:sz="0" w:space="0" w:color="auto"/>
            <w:right w:val="none" w:sz="0" w:space="0" w:color="auto"/>
          </w:divBdr>
          <w:divsChild>
            <w:div w:id="1833325504">
              <w:marLeft w:val="0"/>
              <w:marRight w:val="0"/>
              <w:marTop w:val="0"/>
              <w:marBottom w:val="0"/>
              <w:divBdr>
                <w:top w:val="none" w:sz="0" w:space="0" w:color="auto"/>
                <w:left w:val="none" w:sz="0" w:space="0" w:color="auto"/>
                <w:bottom w:val="none" w:sz="0" w:space="0" w:color="auto"/>
                <w:right w:val="none" w:sz="0" w:space="0" w:color="auto"/>
              </w:divBdr>
            </w:div>
          </w:divsChild>
        </w:div>
        <w:div w:id="1483153480">
          <w:marLeft w:val="0"/>
          <w:marRight w:val="0"/>
          <w:marTop w:val="0"/>
          <w:marBottom w:val="0"/>
          <w:divBdr>
            <w:top w:val="none" w:sz="0" w:space="0" w:color="auto"/>
            <w:left w:val="none" w:sz="0" w:space="0" w:color="auto"/>
            <w:bottom w:val="none" w:sz="0" w:space="0" w:color="auto"/>
            <w:right w:val="none" w:sz="0" w:space="0" w:color="auto"/>
          </w:divBdr>
          <w:divsChild>
            <w:div w:id="528027251">
              <w:marLeft w:val="0"/>
              <w:marRight w:val="0"/>
              <w:marTop w:val="0"/>
              <w:marBottom w:val="0"/>
              <w:divBdr>
                <w:top w:val="none" w:sz="0" w:space="0" w:color="auto"/>
                <w:left w:val="none" w:sz="0" w:space="0" w:color="auto"/>
                <w:bottom w:val="none" w:sz="0" w:space="0" w:color="auto"/>
                <w:right w:val="none" w:sz="0" w:space="0" w:color="auto"/>
              </w:divBdr>
            </w:div>
          </w:divsChild>
        </w:div>
        <w:div w:id="2102096985">
          <w:marLeft w:val="0"/>
          <w:marRight w:val="0"/>
          <w:marTop w:val="0"/>
          <w:marBottom w:val="0"/>
          <w:divBdr>
            <w:top w:val="none" w:sz="0" w:space="0" w:color="auto"/>
            <w:left w:val="none" w:sz="0" w:space="0" w:color="auto"/>
            <w:bottom w:val="none" w:sz="0" w:space="0" w:color="auto"/>
            <w:right w:val="none" w:sz="0" w:space="0" w:color="auto"/>
          </w:divBdr>
          <w:divsChild>
            <w:div w:id="6675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1311">
      <w:bodyDiv w:val="1"/>
      <w:marLeft w:val="0"/>
      <w:marRight w:val="0"/>
      <w:marTop w:val="0"/>
      <w:marBottom w:val="0"/>
      <w:divBdr>
        <w:top w:val="none" w:sz="0" w:space="0" w:color="auto"/>
        <w:left w:val="none" w:sz="0" w:space="0" w:color="auto"/>
        <w:bottom w:val="none" w:sz="0" w:space="0" w:color="auto"/>
        <w:right w:val="none" w:sz="0" w:space="0" w:color="auto"/>
      </w:divBdr>
    </w:div>
    <w:div w:id="1153987521">
      <w:bodyDiv w:val="1"/>
      <w:marLeft w:val="0"/>
      <w:marRight w:val="0"/>
      <w:marTop w:val="0"/>
      <w:marBottom w:val="0"/>
      <w:divBdr>
        <w:top w:val="none" w:sz="0" w:space="0" w:color="auto"/>
        <w:left w:val="none" w:sz="0" w:space="0" w:color="auto"/>
        <w:bottom w:val="none" w:sz="0" w:space="0" w:color="auto"/>
        <w:right w:val="none" w:sz="0" w:space="0" w:color="auto"/>
      </w:divBdr>
      <w:divsChild>
        <w:div w:id="161286627">
          <w:marLeft w:val="0"/>
          <w:marRight w:val="0"/>
          <w:marTop w:val="0"/>
          <w:marBottom w:val="0"/>
          <w:divBdr>
            <w:top w:val="none" w:sz="0" w:space="0" w:color="auto"/>
            <w:left w:val="none" w:sz="0" w:space="0" w:color="auto"/>
            <w:bottom w:val="none" w:sz="0" w:space="0" w:color="auto"/>
            <w:right w:val="none" w:sz="0" w:space="0" w:color="auto"/>
          </w:divBdr>
          <w:divsChild>
            <w:div w:id="988824768">
              <w:marLeft w:val="0"/>
              <w:marRight w:val="0"/>
              <w:marTop w:val="0"/>
              <w:marBottom w:val="0"/>
              <w:divBdr>
                <w:top w:val="none" w:sz="0" w:space="0" w:color="auto"/>
                <w:left w:val="none" w:sz="0" w:space="0" w:color="auto"/>
                <w:bottom w:val="none" w:sz="0" w:space="0" w:color="auto"/>
                <w:right w:val="none" w:sz="0" w:space="0" w:color="auto"/>
              </w:divBdr>
              <w:divsChild>
                <w:div w:id="280379431">
                  <w:marLeft w:val="0"/>
                  <w:marRight w:val="0"/>
                  <w:marTop w:val="0"/>
                  <w:marBottom w:val="0"/>
                  <w:divBdr>
                    <w:top w:val="none" w:sz="0" w:space="0" w:color="auto"/>
                    <w:left w:val="none" w:sz="0" w:space="0" w:color="auto"/>
                    <w:bottom w:val="none" w:sz="0" w:space="0" w:color="auto"/>
                    <w:right w:val="none" w:sz="0" w:space="0" w:color="auto"/>
                  </w:divBdr>
                  <w:divsChild>
                    <w:div w:id="11096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727895">
      <w:bodyDiv w:val="1"/>
      <w:marLeft w:val="0"/>
      <w:marRight w:val="0"/>
      <w:marTop w:val="0"/>
      <w:marBottom w:val="0"/>
      <w:divBdr>
        <w:top w:val="none" w:sz="0" w:space="0" w:color="auto"/>
        <w:left w:val="none" w:sz="0" w:space="0" w:color="auto"/>
        <w:bottom w:val="none" w:sz="0" w:space="0" w:color="auto"/>
        <w:right w:val="none" w:sz="0" w:space="0" w:color="auto"/>
      </w:divBdr>
      <w:divsChild>
        <w:div w:id="1048064329">
          <w:marLeft w:val="0"/>
          <w:marRight w:val="0"/>
          <w:marTop w:val="0"/>
          <w:marBottom w:val="0"/>
          <w:divBdr>
            <w:top w:val="none" w:sz="0" w:space="0" w:color="auto"/>
            <w:left w:val="none" w:sz="0" w:space="0" w:color="auto"/>
            <w:bottom w:val="none" w:sz="0" w:space="0" w:color="auto"/>
            <w:right w:val="none" w:sz="0" w:space="0" w:color="auto"/>
          </w:divBdr>
          <w:divsChild>
            <w:div w:id="1511218304">
              <w:marLeft w:val="0"/>
              <w:marRight w:val="0"/>
              <w:marTop w:val="0"/>
              <w:marBottom w:val="0"/>
              <w:divBdr>
                <w:top w:val="none" w:sz="0" w:space="0" w:color="auto"/>
                <w:left w:val="none" w:sz="0" w:space="0" w:color="auto"/>
                <w:bottom w:val="none" w:sz="0" w:space="0" w:color="auto"/>
                <w:right w:val="none" w:sz="0" w:space="0" w:color="auto"/>
              </w:divBdr>
              <w:divsChild>
                <w:div w:id="2044210361">
                  <w:marLeft w:val="0"/>
                  <w:marRight w:val="0"/>
                  <w:marTop w:val="0"/>
                  <w:marBottom w:val="0"/>
                  <w:divBdr>
                    <w:top w:val="none" w:sz="0" w:space="0" w:color="auto"/>
                    <w:left w:val="none" w:sz="0" w:space="0" w:color="auto"/>
                    <w:bottom w:val="none" w:sz="0" w:space="0" w:color="auto"/>
                    <w:right w:val="none" w:sz="0" w:space="0" w:color="auto"/>
                  </w:divBdr>
                  <w:divsChild>
                    <w:div w:id="3921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1883">
      <w:bodyDiv w:val="1"/>
      <w:marLeft w:val="0"/>
      <w:marRight w:val="0"/>
      <w:marTop w:val="0"/>
      <w:marBottom w:val="0"/>
      <w:divBdr>
        <w:top w:val="none" w:sz="0" w:space="0" w:color="auto"/>
        <w:left w:val="none" w:sz="0" w:space="0" w:color="auto"/>
        <w:bottom w:val="none" w:sz="0" w:space="0" w:color="auto"/>
        <w:right w:val="none" w:sz="0" w:space="0" w:color="auto"/>
      </w:divBdr>
      <w:divsChild>
        <w:div w:id="393548787">
          <w:marLeft w:val="0"/>
          <w:marRight w:val="0"/>
          <w:marTop w:val="0"/>
          <w:marBottom w:val="0"/>
          <w:divBdr>
            <w:top w:val="none" w:sz="0" w:space="0" w:color="auto"/>
            <w:left w:val="none" w:sz="0" w:space="0" w:color="auto"/>
            <w:bottom w:val="none" w:sz="0" w:space="0" w:color="auto"/>
            <w:right w:val="none" w:sz="0" w:space="0" w:color="auto"/>
          </w:divBdr>
          <w:divsChild>
            <w:div w:id="519273077">
              <w:marLeft w:val="0"/>
              <w:marRight w:val="0"/>
              <w:marTop w:val="0"/>
              <w:marBottom w:val="0"/>
              <w:divBdr>
                <w:top w:val="none" w:sz="0" w:space="0" w:color="auto"/>
                <w:left w:val="none" w:sz="0" w:space="0" w:color="auto"/>
                <w:bottom w:val="none" w:sz="0" w:space="0" w:color="auto"/>
                <w:right w:val="none" w:sz="0" w:space="0" w:color="auto"/>
              </w:divBdr>
            </w:div>
          </w:divsChild>
        </w:div>
        <w:div w:id="408893364">
          <w:marLeft w:val="0"/>
          <w:marRight w:val="0"/>
          <w:marTop w:val="0"/>
          <w:marBottom w:val="0"/>
          <w:divBdr>
            <w:top w:val="none" w:sz="0" w:space="0" w:color="auto"/>
            <w:left w:val="none" w:sz="0" w:space="0" w:color="auto"/>
            <w:bottom w:val="none" w:sz="0" w:space="0" w:color="auto"/>
            <w:right w:val="none" w:sz="0" w:space="0" w:color="auto"/>
          </w:divBdr>
          <w:divsChild>
            <w:div w:id="490415364">
              <w:marLeft w:val="0"/>
              <w:marRight w:val="0"/>
              <w:marTop w:val="0"/>
              <w:marBottom w:val="0"/>
              <w:divBdr>
                <w:top w:val="none" w:sz="0" w:space="0" w:color="auto"/>
                <w:left w:val="none" w:sz="0" w:space="0" w:color="auto"/>
                <w:bottom w:val="none" w:sz="0" w:space="0" w:color="auto"/>
                <w:right w:val="none" w:sz="0" w:space="0" w:color="auto"/>
              </w:divBdr>
            </w:div>
          </w:divsChild>
        </w:div>
        <w:div w:id="1835606920">
          <w:marLeft w:val="0"/>
          <w:marRight w:val="0"/>
          <w:marTop w:val="0"/>
          <w:marBottom w:val="0"/>
          <w:divBdr>
            <w:top w:val="none" w:sz="0" w:space="0" w:color="auto"/>
            <w:left w:val="none" w:sz="0" w:space="0" w:color="auto"/>
            <w:bottom w:val="none" w:sz="0" w:space="0" w:color="auto"/>
            <w:right w:val="none" w:sz="0" w:space="0" w:color="auto"/>
          </w:divBdr>
          <w:divsChild>
            <w:div w:id="15677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81">
      <w:bodyDiv w:val="1"/>
      <w:marLeft w:val="0"/>
      <w:marRight w:val="0"/>
      <w:marTop w:val="0"/>
      <w:marBottom w:val="0"/>
      <w:divBdr>
        <w:top w:val="none" w:sz="0" w:space="0" w:color="auto"/>
        <w:left w:val="none" w:sz="0" w:space="0" w:color="auto"/>
        <w:bottom w:val="none" w:sz="0" w:space="0" w:color="auto"/>
        <w:right w:val="none" w:sz="0" w:space="0" w:color="auto"/>
      </w:divBdr>
    </w:div>
    <w:div w:id="1186402053">
      <w:bodyDiv w:val="1"/>
      <w:marLeft w:val="0"/>
      <w:marRight w:val="0"/>
      <w:marTop w:val="0"/>
      <w:marBottom w:val="0"/>
      <w:divBdr>
        <w:top w:val="none" w:sz="0" w:space="0" w:color="auto"/>
        <w:left w:val="none" w:sz="0" w:space="0" w:color="auto"/>
        <w:bottom w:val="none" w:sz="0" w:space="0" w:color="auto"/>
        <w:right w:val="none" w:sz="0" w:space="0" w:color="auto"/>
      </w:divBdr>
    </w:div>
    <w:div w:id="1191841833">
      <w:bodyDiv w:val="1"/>
      <w:marLeft w:val="0"/>
      <w:marRight w:val="0"/>
      <w:marTop w:val="0"/>
      <w:marBottom w:val="0"/>
      <w:divBdr>
        <w:top w:val="none" w:sz="0" w:space="0" w:color="auto"/>
        <w:left w:val="none" w:sz="0" w:space="0" w:color="auto"/>
        <w:bottom w:val="none" w:sz="0" w:space="0" w:color="auto"/>
        <w:right w:val="none" w:sz="0" w:space="0" w:color="auto"/>
      </w:divBdr>
    </w:div>
    <w:div w:id="1195272861">
      <w:bodyDiv w:val="1"/>
      <w:marLeft w:val="0"/>
      <w:marRight w:val="0"/>
      <w:marTop w:val="0"/>
      <w:marBottom w:val="0"/>
      <w:divBdr>
        <w:top w:val="none" w:sz="0" w:space="0" w:color="auto"/>
        <w:left w:val="none" w:sz="0" w:space="0" w:color="auto"/>
        <w:bottom w:val="none" w:sz="0" w:space="0" w:color="auto"/>
        <w:right w:val="none" w:sz="0" w:space="0" w:color="auto"/>
      </w:divBdr>
    </w:div>
    <w:div w:id="1205874059">
      <w:bodyDiv w:val="1"/>
      <w:marLeft w:val="0"/>
      <w:marRight w:val="0"/>
      <w:marTop w:val="0"/>
      <w:marBottom w:val="0"/>
      <w:divBdr>
        <w:top w:val="none" w:sz="0" w:space="0" w:color="auto"/>
        <w:left w:val="none" w:sz="0" w:space="0" w:color="auto"/>
        <w:bottom w:val="none" w:sz="0" w:space="0" w:color="auto"/>
        <w:right w:val="none" w:sz="0" w:space="0" w:color="auto"/>
      </w:divBdr>
    </w:div>
    <w:div w:id="1213688003">
      <w:bodyDiv w:val="1"/>
      <w:marLeft w:val="0"/>
      <w:marRight w:val="0"/>
      <w:marTop w:val="0"/>
      <w:marBottom w:val="0"/>
      <w:divBdr>
        <w:top w:val="none" w:sz="0" w:space="0" w:color="auto"/>
        <w:left w:val="none" w:sz="0" w:space="0" w:color="auto"/>
        <w:bottom w:val="none" w:sz="0" w:space="0" w:color="auto"/>
        <w:right w:val="none" w:sz="0" w:space="0" w:color="auto"/>
      </w:divBdr>
      <w:divsChild>
        <w:div w:id="1712682004">
          <w:marLeft w:val="0"/>
          <w:marRight w:val="0"/>
          <w:marTop w:val="0"/>
          <w:marBottom w:val="0"/>
          <w:divBdr>
            <w:top w:val="none" w:sz="0" w:space="0" w:color="auto"/>
            <w:left w:val="none" w:sz="0" w:space="0" w:color="auto"/>
            <w:bottom w:val="none" w:sz="0" w:space="0" w:color="auto"/>
            <w:right w:val="none" w:sz="0" w:space="0" w:color="auto"/>
          </w:divBdr>
          <w:divsChild>
            <w:div w:id="1172139465">
              <w:marLeft w:val="0"/>
              <w:marRight w:val="0"/>
              <w:marTop w:val="0"/>
              <w:marBottom w:val="0"/>
              <w:divBdr>
                <w:top w:val="none" w:sz="0" w:space="0" w:color="auto"/>
                <w:left w:val="none" w:sz="0" w:space="0" w:color="auto"/>
                <w:bottom w:val="none" w:sz="0" w:space="0" w:color="auto"/>
                <w:right w:val="none" w:sz="0" w:space="0" w:color="auto"/>
              </w:divBdr>
              <w:divsChild>
                <w:div w:id="614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7609">
      <w:bodyDiv w:val="1"/>
      <w:marLeft w:val="0"/>
      <w:marRight w:val="0"/>
      <w:marTop w:val="0"/>
      <w:marBottom w:val="0"/>
      <w:divBdr>
        <w:top w:val="none" w:sz="0" w:space="0" w:color="auto"/>
        <w:left w:val="none" w:sz="0" w:space="0" w:color="auto"/>
        <w:bottom w:val="none" w:sz="0" w:space="0" w:color="auto"/>
        <w:right w:val="none" w:sz="0" w:space="0" w:color="auto"/>
      </w:divBdr>
    </w:div>
    <w:div w:id="1223756930">
      <w:bodyDiv w:val="1"/>
      <w:marLeft w:val="0"/>
      <w:marRight w:val="0"/>
      <w:marTop w:val="0"/>
      <w:marBottom w:val="0"/>
      <w:divBdr>
        <w:top w:val="none" w:sz="0" w:space="0" w:color="auto"/>
        <w:left w:val="none" w:sz="0" w:space="0" w:color="auto"/>
        <w:bottom w:val="none" w:sz="0" w:space="0" w:color="auto"/>
        <w:right w:val="none" w:sz="0" w:space="0" w:color="auto"/>
      </w:divBdr>
    </w:div>
    <w:div w:id="1230073593">
      <w:bodyDiv w:val="1"/>
      <w:marLeft w:val="0"/>
      <w:marRight w:val="0"/>
      <w:marTop w:val="0"/>
      <w:marBottom w:val="0"/>
      <w:divBdr>
        <w:top w:val="none" w:sz="0" w:space="0" w:color="auto"/>
        <w:left w:val="none" w:sz="0" w:space="0" w:color="auto"/>
        <w:bottom w:val="none" w:sz="0" w:space="0" w:color="auto"/>
        <w:right w:val="none" w:sz="0" w:space="0" w:color="auto"/>
      </w:divBdr>
    </w:div>
    <w:div w:id="1231961119">
      <w:bodyDiv w:val="1"/>
      <w:marLeft w:val="0"/>
      <w:marRight w:val="0"/>
      <w:marTop w:val="0"/>
      <w:marBottom w:val="0"/>
      <w:divBdr>
        <w:top w:val="none" w:sz="0" w:space="0" w:color="auto"/>
        <w:left w:val="none" w:sz="0" w:space="0" w:color="auto"/>
        <w:bottom w:val="none" w:sz="0" w:space="0" w:color="auto"/>
        <w:right w:val="none" w:sz="0" w:space="0" w:color="auto"/>
      </w:divBdr>
    </w:div>
    <w:div w:id="1252550272">
      <w:bodyDiv w:val="1"/>
      <w:marLeft w:val="0"/>
      <w:marRight w:val="0"/>
      <w:marTop w:val="0"/>
      <w:marBottom w:val="0"/>
      <w:divBdr>
        <w:top w:val="none" w:sz="0" w:space="0" w:color="auto"/>
        <w:left w:val="none" w:sz="0" w:space="0" w:color="auto"/>
        <w:bottom w:val="none" w:sz="0" w:space="0" w:color="auto"/>
        <w:right w:val="none" w:sz="0" w:space="0" w:color="auto"/>
      </w:divBdr>
    </w:div>
    <w:div w:id="1282541625">
      <w:bodyDiv w:val="1"/>
      <w:marLeft w:val="0"/>
      <w:marRight w:val="0"/>
      <w:marTop w:val="0"/>
      <w:marBottom w:val="0"/>
      <w:divBdr>
        <w:top w:val="none" w:sz="0" w:space="0" w:color="auto"/>
        <w:left w:val="none" w:sz="0" w:space="0" w:color="auto"/>
        <w:bottom w:val="none" w:sz="0" w:space="0" w:color="auto"/>
        <w:right w:val="none" w:sz="0" w:space="0" w:color="auto"/>
      </w:divBdr>
    </w:div>
    <w:div w:id="1287199985">
      <w:bodyDiv w:val="1"/>
      <w:marLeft w:val="0"/>
      <w:marRight w:val="0"/>
      <w:marTop w:val="0"/>
      <w:marBottom w:val="0"/>
      <w:divBdr>
        <w:top w:val="none" w:sz="0" w:space="0" w:color="auto"/>
        <w:left w:val="none" w:sz="0" w:space="0" w:color="auto"/>
        <w:bottom w:val="none" w:sz="0" w:space="0" w:color="auto"/>
        <w:right w:val="none" w:sz="0" w:space="0" w:color="auto"/>
      </w:divBdr>
    </w:div>
    <w:div w:id="1296259735">
      <w:bodyDiv w:val="1"/>
      <w:marLeft w:val="0"/>
      <w:marRight w:val="0"/>
      <w:marTop w:val="0"/>
      <w:marBottom w:val="0"/>
      <w:divBdr>
        <w:top w:val="none" w:sz="0" w:space="0" w:color="auto"/>
        <w:left w:val="none" w:sz="0" w:space="0" w:color="auto"/>
        <w:bottom w:val="none" w:sz="0" w:space="0" w:color="auto"/>
        <w:right w:val="none" w:sz="0" w:space="0" w:color="auto"/>
      </w:divBdr>
      <w:divsChild>
        <w:div w:id="1303392248">
          <w:marLeft w:val="0"/>
          <w:marRight w:val="0"/>
          <w:marTop w:val="0"/>
          <w:marBottom w:val="0"/>
          <w:divBdr>
            <w:top w:val="none" w:sz="0" w:space="0" w:color="auto"/>
            <w:left w:val="none" w:sz="0" w:space="0" w:color="auto"/>
            <w:bottom w:val="none" w:sz="0" w:space="0" w:color="auto"/>
            <w:right w:val="none" w:sz="0" w:space="0" w:color="auto"/>
          </w:divBdr>
          <w:divsChild>
            <w:div w:id="614488242">
              <w:marLeft w:val="0"/>
              <w:marRight w:val="0"/>
              <w:marTop w:val="0"/>
              <w:marBottom w:val="0"/>
              <w:divBdr>
                <w:top w:val="none" w:sz="0" w:space="0" w:color="auto"/>
                <w:left w:val="none" w:sz="0" w:space="0" w:color="auto"/>
                <w:bottom w:val="none" w:sz="0" w:space="0" w:color="auto"/>
                <w:right w:val="none" w:sz="0" w:space="0" w:color="auto"/>
              </w:divBdr>
              <w:divsChild>
                <w:div w:id="519319750">
                  <w:marLeft w:val="0"/>
                  <w:marRight w:val="0"/>
                  <w:marTop w:val="0"/>
                  <w:marBottom w:val="0"/>
                  <w:divBdr>
                    <w:top w:val="none" w:sz="0" w:space="0" w:color="auto"/>
                    <w:left w:val="none" w:sz="0" w:space="0" w:color="auto"/>
                    <w:bottom w:val="none" w:sz="0" w:space="0" w:color="auto"/>
                    <w:right w:val="none" w:sz="0" w:space="0" w:color="auto"/>
                  </w:divBdr>
                  <w:divsChild>
                    <w:div w:id="3486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42703">
      <w:bodyDiv w:val="1"/>
      <w:marLeft w:val="0"/>
      <w:marRight w:val="0"/>
      <w:marTop w:val="0"/>
      <w:marBottom w:val="0"/>
      <w:divBdr>
        <w:top w:val="none" w:sz="0" w:space="0" w:color="auto"/>
        <w:left w:val="none" w:sz="0" w:space="0" w:color="auto"/>
        <w:bottom w:val="none" w:sz="0" w:space="0" w:color="auto"/>
        <w:right w:val="none" w:sz="0" w:space="0" w:color="auto"/>
      </w:divBdr>
    </w:div>
    <w:div w:id="1320229550">
      <w:bodyDiv w:val="1"/>
      <w:marLeft w:val="0"/>
      <w:marRight w:val="0"/>
      <w:marTop w:val="0"/>
      <w:marBottom w:val="0"/>
      <w:divBdr>
        <w:top w:val="none" w:sz="0" w:space="0" w:color="auto"/>
        <w:left w:val="none" w:sz="0" w:space="0" w:color="auto"/>
        <w:bottom w:val="none" w:sz="0" w:space="0" w:color="auto"/>
        <w:right w:val="none" w:sz="0" w:space="0" w:color="auto"/>
      </w:divBdr>
    </w:div>
    <w:div w:id="1341272166">
      <w:bodyDiv w:val="1"/>
      <w:marLeft w:val="0"/>
      <w:marRight w:val="0"/>
      <w:marTop w:val="0"/>
      <w:marBottom w:val="0"/>
      <w:divBdr>
        <w:top w:val="none" w:sz="0" w:space="0" w:color="auto"/>
        <w:left w:val="none" w:sz="0" w:space="0" w:color="auto"/>
        <w:bottom w:val="none" w:sz="0" w:space="0" w:color="auto"/>
        <w:right w:val="none" w:sz="0" w:space="0" w:color="auto"/>
      </w:divBdr>
    </w:div>
    <w:div w:id="1345089610">
      <w:bodyDiv w:val="1"/>
      <w:marLeft w:val="0"/>
      <w:marRight w:val="0"/>
      <w:marTop w:val="0"/>
      <w:marBottom w:val="0"/>
      <w:divBdr>
        <w:top w:val="none" w:sz="0" w:space="0" w:color="auto"/>
        <w:left w:val="none" w:sz="0" w:space="0" w:color="auto"/>
        <w:bottom w:val="none" w:sz="0" w:space="0" w:color="auto"/>
        <w:right w:val="none" w:sz="0" w:space="0" w:color="auto"/>
      </w:divBdr>
      <w:divsChild>
        <w:div w:id="512571728">
          <w:marLeft w:val="0"/>
          <w:marRight w:val="0"/>
          <w:marTop w:val="0"/>
          <w:marBottom w:val="0"/>
          <w:divBdr>
            <w:top w:val="none" w:sz="0" w:space="0" w:color="auto"/>
            <w:left w:val="none" w:sz="0" w:space="0" w:color="auto"/>
            <w:bottom w:val="none" w:sz="0" w:space="0" w:color="auto"/>
            <w:right w:val="none" w:sz="0" w:space="0" w:color="auto"/>
          </w:divBdr>
          <w:divsChild>
            <w:div w:id="1267155520">
              <w:marLeft w:val="0"/>
              <w:marRight w:val="0"/>
              <w:marTop w:val="0"/>
              <w:marBottom w:val="0"/>
              <w:divBdr>
                <w:top w:val="none" w:sz="0" w:space="0" w:color="auto"/>
                <w:left w:val="none" w:sz="0" w:space="0" w:color="auto"/>
                <w:bottom w:val="none" w:sz="0" w:space="0" w:color="auto"/>
                <w:right w:val="none" w:sz="0" w:space="0" w:color="auto"/>
              </w:divBdr>
              <w:divsChild>
                <w:div w:id="1298218938">
                  <w:marLeft w:val="0"/>
                  <w:marRight w:val="0"/>
                  <w:marTop w:val="0"/>
                  <w:marBottom w:val="0"/>
                  <w:divBdr>
                    <w:top w:val="none" w:sz="0" w:space="0" w:color="auto"/>
                    <w:left w:val="none" w:sz="0" w:space="0" w:color="auto"/>
                    <w:bottom w:val="none" w:sz="0" w:space="0" w:color="auto"/>
                    <w:right w:val="none" w:sz="0" w:space="0" w:color="auto"/>
                  </w:divBdr>
                  <w:divsChild>
                    <w:div w:id="1282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86514">
      <w:bodyDiv w:val="1"/>
      <w:marLeft w:val="0"/>
      <w:marRight w:val="0"/>
      <w:marTop w:val="0"/>
      <w:marBottom w:val="0"/>
      <w:divBdr>
        <w:top w:val="none" w:sz="0" w:space="0" w:color="auto"/>
        <w:left w:val="none" w:sz="0" w:space="0" w:color="auto"/>
        <w:bottom w:val="none" w:sz="0" w:space="0" w:color="auto"/>
        <w:right w:val="none" w:sz="0" w:space="0" w:color="auto"/>
      </w:divBdr>
    </w:div>
    <w:div w:id="1376268815">
      <w:bodyDiv w:val="1"/>
      <w:marLeft w:val="0"/>
      <w:marRight w:val="0"/>
      <w:marTop w:val="0"/>
      <w:marBottom w:val="0"/>
      <w:divBdr>
        <w:top w:val="none" w:sz="0" w:space="0" w:color="auto"/>
        <w:left w:val="none" w:sz="0" w:space="0" w:color="auto"/>
        <w:bottom w:val="none" w:sz="0" w:space="0" w:color="auto"/>
        <w:right w:val="none" w:sz="0" w:space="0" w:color="auto"/>
      </w:divBdr>
      <w:divsChild>
        <w:div w:id="882405729">
          <w:marLeft w:val="0"/>
          <w:marRight w:val="0"/>
          <w:marTop w:val="0"/>
          <w:marBottom w:val="0"/>
          <w:divBdr>
            <w:top w:val="none" w:sz="0" w:space="0" w:color="auto"/>
            <w:left w:val="none" w:sz="0" w:space="0" w:color="auto"/>
            <w:bottom w:val="none" w:sz="0" w:space="0" w:color="auto"/>
            <w:right w:val="none" w:sz="0" w:space="0" w:color="auto"/>
          </w:divBdr>
          <w:divsChild>
            <w:div w:id="1794709780">
              <w:marLeft w:val="0"/>
              <w:marRight w:val="0"/>
              <w:marTop w:val="0"/>
              <w:marBottom w:val="0"/>
              <w:divBdr>
                <w:top w:val="none" w:sz="0" w:space="0" w:color="auto"/>
                <w:left w:val="none" w:sz="0" w:space="0" w:color="auto"/>
                <w:bottom w:val="none" w:sz="0" w:space="0" w:color="auto"/>
                <w:right w:val="none" w:sz="0" w:space="0" w:color="auto"/>
              </w:divBdr>
              <w:divsChild>
                <w:div w:id="975916484">
                  <w:marLeft w:val="0"/>
                  <w:marRight w:val="0"/>
                  <w:marTop w:val="0"/>
                  <w:marBottom w:val="0"/>
                  <w:divBdr>
                    <w:top w:val="none" w:sz="0" w:space="0" w:color="auto"/>
                    <w:left w:val="none" w:sz="0" w:space="0" w:color="auto"/>
                    <w:bottom w:val="none" w:sz="0" w:space="0" w:color="auto"/>
                    <w:right w:val="none" w:sz="0" w:space="0" w:color="auto"/>
                  </w:divBdr>
                  <w:divsChild>
                    <w:div w:id="15258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82941">
      <w:bodyDiv w:val="1"/>
      <w:marLeft w:val="0"/>
      <w:marRight w:val="0"/>
      <w:marTop w:val="0"/>
      <w:marBottom w:val="0"/>
      <w:divBdr>
        <w:top w:val="none" w:sz="0" w:space="0" w:color="auto"/>
        <w:left w:val="none" w:sz="0" w:space="0" w:color="auto"/>
        <w:bottom w:val="none" w:sz="0" w:space="0" w:color="auto"/>
        <w:right w:val="none" w:sz="0" w:space="0" w:color="auto"/>
      </w:divBdr>
    </w:div>
    <w:div w:id="1386174307">
      <w:bodyDiv w:val="1"/>
      <w:marLeft w:val="0"/>
      <w:marRight w:val="0"/>
      <w:marTop w:val="0"/>
      <w:marBottom w:val="0"/>
      <w:divBdr>
        <w:top w:val="none" w:sz="0" w:space="0" w:color="auto"/>
        <w:left w:val="none" w:sz="0" w:space="0" w:color="auto"/>
        <w:bottom w:val="none" w:sz="0" w:space="0" w:color="auto"/>
        <w:right w:val="none" w:sz="0" w:space="0" w:color="auto"/>
      </w:divBdr>
    </w:div>
    <w:div w:id="1388458132">
      <w:bodyDiv w:val="1"/>
      <w:marLeft w:val="0"/>
      <w:marRight w:val="0"/>
      <w:marTop w:val="0"/>
      <w:marBottom w:val="0"/>
      <w:divBdr>
        <w:top w:val="none" w:sz="0" w:space="0" w:color="auto"/>
        <w:left w:val="none" w:sz="0" w:space="0" w:color="auto"/>
        <w:bottom w:val="none" w:sz="0" w:space="0" w:color="auto"/>
        <w:right w:val="none" w:sz="0" w:space="0" w:color="auto"/>
      </w:divBdr>
    </w:div>
    <w:div w:id="1422919041">
      <w:bodyDiv w:val="1"/>
      <w:marLeft w:val="0"/>
      <w:marRight w:val="0"/>
      <w:marTop w:val="0"/>
      <w:marBottom w:val="0"/>
      <w:divBdr>
        <w:top w:val="none" w:sz="0" w:space="0" w:color="auto"/>
        <w:left w:val="none" w:sz="0" w:space="0" w:color="auto"/>
        <w:bottom w:val="none" w:sz="0" w:space="0" w:color="auto"/>
        <w:right w:val="none" w:sz="0" w:space="0" w:color="auto"/>
      </w:divBdr>
    </w:div>
    <w:div w:id="1442601696">
      <w:bodyDiv w:val="1"/>
      <w:marLeft w:val="0"/>
      <w:marRight w:val="0"/>
      <w:marTop w:val="0"/>
      <w:marBottom w:val="0"/>
      <w:divBdr>
        <w:top w:val="none" w:sz="0" w:space="0" w:color="auto"/>
        <w:left w:val="none" w:sz="0" w:space="0" w:color="auto"/>
        <w:bottom w:val="none" w:sz="0" w:space="0" w:color="auto"/>
        <w:right w:val="none" w:sz="0" w:space="0" w:color="auto"/>
      </w:divBdr>
    </w:div>
    <w:div w:id="1461609131">
      <w:bodyDiv w:val="1"/>
      <w:marLeft w:val="0"/>
      <w:marRight w:val="0"/>
      <w:marTop w:val="0"/>
      <w:marBottom w:val="0"/>
      <w:divBdr>
        <w:top w:val="none" w:sz="0" w:space="0" w:color="auto"/>
        <w:left w:val="none" w:sz="0" w:space="0" w:color="auto"/>
        <w:bottom w:val="none" w:sz="0" w:space="0" w:color="auto"/>
        <w:right w:val="none" w:sz="0" w:space="0" w:color="auto"/>
      </w:divBdr>
      <w:divsChild>
        <w:div w:id="281621506">
          <w:marLeft w:val="0"/>
          <w:marRight w:val="0"/>
          <w:marTop w:val="0"/>
          <w:marBottom w:val="0"/>
          <w:divBdr>
            <w:top w:val="none" w:sz="0" w:space="0" w:color="auto"/>
            <w:left w:val="none" w:sz="0" w:space="0" w:color="auto"/>
            <w:bottom w:val="none" w:sz="0" w:space="0" w:color="auto"/>
            <w:right w:val="none" w:sz="0" w:space="0" w:color="auto"/>
          </w:divBdr>
          <w:divsChild>
            <w:div w:id="1487430033">
              <w:marLeft w:val="0"/>
              <w:marRight w:val="0"/>
              <w:marTop w:val="0"/>
              <w:marBottom w:val="0"/>
              <w:divBdr>
                <w:top w:val="none" w:sz="0" w:space="0" w:color="auto"/>
                <w:left w:val="none" w:sz="0" w:space="0" w:color="auto"/>
                <w:bottom w:val="none" w:sz="0" w:space="0" w:color="auto"/>
                <w:right w:val="none" w:sz="0" w:space="0" w:color="auto"/>
              </w:divBdr>
              <w:divsChild>
                <w:div w:id="21059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20">
      <w:bodyDiv w:val="1"/>
      <w:marLeft w:val="0"/>
      <w:marRight w:val="0"/>
      <w:marTop w:val="0"/>
      <w:marBottom w:val="0"/>
      <w:divBdr>
        <w:top w:val="none" w:sz="0" w:space="0" w:color="auto"/>
        <w:left w:val="none" w:sz="0" w:space="0" w:color="auto"/>
        <w:bottom w:val="none" w:sz="0" w:space="0" w:color="auto"/>
        <w:right w:val="none" w:sz="0" w:space="0" w:color="auto"/>
      </w:divBdr>
    </w:div>
    <w:div w:id="1466893656">
      <w:bodyDiv w:val="1"/>
      <w:marLeft w:val="0"/>
      <w:marRight w:val="0"/>
      <w:marTop w:val="0"/>
      <w:marBottom w:val="0"/>
      <w:divBdr>
        <w:top w:val="none" w:sz="0" w:space="0" w:color="auto"/>
        <w:left w:val="none" w:sz="0" w:space="0" w:color="auto"/>
        <w:bottom w:val="none" w:sz="0" w:space="0" w:color="auto"/>
        <w:right w:val="none" w:sz="0" w:space="0" w:color="auto"/>
      </w:divBdr>
    </w:div>
    <w:div w:id="1470440606">
      <w:bodyDiv w:val="1"/>
      <w:marLeft w:val="0"/>
      <w:marRight w:val="0"/>
      <w:marTop w:val="0"/>
      <w:marBottom w:val="0"/>
      <w:divBdr>
        <w:top w:val="none" w:sz="0" w:space="0" w:color="auto"/>
        <w:left w:val="none" w:sz="0" w:space="0" w:color="auto"/>
        <w:bottom w:val="none" w:sz="0" w:space="0" w:color="auto"/>
        <w:right w:val="none" w:sz="0" w:space="0" w:color="auto"/>
      </w:divBdr>
      <w:divsChild>
        <w:div w:id="1752000004">
          <w:marLeft w:val="0"/>
          <w:marRight w:val="0"/>
          <w:marTop w:val="0"/>
          <w:marBottom w:val="0"/>
          <w:divBdr>
            <w:top w:val="none" w:sz="0" w:space="0" w:color="auto"/>
            <w:left w:val="none" w:sz="0" w:space="0" w:color="auto"/>
            <w:bottom w:val="none" w:sz="0" w:space="0" w:color="auto"/>
            <w:right w:val="none" w:sz="0" w:space="0" w:color="auto"/>
          </w:divBdr>
          <w:divsChild>
            <w:div w:id="1493565823">
              <w:marLeft w:val="0"/>
              <w:marRight w:val="0"/>
              <w:marTop w:val="0"/>
              <w:marBottom w:val="0"/>
              <w:divBdr>
                <w:top w:val="none" w:sz="0" w:space="0" w:color="auto"/>
                <w:left w:val="none" w:sz="0" w:space="0" w:color="auto"/>
                <w:bottom w:val="none" w:sz="0" w:space="0" w:color="auto"/>
                <w:right w:val="none" w:sz="0" w:space="0" w:color="auto"/>
              </w:divBdr>
              <w:divsChild>
                <w:div w:id="5842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34859">
      <w:bodyDiv w:val="1"/>
      <w:marLeft w:val="0"/>
      <w:marRight w:val="0"/>
      <w:marTop w:val="0"/>
      <w:marBottom w:val="0"/>
      <w:divBdr>
        <w:top w:val="none" w:sz="0" w:space="0" w:color="auto"/>
        <w:left w:val="none" w:sz="0" w:space="0" w:color="auto"/>
        <w:bottom w:val="none" w:sz="0" w:space="0" w:color="auto"/>
        <w:right w:val="none" w:sz="0" w:space="0" w:color="auto"/>
      </w:divBdr>
    </w:div>
    <w:div w:id="1492865646">
      <w:bodyDiv w:val="1"/>
      <w:marLeft w:val="0"/>
      <w:marRight w:val="0"/>
      <w:marTop w:val="0"/>
      <w:marBottom w:val="0"/>
      <w:divBdr>
        <w:top w:val="none" w:sz="0" w:space="0" w:color="auto"/>
        <w:left w:val="none" w:sz="0" w:space="0" w:color="auto"/>
        <w:bottom w:val="none" w:sz="0" w:space="0" w:color="auto"/>
        <w:right w:val="none" w:sz="0" w:space="0" w:color="auto"/>
      </w:divBdr>
    </w:div>
    <w:div w:id="1520775772">
      <w:bodyDiv w:val="1"/>
      <w:marLeft w:val="0"/>
      <w:marRight w:val="0"/>
      <w:marTop w:val="0"/>
      <w:marBottom w:val="0"/>
      <w:divBdr>
        <w:top w:val="none" w:sz="0" w:space="0" w:color="auto"/>
        <w:left w:val="none" w:sz="0" w:space="0" w:color="auto"/>
        <w:bottom w:val="none" w:sz="0" w:space="0" w:color="auto"/>
        <w:right w:val="none" w:sz="0" w:space="0" w:color="auto"/>
      </w:divBdr>
    </w:div>
    <w:div w:id="1527139457">
      <w:bodyDiv w:val="1"/>
      <w:marLeft w:val="0"/>
      <w:marRight w:val="0"/>
      <w:marTop w:val="0"/>
      <w:marBottom w:val="0"/>
      <w:divBdr>
        <w:top w:val="none" w:sz="0" w:space="0" w:color="auto"/>
        <w:left w:val="none" w:sz="0" w:space="0" w:color="auto"/>
        <w:bottom w:val="none" w:sz="0" w:space="0" w:color="auto"/>
        <w:right w:val="none" w:sz="0" w:space="0" w:color="auto"/>
      </w:divBdr>
    </w:div>
    <w:div w:id="1531336970">
      <w:bodyDiv w:val="1"/>
      <w:marLeft w:val="0"/>
      <w:marRight w:val="0"/>
      <w:marTop w:val="0"/>
      <w:marBottom w:val="0"/>
      <w:divBdr>
        <w:top w:val="none" w:sz="0" w:space="0" w:color="auto"/>
        <w:left w:val="none" w:sz="0" w:space="0" w:color="auto"/>
        <w:bottom w:val="none" w:sz="0" w:space="0" w:color="auto"/>
        <w:right w:val="none" w:sz="0" w:space="0" w:color="auto"/>
      </w:divBdr>
    </w:div>
    <w:div w:id="1535079390">
      <w:bodyDiv w:val="1"/>
      <w:marLeft w:val="0"/>
      <w:marRight w:val="0"/>
      <w:marTop w:val="0"/>
      <w:marBottom w:val="0"/>
      <w:divBdr>
        <w:top w:val="none" w:sz="0" w:space="0" w:color="auto"/>
        <w:left w:val="none" w:sz="0" w:space="0" w:color="auto"/>
        <w:bottom w:val="none" w:sz="0" w:space="0" w:color="auto"/>
        <w:right w:val="none" w:sz="0" w:space="0" w:color="auto"/>
      </w:divBdr>
    </w:div>
    <w:div w:id="1546867609">
      <w:bodyDiv w:val="1"/>
      <w:marLeft w:val="0"/>
      <w:marRight w:val="0"/>
      <w:marTop w:val="0"/>
      <w:marBottom w:val="0"/>
      <w:divBdr>
        <w:top w:val="none" w:sz="0" w:space="0" w:color="auto"/>
        <w:left w:val="none" w:sz="0" w:space="0" w:color="auto"/>
        <w:bottom w:val="none" w:sz="0" w:space="0" w:color="auto"/>
        <w:right w:val="none" w:sz="0" w:space="0" w:color="auto"/>
      </w:divBdr>
    </w:div>
    <w:div w:id="1550800024">
      <w:bodyDiv w:val="1"/>
      <w:marLeft w:val="0"/>
      <w:marRight w:val="0"/>
      <w:marTop w:val="0"/>
      <w:marBottom w:val="0"/>
      <w:divBdr>
        <w:top w:val="none" w:sz="0" w:space="0" w:color="auto"/>
        <w:left w:val="none" w:sz="0" w:space="0" w:color="auto"/>
        <w:bottom w:val="none" w:sz="0" w:space="0" w:color="auto"/>
        <w:right w:val="none" w:sz="0" w:space="0" w:color="auto"/>
      </w:divBdr>
    </w:div>
    <w:div w:id="1552040759">
      <w:bodyDiv w:val="1"/>
      <w:marLeft w:val="0"/>
      <w:marRight w:val="0"/>
      <w:marTop w:val="0"/>
      <w:marBottom w:val="0"/>
      <w:divBdr>
        <w:top w:val="none" w:sz="0" w:space="0" w:color="auto"/>
        <w:left w:val="none" w:sz="0" w:space="0" w:color="auto"/>
        <w:bottom w:val="none" w:sz="0" w:space="0" w:color="auto"/>
        <w:right w:val="none" w:sz="0" w:space="0" w:color="auto"/>
      </w:divBdr>
    </w:div>
    <w:div w:id="1556576261">
      <w:bodyDiv w:val="1"/>
      <w:marLeft w:val="0"/>
      <w:marRight w:val="0"/>
      <w:marTop w:val="0"/>
      <w:marBottom w:val="0"/>
      <w:divBdr>
        <w:top w:val="none" w:sz="0" w:space="0" w:color="auto"/>
        <w:left w:val="none" w:sz="0" w:space="0" w:color="auto"/>
        <w:bottom w:val="none" w:sz="0" w:space="0" w:color="auto"/>
        <w:right w:val="none" w:sz="0" w:space="0" w:color="auto"/>
      </w:divBdr>
    </w:div>
    <w:div w:id="1561207270">
      <w:bodyDiv w:val="1"/>
      <w:marLeft w:val="0"/>
      <w:marRight w:val="0"/>
      <w:marTop w:val="0"/>
      <w:marBottom w:val="0"/>
      <w:divBdr>
        <w:top w:val="none" w:sz="0" w:space="0" w:color="auto"/>
        <w:left w:val="none" w:sz="0" w:space="0" w:color="auto"/>
        <w:bottom w:val="none" w:sz="0" w:space="0" w:color="auto"/>
        <w:right w:val="none" w:sz="0" w:space="0" w:color="auto"/>
      </w:divBdr>
    </w:div>
    <w:div w:id="1568567167">
      <w:bodyDiv w:val="1"/>
      <w:marLeft w:val="0"/>
      <w:marRight w:val="0"/>
      <w:marTop w:val="0"/>
      <w:marBottom w:val="0"/>
      <w:divBdr>
        <w:top w:val="none" w:sz="0" w:space="0" w:color="auto"/>
        <w:left w:val="none" w:sz="0" w:space="0" w:color="auto"/>
        <w:bottom w:val="none" w:sz="0" w:space="0" w:color="auto"/>
        <w:right w:val="none" w:sz="0" w:space="0" w:color="auto"/>
      </w:divBdr>
      <w:divsChild>
        <w:div w:id="12268029">
          <w:marLeft w:val="0"/>
          <w:marRight w:val="0"/>
          <w:marTop w:val="0"/>
          <w:marBottom w:val="0"/>
          <w:divBdr>
            <w:top w:val="none" w:sz="0" w:space="0" w:color="auto"/>
            <w:left w:val="none" w:sz="0" w:space="0" w:color="auto"/>
            <w:bottom w:val="none" w:sz="0" w:space="0" w:color="auto"/>
            <w:right w:val="none" w:sz="0" w:space="0" w:color="auto"/>
          </w:divBdr>
          <w:divsChild>
            <w:div w:id="1049644114">
              <w:marLeft w:val="0"/>
              <w:marRight w:val="0"/>
              <w:marTop w:val="0"/>
              <w:marBottom w:val="0"/>
              <w:divBdr>
                <w:top w:val="none" w:sz="0" w:space="0" w:color="auto"/>
                <w:left w:val="none" w:sz="0" w:space="0" w:color="auto"/>
                <w:bottom w:val="none" w:sz="0" w:space="0" w:color="auto"/>
                <w:right w:val="none" w:sz="0" w:space="0" w:color="auto"/>
              </w:divBdr>
              <w:divsChild>
                <w:div w:id="1572496920">
                  <w:marLeft w:val="0"/>
                  <w:marRight w:val="0"/>
                  <w:marTop w:val="0"/>
                  <w:marBottom w:val="0"/>
                  <w:divBdr>
                    <w:top w:val="none" w:sz="0" w:space="0" w:color="auto"/>
                    <w:left w:val="none" w:sz="0" w:space="0" w:color="auto"/>
                    <w:bottom w:val="none" w:sz="0" w:space="0" w:color="auto"/>
                    <w:right w:val="none" w:sz="0" w:space="0" w:color="auto"/>
                  </w:divBdr>
                  <w:divsChild>
                    <w:div w:id="250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03411">
      <w:bodyDiv w:val="1"/>
      <w:marLeft w:val="0"/>
      <w:marRight w:val="0"/>
      <w:marTop w:val="0"/>
      <w:marBottom w:val="0"/>
      <w:divBdr>
        <w:top w:val="none" w:sz="0" w:space="0" w:color="auto"/>
        <w:left w:val="none" w:sz="0" w:space="0" w:color="auto"/>
        <w:bottom w:val="none" w:sz="0" w:space="0" w:color="auto"/>
        <w:right w:val="none" w:sz="0" w:space="0" w:color="auto"/>
      </w:divBdr>
    </w:div>
    <w:div w:id="1589533827">
      <w:bodyDiv w:val="1"/>
      <w:marLeft w:val="0"/>
      <w:marRight w:val="0"/>
      <w:marTop w:val="0"/>
      <w:marBottom w:val="0"/>
      <w:divBdr>
        <w:top w:val="none" w:sz="0" w:space="0" w:color="auto"/>
        <w:left w:val="none" w:sz="0" w:space="0" w:color="auto"/>
        <w:bottom w:val="none" w:sz="0" w:space="0" w:color="auto"/>
        <w:right w:val="none" w:sz="0" w:space="0" w:color="auto"/>
      </w:divBdr>
      <w:divsChild>
        <w:div w:id="430786924">
          <w:marLeft w:val="0"/>
          <w:marRight w:val="0"/>
          <w:marTop w:val="0"/>
          <w:marBottom w:val="0"/>
          <w:divBdr>
            <w:top w:val="none" w:sz="0" w:space="0" w:color="auto"/>
            <w:left w:val="none" w:sz="0" w:space="0" w:color="auto"/>
            <w:bottom w:val="none" w:sz="0" w:space="0" w:color="auto"/>
            <w:right w:val="none" w:sz="0" w:space="0" w:color="auto"/>
          </w:divBdr>
          <w:divsChild>
            <w:div w:id="830608046">
              <w:marLeft w:val="0"/>
              <w:marRight w:val="0"/>
              <w:marTop w:val="0"/>
              <w:marBottom w:val="0"/>
              <w:divBdr>
                <w:top w:val="none" w:sz="0" w:space="0" w:color="auto"/>
                <w:left w:val="none" w:sz="0" w:space="0" w:color="auto"/>
                <w:bottom w:val="none" w:sz="0" w:space="0" w:color="auto"/>
                <w:right w:val="none" w:sz="0" w:space="0" w:color="auto"/>
              </w:divBdr>
              <w:divsChild>
                <w:div w:id="1828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24859">
      <w:bodyDiv w:val="1"/>
      <w:marLeft w:val="0"/>
      <w:marRight w:val="0"/>
      <w:marTop w:val="0"/>
      <w:marBottom w:val="0"/>
      <w:divBdr>
        <w:top w:val="none" w:sz="0" w:space="0" w:color="auto"/>
        <w:left w:val="none" w:sz="0" w:space="0" w:color="auto"/>
        <w:bottom w:val="none" w:sz="0" w:space="0" w:color="auto"/>
        <w:right w:val="none" w:sz="0" w:space="0" w:color="auto"/>
      </w:divBdr>
    </w:div>
    <w:div w:id="1626815994">
      <w:bodyDiv w:val="1"/>
      <w:marLeft w:val="0"/>
      <w:marRight w:val="0"/>
      <w:marTop w:val="0"/>
      <w:marBottom w:val="0"/>
      <w:divBdr>
        <w:top w:val="none" w:sz="0" w:space="0" w:color="auto"/>
        <w:left w:val="none" w:sz="0" w:space="0" w:color="auto"/>
        <w:bottom w:val="none" w:sz="0" w:space="0" w:color="auto"/>
        <w:right w:val="none" w:sz="0" w:space="0" w:color="auto"/>
      </w:divBdr>
    </w:div>
    <w:div w:id="1632858540">
      <w:bodyDiv w:val="1"/>
      <w:marLeft w:val="0"/>
      <w:marRight w:val="0"/>
      <w:marTop w:val="0"/>
      <w:marBottom w:val="0"/>
      <w:divBdr>
        <w:top w:val="none" w:sz="0" w:space="0" w:color="auto"/>
        <w:left w:val="none" w:sz="0" w:space="0" w:color="auto"/>
        <w:bottom w:val="none" w:sz="0" w:space="0" w:color="auto"/>
        <w:right w:val="none" w:sz="0" w:space="0" w:color="auto"/>
      </w:divBdr>
    </w:div>
    <w:div w:id="1649937370">
      <w:bodyDiv w:val="1"/>
      <w:marLeft w:val="0"/>
      <w:marRight w:val="0"/>
      <w:marTop w:val="0"/>
      <w:marBottom w:val="0"/>
      <w:divBdr>
        <w:top w:val="none" w:sz="0" w:space="0" w:color="auto"/>
        <w:left w:val="none" w:sz="0" w:space="0" w:color="auto"/>
        <w:bottom w:val="none" w:sz="0" w:space="0" w:color="auto"/>
        <w:right w:val="none" w:sz="0" w:space="0" w:color="auto"/>
      </w:divBdr>
    </w:div>
    <w:div w:id="1659648036">
      <w:bodyDiv w:val="1"/>
      <w:marLeft w:val="0"/>
      <w:marRight w:val="0"/>
      <w:marTop w:val="0"/>
      <w:marBottom w:val="0"/>
      <w:divBdr>
        <w:top w:val="none" w:sz="0" w:space="0" w:color="auto"/>
        <w:left w:val="none" w:sz="0" w:space="0" w:color="auto"/>
        <w:bottom w:val="none" w:sz="0" w:space="0" w:color="auto"/>
        <w:right w:val="none" w:sz="0" w:space="0" w:color="auto"/>
      </w:divBdr>
    </w:div>
    <w:div w:id="1661038603">
      <w:bodyDiv w:val="1"/>
      <w:marLeft w:val="0"/>
      <w:marRight w:val="0"/>
      <w:marTop w:val="0"/>
      <w:marBottom w:val="0"/>
      <w:divBdr>
        <w:top w:val="none" w:sz="0" w:space="0" w:color="auto"/>
        <w:left w:val="none" w:sz="0" w:space="0" w:color="auto"/>
        <w:bottom w:val="none" w:sz="0" w:space="0" w:color="auto"/>
        <w:right w:val="none" w:sz="0" w:space="0" w:color="auto"/>
      </w:divBdr>
    </w:div>
    <w:div w:id="1665086759">
      <w:bodyDiv w:val="1"/>
      <w:marLeft w:val="0"/>
      <w:marRight w:val="0"/>
      <w:marTop w:val="0"/>
      <w:marBottom w:val="0"/>
      <w:divBdr>
        <w:top w:val="none" w:sz="0" w:space="0" w:color="auto"/>
        <w:left w:val="none" w:sz="0" w:space="0" w:color="auto"/>
        <w:bottom w:val="none" w:sz="0" w:space="0" w:color="auto"/>
        <w:right w:val="none" w:sz="0" w:space="0" w:color="auto"/>
      </w:divBdr>
    </w:div>
    <w:div w:id="1669938091">
      <w:bodyDiv w:val="1"/>
      <w:marLeft w:val="0"/>
      <w:marRight w:val="0"/>
      <w:marTop w:val="0"/>
      <w:marBottom w:val="0"/>
      <w:divBdr>
        <w:top w:val="none" w:sz="0" w:space="0" w:color="auto"/>
        <w:left w:val="none" w:sz="0" w:space="0" w:color="auto"/>
        <w:bottom w:val="none" w:sz="0" w:space="0" w:color="auto"/>
        <w:right w:val="none" w:sz="0" w:space="0" w:color="auto"/>
      </w:divBdr>
    </w:div>
    <w:div w:id="1671909844">
      <w:bodyDiv w:val="1"/>
      <w:marLeft w:val="0"/>
      <w:marRight w:val="0"/>
      <w:marTop w:val="0"/>
      <w:marBottom w:val="0"/>
      <w:divBdr>
        <w:top w:val="none" w:sz="0" w:space="0" w:color="auto"/>
        <w:left w:val="none" w:sz="0" w:space="0" w:color="auto"/>
        <w:bottom w:val="none" w:sz="0" w:space="0" w:color="auto"/>
        <w:right w:val="none" w:sz="0" w:space="0" w:color="auto"/>
      </w:divBdr>
      <w:divsChild>
        <w:div w:id="2084596316">
          <w:marLeft w:val="0"/>
          <w:marRight w:val="0"/>
          <w:marTop w:val="0"/>
          <w:marBottom w:val="0"/>
          <w:divBdr>
            <w:top w:val="none" w:sz="0" w:space="0" w:color="auto"/>
            <w:left w:val="none" w:sz="0" w:space="0" w:color="auto"/>
            <w:bottom w:val="none" w:sz="0" w:space="0" w:color="auto"/>
            <w:right w:val="none" w:sz="0" w:space="0" w:color="auto"/>
          </w:divBdr>
          <w:divsChild>
            <w:div w:id="807211623">
              <w:marLeft w:val="0"/>
              <w:marRight w:val="0"/>
              <w:marTop w:val="0"/>
              <w:marBottom w:val="0"/>
              <w:divBdr>
                <w:top w:val="none" w:sz="0" w:space="0" w:color="auto"/>
                <w:left w:val="none" w:sz="0" w:space="0" w:color="auto"/>
                <w:bottom w:val="none" w:sz="0" w:space="0" w:color="auto"/>
                <w:right w:val="none" w:sz="0" w:space="0" w:color="auto"/>
              </w:divBdr>
              <w:divsChild>
                <w:div w:id="1024288650">
                  <w:marLeft w:val="0"/>
                  <w:marRight w:val="0"/>
                  <w:marTop w:val="0"/>
                  <w:marBottom w:val="0"/>
                  <w:divBdr>
                    <w:top w:val="none" w:sz="0" w:space="0" w:color="auto"/>
                    <w:left w:val="none" w:sz="0" w:space="0" w:color="auto"/>
                    <w:bottom w:val="none" w:sz="0" w:space="0" w:color="auto"/>
                    <w:right w:val="none" w:sz="0" w:space="0" w:color="auto"/>
                  </w:divBdr>
                  <w:divsChild>
                    <w:div w:id="20006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86556">
      <w:bodyDiv w:val="1"/>
      <w:marLeft w:val="0"/>
      <w:marRight w:val="0"/>
      <w:marTop w:val="0"/>
      <w:marBottom w:val="0"/>
      <w:divBdr>
        <w:top w:val="none" w:sz="0" w:space="0" w:color="auto"/>
        <w:left w:val="none" w:sz="0" w:space="0" w:color="auto"/>
        <w:bottom w:val="none" w:sz="0" w:space="0" w:color="auto"/>
        <w:right w:val="none" w:sz="0" w:space="0" w:color="auto"/>
      </w:divBdr>
      <w:divsChild>
        <w:div w:id="94450597">
          <w:marLeft w:val="0"/>
          <w:marRight w:val="0"/>
          <w:marTop w:val="0"/>
          <w:marBottom w:val="0"/>
          <w:divBdr>
            <w:top w:val="none" w:sz="0" w:space="0" w:color="auto"/>
            <w:left w:val="none" w:sz="0" w:space="0" w:color="auto"/>
            <w:bottom w:val="none" w:sz="0" w:space="0" w:color="auto"/>
            <w:right w:val="none" w:sz="0" w:space="0" w:color="auto"/>
          </w:divBdr>
          <w:divsChild>
            <w:div w:id="817765281">
              <w:marLeft w:val="0"/>
              <w:marRight w:val="0"/>
              <w:marTop w:val="0"/>
              <w:marBottom w:val="0"/>
              <w:divBdr>
                <w:top w:val="none" w:sz="0" w:space="0" w:color="auto"/>
                <w:left w:val="none" w:sz="0" w:space="0" w:color="auto"/>
                <w:bottom w:val="none" w:sz="0" w:space="0" w:color="auto"/>
                <w:right w:val="none" w:sz="0" w:space="0" w:color="auto"/>
              </w:divBdr>
              <w:divsChild>
                <w:div w:id="11456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78400">
      <w:bodyDiv w:val="1"/>
      <w:marLeft w:val="0"/>
      <w:marRight w:val="0"/>
      <w:marTop w:val="0"/>
      <w:marBottom w:val="0"/>
      <w:divBdr>
        <w:top w:val="none" w:sz="0" w:space="0" w:color="auto"/>
        <w:left w:val="none" w:sz="0" w:space="0" w:color="auto"/>
        <w:bottom w:val="none" w:sz="0" w:space="0" w:color="auto"/>
        <w:right w:val="none" w:sz="0" w:space="0" w:color="auto"/>
      </w:divBdr>
    </w:div>
    <w:div w:id="1728189932">
      <w:bodyDiv w:val="1"/>
      <w:marLeft w:val="0"/>
      <w:marRight w:val="0"/>
      <w:marTop w:val="0"/>
      <w:marBottom w:val="0"/>
      <w:divBdr>
        <w:top w:val="none" w:sz="0" w:space="0" w:color="auto"/>
        <w:left w:val="none" w:sz="0" w:space="0" w:color="auto"/>
        <w:bottom w:val="none" w:sz="0" w:space="0" w:color="auto"/>
        <w:right w:val="none" w:sz="0" w:space="0" w:color="auto"/>
      </w:divBdr>
    </w:div>
    <w:div w:id="1744136509">
      <w:bodyDiv w:val="1"/>
      <w:marLeft w:val="0"/>
      <w:marRight w:val="0"/>
      <w:marTop w:val="0"/>
      <w:marBottom w:val="0"/>
      <w:divBdr>
        <w:top w:val="none" w:sz="0" w:space="0" w:color="auto"/>
        <w:left w:val="none" w:sz="0" w:space="0" w:color="auto"/>
        <w:bottom w:val="none" w:sz="0" w:space="0" w:color="auto"/>
        <w:right w:val="none" w:sz="0" w:space="0" w:color="auto"/>
      </w:divBdr>
      <w:divsChild>
        <w:div w:id="858396339">
          <w:marLeft w:val="0"/>
          <w:marRight w:val="0"/>
          <w:marTop w:val="0"/>
          <w:marBottom w:val="0"/>
          <w:divBdr>
            <w:top w:val="none" w:sz="0" w:space="0" w:color="auto"/>
            <w:left w:val="none" w:sz="0" w:space="0" w:color="auto"/>
            <w:bottom w:val="none" w:sz="0" w:space="0" w:color="auto"/>
            <w:right w:val="none" w:sz="0" w:space="0" w:color="auto"/>
          </w:divBdr>
          <w:divsChild>
            <w:div w:id="1538156476">
              <w:marLeft w:val="0"/>
              <w:marRight w:val="0"/>
              <w:marTop w:val="0"/>
              <w:marBottom w:val="0"/>
              <w:divBdr>
                <w:top w:val="none" w:sz="0" w:space="0" w:color="auto"/>
                <w:left w:val="none" w:sz="0" w:space="0" w:color="auto"/>
                <w:bottom w:val="none" w:sz="0" w:space="0" w:color="auto"/>
                <w:right w:val="none" w:sz="0" w:space="0" w:color="auto"/>
              </w:divBdr>
              <w:divsChild>
                <w:div w:id="232593152">
                  <w:marLeft w:val="0"/>
                  <w:marRight w:val="0"/>
                  <w:marTop w:val="0"/>
                  <w:marBottom w:val="0"/>
                  <w:divBdr>
                    <w:top w:val="none" w:sz="0" w:space="0" w:color="auto"/>
                    <w:left w:val="none" w:sz="0" w:space="0" w:color="auto"/>
                    <w:bottom w:val="none" w:sz="0" w:space="0" w:color="auto"/>
                    <w:right w:val="none" w:sz="0" w:space="0" w:color="auto"/>
                  </w:divBdr>
                  <w:divsChild>
                    <w:div w:id="118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18135">
      <w:bodyDiv w:val="1"/>
      <w:marLeft w:val="0"/>
      <w:marRight w:val="0"/>
      <w:marTop w:val="0"/>
      <w:marBottom w:val="0"/>
      <w:divBdr>
        <w:top w:val="none" w:sz="0" w:space="0" w:color="auto"/>
        <w:left w:val="none" w:sz="0" w:space="0" w:color="auto"/>
        <w:bottom w:val="none" w:sz="0" w:space="0" w:color="auto"/>
        <w:right w:val="none" w:sz="0" w:space="0" w:color="auto"/>
      </w:divBdr>
      <w:divsChild>
        <w:div w:id="1271813429">
          <w:marLeft w:val="0"/>
          <w:marRight w:val="0"/>
          <w:marTop w:val="0"/>
          <w:marBottom w:val="0"/>
          <w:divBdr>
            <w:top w:val="none" w:sz="0" w:space="0" w:color="auto"/>
            <w:left w:val="none" w:sz="0" w:space="0" w:color="auto"/>
            <w:bottom w:val="none" w:sz="0" w:space="0" w:color="auto"/>
            <w:right w:val="none" w:sz="0" w:space="0" w:color="auto"/>
          </w:divBdr>
          <w:divsChild>
            <w:div w:id="2143837783">
              <w:marLeft w:val="0"/>
              <w:marRight w:val="0"/>
              <w:marTop w:val="0"/>
              <w:marBottom w:val="0"/>
              <w:divBdr>
                <w:top w:val="none" w:sz="0" w:space="0" w:color="auto"/>
                <w:left w:val="none" w:sz="0" w:space="0" w:color="auto"/>
                <w:bottom w:val="none" w:sz="0" w:space="0" w:color="auto"/>
                <w:right w:val="none" w:sz="0" w:space="0" w:color="auto"/>
              </w:divBdr>
              <w:divsChild>
                <w:div w:id="42920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9360">
      <w:bodyDiv w:val="1"/>
      <w:marLeft w:val="0"/>
      <w:marRight w:val="0"/>
      <w:marTop w:val="0"/>
      <w:marBottom w:val="0"/>
      <w:divBdr>
        <w:top w:val="none" w:sz="0" w:space="0" w:color="auto"/>
        <w:left w:val="none" w:sz="0" w:space="0" w:color="auto"/>
        <w:bottom w:val="none" w:sz="0" w:space="0" w:color="auto"/>
        <w:right w:val="none" w:sz="0" w:space="0" w:color="auto"/>
      </w:divBdr>
      <w:divsChild>
        <w:div w:id="346911474">
          <w:marLeft w:val="0"/>
          <w:marRight w:val="0"/>
          <w:marTop w:val="0"/>
          <w:marBottom w:val="0"/>
          <w:divBdr>
            <w:top w:val="none" w:sz="0" w:space="0" w:color="auto"/>
            <w:left w:val="none" w:sz="0" w:space="0" w:color="auto"/>
            <w:bottom w:val="none" w:sz="0" w:space="0" w:color="auto"/>
            <w:right w:val="none" w:sz="0" w:space="0" w:color="auto"/>
          </w:divBdr>
          <w:divsChild>
            <w:div w:id="1021708546">
              <w:marLeft w:val="0"/>
              <w:marRight w:val="0"/>
              <w:marTop w:val="0"/>
              <w:marBottom w:val="0"/>
              <w:divBdr>
                <w:top w:val="none" w:sz="0" w:space="0" w:color="auto"/>
                <w:left w:val="none" w:sz="0" w:space="0" w:color="auto"/>
                <w:bottom w:val="none" w:sz="0" w:space="0" w:color="auto"/>
                <w:right w:val="none" w:sz="0" w:space="0" w:color="auto"/>
              </w:divBdr>
              <w:divsChild>
                <w:div w:id="11886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279510">
      <w:bodyDiv w:val="1"/>
      <w:marLeft w:val="0"/>
      <w:marRight w:val="0"/>
      <w:marTop w:val="0"/>
      <w:marBottom w:val="0"/>
      <w:divBdr>
        <w:top w:val="none" w:sz="0" w:space="0" w:color="auto"/>
        <w:left w:val="none" w:sz="0" w:space="0" w:color="auto"/>
        <w:bottom w:val="none" w:sz="0" w:space="0" w:color="auto"/>
        <w:right w:val="none" w:sz="0" w:space="0" w:color="auto"/>
      </w:divBdr>
    </w:div>
    <w:div w:id="1797721580">
      <w:bodyDiv w:val="1"/>
      <w:marLeft w:val="0"/>
      <w:marRight w:val="0"/>
      <w:marTop w:val="0"/>
      <w:marBottom w:val="0"/>
      <w:divBdr>
        <w:top w:val="none" w:sz="0" w:space="0" w:color="auto"/>
        <w:left w:val="none" w:sz="0" w:space="0" w:color="auto"/>
        <w:bottom w:val="none" w:sz="0" w:space="0" w:color="auto"/>
        <w:right w:val="none" w:sz="0" w:space="0" w:color="auto"/>
      </w:divBdr>
    </w:div>
    <w:div w:id="1806317578">
      <w:bodyDiv w:val="1"/>
      <w:marLeft w:val="0"/>
      <w:marRight w:val="0"/>
      <w:marTop w:val="0"/>
      <w:marBottom w:val="0"/>
      <w:divBdr>
        <w:top w:val="none" w:sz="0" w:space="0" w:color="auto"/>
        <w:left w:val="none" w:sz="0" w:space="0" w:color="auto"/>
        <w:bottom w:val="none" w:sz="0" w:space="0" w:color="auto"/>
        <w:right w:val="none" w:sz="0" w:space="0" w:color="auto"/>
      </w:divBdr>
    </w:div>
    <w:div w:id="1856730068">
      <w:bodyDiv w:val="1"/>
      <w:marLeft w:val="0"/>
      <w:marRight w:val="0"/>
      <w:marTop w:val="0"/>
      <w:marBottom w:val="0"/>
      <w:divBdr>
        <w:top w:val="none" w:sz="0" w:space="0" w:color="auto"/>
        <w:left w:val="none" w:sz="0" w:space="0" w:color="auto"/>
        <w:bottom w:val="none" w:sz="0" w:space="0" w:color="auto"/>
        <w:right w:val="none" w:sz="0" w:space="0" w:color="auto"/>
      </w:divBdr>
      <w:divsChild>
        <w:div w:id="1191334423">
          <w:marLeft w:val="0"/>
          <w:marRight w:val="0"/>
          <w:marTop w:val="0"/>
          <w:marBottom w:val="0"/>
          <w:divBdr>
            <w:top w:val="none" w:sz="0" w:space="0" w:color="auto"/>
            <w:left w:val="none" w:sz="0" w:space="0" w:color="auto"/>
            <w:bottom w:val="none" w:sz="0" w:space="0" w:color="auto"/>
            <w:right w:val="none" w:sz="0" w:space="0" w:color="auto"/>
          </w:divBdr>
          <w:divsChild>
            <w:div w:id="1383481000">
              <w:marLeft w:val="0"/>
              <w:marRight w:val="0"/>
              <w:marTop w:val="0"/>
              <w:marBottom w:val="0"/>
              <w:divBdr>
                <w:top w:val="none" w:sz="0" w:space="0" w:color="auto"/>
                <w:left w:val="none" w:sz="0" w:space="0" w:color="auto"/>
                <w:bottom w:val="none" w:sz="0" w:space="0" w:color="auto"/>
                <w:right w:val="none" w:sz="0" w:space="0" w:color="auto"/>
              </w:divBdr>
              <w:divsChild>
                <w:div w:id="1551648331">
                  <w:marLeft w:val="0"/>
                  <w:marRight w:val="0"/>
                  <w:marTop w:val="0"/>
                  <w:marBottom w:val="0"/>
                  <w:divBdr>
                    <w:top w:val="none" w:sz="0" w:space="0" w:color="auto"/>
                    <w:left w:val="none" w:sz="0" w:space="0" w:color="auto"/>
                    <w:bottom w:val="none" w:sz="0" w:space="0" w:color="auto"/>
                    <w:right w:val="none" w:sz="0" w:space="0" w:color="auto"/>
                  </w:divBdr>
                  <w:divsChild>
                    <w:div w:id="16596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91152">
      <w:bodyDiv w:val="1"/>
      <w:marLeft w:val="0"/>
      <w:marRight w:val="0"/>
      <w:marTop w:val="0"/>
      <w:marBottom w:val="0"/>
      <w:divBdr>
        <w:top w:val="none" w:sz="0" w:space="0" w:color="auto"/>
        <w:left w:val="none" w:sz="0" w:space="0" w:color="auto"/>
        <w:bottom w:val="none" w:sz="0" w:space="0" w:color="auto"/>
        <w:right w:val="none" w:sz="0" w:space="0" w:color="auto"/>
      </w:divBdr>
    </w:div>
    <w:div w:id="1863201053">
      <w:bodyDiv w:val="1"/>
      <w:marLeft w:val="0"/>
      <w:marRight w:val="0"/>
      <w:marTop w:val="0"/>
      <w:marBottom w:val="0"/>
      <w:divBdr>
        <w:top w:val="none" w:sz="0" w:space="0" w:color="auto"/>
        <w:left w:val="none" w:sz="0" w:space="0" w:color="auto"/>
        <w:bottom w:val="none" w:sz="0" w:space="0" w:color="auto"/>
        <w:right w:val="none" w:sz="0" w:space="0" w:color="auto"/>
      </w:divBdr>
    </w:div>
    <w:div w:id="1863546043">
      <w:bodyDiv w:val="1"/>
      <w:marLeft w:val="0"/>
      <w:marRight w:val="0"/>
      <w:marTop w:val="0"/>
      <w:marBottom w:val="0"/>
      <w:divBdr>
        <w:top w:val="none" w:sz="0" w:space="0" w:color="auto"/>
        <w:left w:val="none" w:sz="0" w:space="0" w:color="auto"/>
        <w:bottom w:val="none" w:sz="0" w:space="0" w:color="auto"/>
        <w:right w:val="none" w:sz="0" w:space="0" w:color="auto"/>
      </w:divBdr>
      <w:divsChild>
        <w:div w:id="521673552">
          <w:marLeft w:val="0"/>
          <w:marRight w:val="0"/>
          <w:marTop w:val="0"/>
          <w:marBottom w:val="0"/>
          <w:divBdr>
            <w:top w:val="none" w:sz="0" w:space="0" w:color="auto"/>
            <w:left w:val="none" w:sz="0" w:space="0" w:color="auto"/>
            <w:bottom w:val="none" w:sz="0" w:space="0" w:color="auto"/>
            <w:right w:val="none" w:sz="0" w:space="0" w:color="auto"/>
          </w:divBdr>
          <w:divsChild>
            <w:div w:id="1770346339">
              <w:marLeft w:val="0"/>
              <w:marRight w:val="0"/>
              <w:marTop w:val="0"/>
              <w:marBottom w:val="0"/>
              <w:divBdr>
                <w:top w:val="none" w:sz="0" w:space="0" w:color="auto"/>
                <w:left w:val="none" w:sz="0" w:space="0" w:color="auto"/>
                <w:bottom w:val="none" w:sz="0" w:space="0" w:color="auto"/>
                <w:right w:val="none" w:sz="0" w:space="0" w:color="auto"/>
              </w:divBdr>
              <w:divsChild>
                <w:div w:id="2085832962">
                  <w:marLeft w:val="0"/>
                  <w:marRight w:val="0"/>
                  <w:marTop w:val="0"/>
                  <w:marBottom w:val="0"/>
                  <w:divBdr>
                    <w:top w:val="none" w:sz="0" w:space="0" w:color="auto"/>
                    <w:left w:val="none" w:sz="0" w:space="0" w:color="auto"/>
                    <w:bottom w:val="none" w:sz="0" w:space="0" w:color="auto"/>
                    <w:right w:val="none" w:sz="0" w:space="0" w:color="auto"/>
                  </w:divBdr>
                  <w:divsChild>
                    <w:div w:id="1474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67369">
      <w:bodyDiv w:val="1"/>
      <w:marLeft w:val="0"/>
      <w:marRight w:val="0"/>
      <w:marTop w:val="0"/>
      <w:marBottom w:val="0"/>
      <w:divBdr>
        <w:top w:val="none" w:sz="0" w:space="0" w:color="auto"/>
        <w:left w:val="none" w:sz="0" w:space="0" w:color="auto"/>
        <w:bottom w:val="none" w:sz="0" w:space="0" w:color="auto"/>
        <w:right w:val="none" w:sz="0" w:space="0" w:color="auto"/>
      </w:divBdr>
    </w:div>
    <w:div w:id="1898543898">
      <w:bodyDiv w:val="1"/>
      <w:marLeft w:val="0"/>
      <w:marRight w:val="0"/>
      <w:marTop w:val="0"/>
      <w:marBottom w:val="0"/>
      <w:divBdr>
        <w:top w:val="none" w:sz="0" w:space="0" w:color="auto"/>
        <w:left w:val="none" w:sz="0" w:space="0" w:color="auto"/>
        <w:bottom w:val="none" w:sz="0" w:space="0" w:color="auto"/>
        <w:right w:val="none" w:sz="0" w:space="0" w:color="auto"/>
      </w:divBdr>
      <w:divsChild>
        <w:div w:id="7489571">
          <w:marLeft w:val="0"/>
          <w:marRight w:val="0"/>
          <w:marTop w:val="0"/>
          <w:marBottom w:val="0"/>
          <w:divBdr>
            <w:top w:val="none" w:sz="0" w:space="0" w:color="auto"/>
            <w:left w:val="none" w:sz="0" w:space="0" w:color="auto"/>
            <w:bottom w:val="none" w:sz="0" w:space="0" w:color="auto"/>
            <w:right w:val="none" w:sz="0" w:space="0" w:color="auto"/>
          </w:divBdr>
          <w:divsChild>
            <w:div w:id="992291349">
              <w:marLeft w:val="0"/>
              <w:marRight w:val="0"/>
              <w:marTop w:val="0"/>
              <w:marBottom w:val="0"/>
              <w:divBdr>
                <w:top w:val="none" w:sz="0" w:space="0" w:color="auto"/>
                <w:left w:val="none" w:sz="0" w:space="0" w:color="auto"/>
                <w:bottom w:val="none" w:sz="0" w:space="0" w:color="auto"/>
                <w:right w:val="none" w:sz="0" w:space="0" w:color="auto"/>
              </w:divBdr>
              <w:divsChild>
                <w:div w:id="1472794336">
                  <w:marLeft w:val="0"/>
                  <w:marRight w:val="0"/>
                  <w:marTop w:val="0"/>
                  <w:marBottom w:val="0"/>
                  <w:divBdr>
                    <w:top w:val="none" w:sz="0" w:space="0" w:color="auto"/>
                    <w:left w:val="none" w:sz="0" w:space="0" w:color="auto"/>
                    <w:bottom w:val="none" w:sz="0" w:space="0" w:color="auto"/>
                    <w:right w:val="none" w:sz="0" w:space="0" w:color="auto"/>
                  </w:divBdr>
                  <w:divsChild>
                    <w:div w:id="11295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96939">
      <w:bodyDiv w:val="1"/>
      <w:marLeft w:val="0"/>
      <w:marRight w:val="0"/>
      <w:marTop w:val="0"/>
      <w:marBottom w:val="0"/>
      <w:divBdr>
        <w:top w:val="none" w:sz="0" w:space="0" w:color="auto"/>
        <w:left w:val="none" w:sz="0" w:space="0" w:color="auto"/>
        <w:bottom w:val="none" w:sz="0" w:space="0" w:color="auto"/>
        <w:right w:val="none" w:sz="0" w:space="0" w:color="auto"/>
      </w:divBdr>
      <w:divsChild>
        <w:div w:id="730351367">
          <w:marLeft w:val="0"/>
          <w:marRight w:val="0"/>
          <w:marTop w:val="0"/>
          <w:marBottom w:val="0"/>
          <w:divBdr>
            <w:top w:val="none" w:sz="0" w:space="0" w:color="auto"/>
            <w:left w:val="none" w:sz="0" w:space="0" w:color="auto"/>
            <w:bottom w:val="none" w:sz="0" w:space="0" w:color="auto"/>
            <w:right w:val="none" w:sz="0" w:space="0" w:color="auto"/>
          </w:divBdr>
        </w:div>
        <w:div w:id="1260870927">
          <w:marLeft w:val="0"/>
          <w:marRight w:val="0"/>
          <w:marTop w:val="0"/>
          <w:marBottom w:val="0"/>
          <w:divBdr>
            <w:top w:val="none" w:sz="0" w:space="0" w:color="auto"/>
            <w:left w:val="none" w:sz="0" w:space="0" w:color="auto"/>
            <w:bottom w:val="none" w:sz="0" w:space="0" w:color="auto"/>
            <w:right w:val="none" w:sz="0" w:space="0" w:color="auto"/>
          </w:divBdr>
        </w:div>
      </w:divsChild>
    </w:div>
    <w:div w:id="1931693761">
      <w:bodyDiv w:val="1"/>
      <w:marLeft w:val="0"/>
      <w:marRight w:val="0"/>
      <w:marTop w:val="0"/>
      <w:marBottom w:val="0"/>
      <w:divBdr>
        <w:top w:val="none" w:sz="0" w:space="0" w:color="auto"/>
        <w:left w:val="none" w:sz="0" w:space="0" w:color="auto"/>
        <w:bottom w:val="none" w:sz="0" w:space="0" w:color="auto"/>
        <w:right w:val="none" w:sz="0" w:space="0" w:color="auto"/>
      </w:divBdr>
    </w:div>
    <w:div w:id="1946962291">
      <w:bodyDiv w:val="1"/>
      <w:marLeft w:val="0"/>
      <w:marRight w:val="0"/>
      <w:marTop w:val="0"/>
      <w:marBottom w:val="0"/>
      <w:divBdr>
        <w:top w:val="none" w:sz="0" w:space="0" w:color="auto"/>
        <w:left w:val="none" w:sz="0" w:space="0" w:color="auto"/>
        <w:bottom w:val="none" w:sz="0" w:space="0" w:color="auto"/>
        <w:right w:val="none" w:sz="0" w:space="0" w:color="auto"/>
      </w:divBdr>
    </w:div>
    <w:div w:id="1947535763">
      <w:bodyDiv w:val="1"/>
      <w:marLeft w:val="0"/>
      <w:marRight w:val="0"/>
      <w:marTop w:val="0"/>
      <w:marBottom w:val="0"/>
      <w:divBdr>
        <w:top w:val="none" w:sz="0" w:space="0" w:color="auto"/>
        <w:left w:val="none" w:sz="0" w:space="0" w:color="auto"/>
        <w:bottom w:val="none" w:sz="0" w:space="0" w:color="auto"/>
        <w:right w:val="none" w:sz="0" w:space="0" w:color="auto"/>
      </w:divBdr>
    </w:div>
    <w:div w:id="1954315019">
      <w:bodyDiv w:val="1"/>
      <w:marLeft w:val="0"/>
      <w:marRight w:val="0"/>
      <w:marTop w:val="0"/>
      <w:marBottom w:val="0"/>
      <w:divBdr>
        <w:top w:val="none" w:sz="0" w:space="0" w:color="auto"/>
        <w:left w:val="none" w:sz="0" w:space="0" w:color="auto"/>
        <w:bottom w:val="none" w:sz="0" w:space="0" w:color="auto"/>
        <w:right w:val="none" w:sz="0" w:space="0" w:color="auto"/>
      </w:divBdr>
    </w:div>
    <w:div w:id="1956862421">
      <w:bodyDiv w:val="1"/>
      <w:marLeft w:val="0"/>
      <w:marRight w:val="0"/>
      <w:marTop w:val="0"/>
      <w:marBottom w:val="0"/>
      <w:divBdr>
        <w:top w:val="none" w:sz="0" w:space="0" w:color="auto"/>
        <w:left w:val="none" w:sz="0" w:space="0" w:color="auto"/>
        <w:bottom w:val="none" w:sz="0" w:space="0" w:color="auto"/>
        <w:right w:val="none" w:sz="0" w:space="0" w:color="auto"/>
      </w:divBdr>
    </w:div>
    <w:div w:id="1971014416">
      <w:bodyDiv w:val="1"/>
      <w:marLeft w:val="0"/>
      <w:marRight w:val="0"/>
      <w:marTop w:val="0"/>
      <w:marBottom w:val="0"/>
      <w:divBdr>
        <w:top w:val="none" w:sz="0" w:space="0" w:color="auto"/>
        <w:left w:val="none" w:sz="0" w:space="0" w:color="auto"/>
        <w:bottom w:val="none" w:sz="0" w:space="0" w:color="auto"/>
        <w:right w:val="none" w:sz="0" w:space="0" w:color="auto"/>
      </w:divBdr>
    </w:div>
    <w:div w:id="1979601415">
      <w:bodyDiv w:val="1"/>
      <w:marLeft w:val="0"/>
      <w:marRight w:val="0"/>
      <w:marTop w:val="0"/>
      <w:marBottom w:val="0"/>
      <w:divBdr>
        <w:top w:val="none" w:sz="0" w:space="0" w:color="auto"/>
        <w:left w:val="none" w:sz="0" w:space="0" w:color="auto"/>
        <w:bottom w:val="none" w:sz="0" w:space="0" w:color="auto"/>
        <w:right w:val="none" w:sz="0" w:space="0" w:color="auto"/>
      </w:divBdr>
      <w:divsChild>
        <w:div w:id="1446804675">
          <w:marLeft w:val="0"/>
          <w:marRight w:val="0"/>
          <w:marTop w:val="0"/>
          <w:marBottom w:val="0"/>
          <w:divBdr>
            <w:top w:val="none" w:sz="0" w:space="0" w:color="auto"/>
            <w:left w:val="none" w:sz="0" w:space="0" w:color="auto"/>
            <w:bottom w:val="none" w:sz="0" w:space="0" w:color="auto"/>
            <w:right w:val="none" w:sz="0" w:space="0" w:color="auto"/>
          </w:divBdr>
          <w:divsChild>
            <w:div w:id="1397123478">
              <w:marLeft w:val="0"/>
              <w:marRight w:val="0"/>
              <w:marTop w:val="0"/>
              <w:marBottom w:val="0"/>
              <w:divBdr>
                <w:top w:val="none" w:sz="0" w:space="0" w:color="auto"/>
                <w:left w:val="none" w:sz="0" w:space="0" w:color="auto"/>
                <w:bottom w:val="none" w:sz="0" w:space="0" w:color="auto"/>
                <w:right w:val="none" w:sz="0" w:space="0" w:color="auto"/>
              </w:divBdr>
              <w:divsChild>
                <w:div w:id="326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06062">
      <w:bodyDiv w:val="1"/>
      <w:marLeft w:val="0"/>
      <w:marRight w:val="0"/>
      <w:marTop w:val="0"/>
      <w:marBottom w:val="0"/>
      <w:divBdr>
        <w:top w:val="none" w:sz="0" w:space="0" w:color="auto"/>
        <w:left w:val="none" w:sz="0" w:space="0" w:color="auto"/>
        <w:bottom w:val="none" w:sz="0" w:space="0" w:color="auto"/>
        <w:right w:val="none" w:sz="0" w:space="0" w:color="auto"/>
      </w:divBdr>
      <w:divsChild>
        <w:div w:id="1025056339">
          <w:marLeft w:val="0"/>
          <w:marRight w:val="0"/>
          <w:marTop w:val="0"/>
          <w:marBottom w:val="0"/>
          <w:divBdr>
            <w:top w:val="none" w:sz="0" w:space="0" w:color="auto"/>
            <w:left w:val="none" w:sz="0" w:space="0" w:color="auto"/>
            <w:bottom w:val="none" w:sz="0" w:space="0" w:color="auto"/>
            <w:right w:val="none" w:sz="0" w:space="0" w:color="auto"/>
          </w:divBdr>
          <w:divsChild>
            <w:div w:id="1194075070">
              <w:marLeft w:val="0"/>
              <w:marRight w:val="0"/>
              <w:marTop w:val="0"/>
              <w:marBottom w:val="0"/>
              <w:divBdr>
                <w:top w:val="none" w:sz="0" w:space="0" w:color="auto"/>
                <w:left w:val="none" w:sz="0" w:space="0" w:color="auto"/>
                <w:bottom w:val="none" w:sz="0" w:space="0" w:color="auto"/>
                <w:right w:val="none" w:sz="0" w:space="0" w:color="auto"/>
              </w:divBdr>
              <w:divsChild>
                <w:div w:id="156921619">
                  <w:marLeft w:val="0"/>
                  <w:marRight w:val="0"/>
                  <w:marTop w:val="0"/>
                  <w:marBottom w:val="0"/>
                  <w:divBdr>
                    <w:top w:val="none" w:sz="0" w:space="0" w:color="auto"/>
                    <w:left w:val="none" w:sz="0" w:space="0" w:color="auto"/>
                    <w:bottom w:val="none" w:sz="0" w:space="0" w:color="auto"/>
                    <w:right w:val="none" w:sz="0" w:space="0" w:color="auto"/>
                  </w:divBdr>
                  <w:divsChild>
                    <w:div w:id="233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758494">
      <w:bodyDiv w:val="1"/>
      <w:marLeft w:val="0"/>
      <w:marRight w:val="0"/>
      <w:marTop w:val="0"/>
      <w:marBottom w:val="0"/>
      <w:divBdr>
        <w:top w:val="none" w:sz="0" w:space="0" w:color="auto"/>
        <w:left w:val="none" w:sz="0" w:space="0" w:color="auto"/>
        <w:bottom w:val="none" w:sz="0" w:space="0" w:color="auto"/>
        <w:right w:val="none" w:sz="0" w:space="0" w:color="auto"/>
      </w:divBdr>
    </w:div>
    <w:div w:id="1998414731">
      <w:bodyDiv w:val="1"/>
      <w:marLeft w:val="0"/>
      <w:marRight w:val="0"/>
      <w:marTop w:val="0"/>
      <w:marBottom w:val="0"/>
      <w:divBdr>
        <w:top w:val="none" w:sz="0" w:space="0" w:color="auto"/>
        <w:left w:val="none" w:sz="0" w:space="0" w:color="auto"/>
        <w:bottom w:val="none" w:sz="0" w:space="0" w:color="auto"/>
        <w:right w:val="none" w:sz="0" w:space="0" w:color="auto"/>
      </w:divBdr>
      <w:divsChild>
        <w:div w:id="1651329416">
          <w:marLeft w:val="0"/>
          <w:marRight w:val="0"/>
          <w:marTop w:val="0"/>
          <w:marBottom w:val="0"/>
          <w:divBdr>
            <w:top w:val="none" w:sz="0" w:space="0" w:color="auto"/>
            <w:left w:val="none" w:sz="0" w:space="0" w:color="auto"/>
            <w:bottom w:val="none" w:sz="0" w:space="0" w:color="auto"/>
            <w:right w:val="none" w:sz="0" w:space="0" w:color="auto"/>
          </w:divBdr>
          <w:divsChild>
            <w:div w:id="782575998">
              <w:marLeft w:val="0"/>
              <w:marRight w:val="0"/>
              <w:marTop w:val="0"/>
              <w:marBottom w:val="0"/>
              <w:divBdr>
                <w:top w:val="none" w:sz="0" w:space="0" w:color="auto"/>
                <w:left w:val="none" w:sz="0" w:space="0" w:color="auto"/>
                <w:bottom w:val="none" w:sz="0" w:space="0" w:color="auto"/>
                <w:right w:val="none" w:sz="0" w:space="0" w:color="auto"/>
              </w:divBdr>
              <w:divsChild>
                <w:div w:id="1908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54882">
      <w:bodyDiv w:val="1"/>
      <w:marLeft w:val="0"/>
      <w:marRight w:val="0"/>
      <w:marTop w:val="0"/>
      <w:marBottom w:val="0"/>
      <w:divBdr>
        <w:top w:val="none" w:sz="0" w:space="0" w:color="auto"/>
        <w:left w:val="none" w:sz="0" w:space="0" w:color="auto"/>
        <w:bottom w:val="none" w:sz="0" w:space="0" w:color="auto"/>
        <w:right w:val="none" w:sz="0" w:space="0" w:color="auto"/>
      </w:divBdr>
    </w:div>
    <w:div w:id="2014141006">
      <w:bodyDiv w:val="1"/>
      <w:marLeft w:val="0"/>
      <w:marRight w:val="0"/>
      <w:marTop w:val="0"/>
      <w:marBottom w:val="0"/>
      <w:divBdr>
        <w:top w:val="none" w:sz="0" w:space="0" w:color="auto"/>
        <w:left w:val="none" w:sz="0" w:space="0" w:color="auto"/>
        <w:bottom w:val="none" w:sz="0" w:space="0" w:color="auto"/>
        <w:right w:val="none" w:sz="0" w:space="0" w:color="auto"/>
      </w:divBdr>
    </w:div>
    <w:div w:id="2014989659">
      <w:bodyDiv w:val="1"/>
      <w:marLeft w:val="0"/>
      <w:marRight w:val="0"/>
      <w:marTop w:val="0"/>
      <w:marBottom w:val="0"/>
      <w:divBdr>
        <w:top w:val="none" w:sz="0" w:space="0" w:color="auto"/>
        <w:left w:val="none" w:sz="0" w:space="0" w:color="auto"/>
        <w:bottom w:val="none" w:sz="0" w:space="0" w:color="auto"/>
        <w:right w:val="none" w:sz="0" w:space="0" w:color="auto"/>
      </w:divBdr>
    </w:div>
    <w:div w:id="2035184206">
      <w:bodyDiv w:val="1"/>
      <w:marLeft w:val="0"/>
      <w:marRight w:val="0"/>
      <w:marTop w:val="0"/>
      <w:marBottom w:val="0"/>
      <w:divBdr>
        <w:top w:val="none" w:sz="0" w:space="0" w:color="auto"/>
        <w:left w:val="none" w:sz="0" w:space="0" w:color="auto"/>
        <w:bottom w:val="none" w:sz="0" w:space="0" w:color="auto"/>
        <w:right w:val="none" w:sz="0" w:space="0" w:color="auto"/>
      </w:divBdr>
    </w:div>
    <w:div w:id="2049648846">
      <w:bodyDiv w:val="1"/>
      <w:marLeft w:val="0"/>
      <w:marRight w:val="0"/>
      <w:marTop w:val="0"/>
      <w:marBottom w:val="0"/>
      <w:divBdr>
        <w:top w:val="none" w:sz="0" w:space="0" w:color="auto"/>
        <w:left w:val="none" w:sz="0" w:space="0" w:color="auto"/>
        <w:bottom w:val="none" w:sz="0" w:space="0" w:color="auto"/>
        <w:right w:val="none" w:sz="0" w:space="0" w:color="auto"/>
      </w:divBdr>
      <w:divsChild>
        <w:div w:id="898981231">
          <w:marLeft w:val="0"/>
          <w:marRight w:val="0"/>
          <w:marTop w:val="0"/>
          <w:marBottom w:val="0"/>
          <w:divBdr>
            <w:top w:val="none" w:sz="0" w:space="0" w:color="auto"/>
            <w:left w:val="none" w:sz="0" w:space="0" w:color="auto"/>
            <w:bottom w:val="none" w:sz="0" w:space="0" w:color="auto"/>
            <w:right w:val="none" w:sz="0" w:space="0" w:color="auto"/>
          </w:divBdr>
          <w:divsChild>
            <w:div w:id="12851740">
              <w:marLeft w:val="0"/>
              <w:marRight w:val="0"/>
              <w:marTop w:val="0"/>
              <w:marBottom w:val="0"/>
              <w:divBdr>
                <w:top w:val="none" w:sz="0" w:space="0" w:color="auto"/>
                <w:left w:val="none" w:sz="0" w:space="0" w:color="auto"/>
                <w:bottom w:val="none" w:sz="0" w:space="0" w:color="auto"/>
                <w:right w:val="none" w:sz="0" w:space="0" w:color="auto"/>
              </w:divBdr>
            </w:div>
          </w:divsChild>
        </w:div>
        <w:div w:id="1722367028">
          <w:marLeft w:val="0"/>
          <w:marRight w:val="0"/>
          <w:marTop w:val="0"/>
          <w:marBottom w:val="0"/>
          <w:divBdr>
            <w:top w:val="none" w:sz="0" w:space="0" w:color="auto"/>
            <w:left w:val="none" w:sz="0" w:space="0" w:color="auto"/>
            <w:bottom w:val="none" w:sz="0" w:space="0" w:color="auto"/>
            <w:right w:val="none" w:sz="0" w:space="0" w:color="auto"/>
          </w:divBdr>
          <w:divsChild>
            <w:div w:id="189491080">
              <w:marLeft w:val="0"/>
              <w:marRight w:val="0"/>
              <w:marTop w:val="0"/>
              <w:marBottom w:val="0"/>
              <w:divBdr>
                <w:top w:val="none" w:sz="0" w:space="0" w:color="auto"/>
                <w:left w:val="none" w:sz="0" w:space="0" w:color="auto"/>
                <w:bottom w:val="none" w:sz="0" w:space="0" w:color="auto"/>
                <w:right w:val="none" w:sz="0" w:space="0" w:color="auto"/>
              </w:divBdr>
            </w:div>
          </w:divsChild>
        </w:div>
        <w:div w:id="2116364171">
          <w:marLeft w:val="0"/>
          <w:marRight w:val="0"/>
          <w:marTop w:val="0"/>
          <w:marBottom w:val="0"/>
          <w:divBdr>
            <w:top w:val="none" w:sz="0" w:space="0" w:color="auto"/>
            <w:left w:val="none" w:sz="0" w:space="0" w:color="auto"/>
            <w:bottom w:val="none" w:sz="0" w:space="0" w:color="auto"/>
            <w:right w:val="none" w:sz="0" w:space="0" w:color="auto"/>
          </w:divBdr>
          <w:divsChild>
            <w:div w:id="18215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7135">
      <w:bodyDiv w:val="1"/>
      <w:marLeft w:val="0"/>
      <w:marRight w:val="0"/>
      <w:marTop w:val="0"/>
      <w:marBottom w:val="0"/>
      <w:divBdr>
        <w:top w:val="none" w:sz="0" w:space="0" w:color="auto"/>
        <w:left w:val="none" w:sz="0" w:space="0" w:color="auto"/>
        <w:bottom w:val="none" w:sz="0" w:space="0" w:color="auto"/>
        <w:right w:val="none" w:sz="0" w:space="0" w:color="auto"/>
      </w:divBdr>
    </w:div>
    <w:div w:id="2091461006">
      <w:bodyDiv w:val="1"/>
      <w:marLeft w:val="0"/>
      <w:marRight w:val="0"/>
      <w:marTop w:val="0"/>
      <w:marBottom w:val="0"/>
      <w:divBdr>
        <w:top w:val="none" w:sz="0" w:space="0" w:color="auto"/>
        <w:left w:val="none" w:sz="0" w:space="0" w:color="auto"/>
        <w:bottom w:val="none" w:sz="0" w:space="0" w:color="auto"/>
        <w:right w:val="none" w:sz="0" w:space="0" w:color="auto"/>
      </w:divBdr>
      <w:divsChild>
        <w:div w:id="1666587209">
          <w:marLeft w:val="0"/>
          <w:marRight w:val="0"/>
          <w:marTop w:val="0"/>
          <w:marBottom w:val="0"/>
          <w:divBdr>
            <w:top w:val="none" w:sz="0" w:space="0" w:color="auto"/>
            <w:left w:val="none" w:sz="0" w:space="0" w:color="auto"/>
            <w:bottom w:val="none" w:sz="0" w:space="0" w:color="auto"/>
            <w:right w:val="none" w:sz="0" w:space="0" w:color="auto"/>
          </w:divBdr>
          <w:divsChild>
            <w:div w:id="553657242">
              <w:marLeft w:val="0"/>
              <w:marRight w:val="0"/>
              <w:marTop w:val="0"/>
              <w:marBottom w:val="0"/>
              <w:divBdr>
                <w:top w:val="none" w:sz="0" w:space="0" w:color="auto"/>
                <w:left w:val="none" w:sz="0" w:space="0" w:color="auto"/>
                <w:bottom w:val="none" w:sz="0" w:space="0" w:color="auto"/>
                <w:right w:val="none" w:sz="0" w:space="0" w:color="auto"/>
              </w:divBdr>
              <w:divsChild>
                <w:div w:id="1688406668">
                  <w:marLeft w:val="0"/>
                  <w:marRight w:val="0"/>
                  <w:marTop w:val="0"/>
                  <w:marBottom w:val="0"/>
                  <w:divBdr>
                    <w:top w:val="none" w:sz="0" w:space="0" w:color="auto"/>
                    <w:left w:val="none" w:sz="0" w:space="0" w:color="auto"/>
                    <w:bottom w:val="none" w:sz="0" w:space="0" w:color="auto"/>
                    <w:right w:val="none" w:sz="0" w:space="0" w:color="auto"/>
                  </w:divBdr>
                  <w:divsChild>
                    <w:div w:id="7743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19228">
      <w:bodyDiv w:val="1"/>
      <w:marLeft w:val="0"/>
      <w:marRight w:val="0"/>
      <w:marTop w:val="0"/>
      <w:marBottom w:val="0"/>
      <w:divBdr>
        <w:top w:val="none" w:sz="0" w:space="0" w:color="auto"/>
        <w:left w:val="none" w:sz="0" w:space="0" w:color="auto"/>
        <w:bottom w:val="none" w:sz="0" w:space="0" w:color="auto"/>
        <w:right w:val="none" w:sz="0" w:space="0" w:color="auto"/>
      </w:divBdr>
      <w:divsChild>
        <w:div w:id="1202549928">
          <w:marLeft w:val="0"/>
          <w:marRight w:val="0"/>
          <w:marTop w:val="0"/>
          <w:marBottom w:val="0"/>
          <w:divBdr>
            <w:top w:val="none" w:sz="0" w:space="0" w:color="auto"/>
            <w:left w:val="none" w:sz="0" w:space="0" w:color="auto"/>
            <w:bottom w:val="none" w:sz="0" w:space="0" w:color="auto"/>
            <w:right w:val="none" w:sz="0" w:space="0" w:color="auto"/>
          </w:divBdr>
          <w:divsChild>
            <w:div w:id="793788919">
              <w:marLeft w:val="0"/>
              <w:marRight w:val="0"/>
              <w:marTop w:val="0"/>
              <w:marBottom w:val="0"/>
              <w:divBdr>
                <w:top w:val="none" w:sz="0" w:space="0" w:color="auto"/>
                <w:left w:val="none" w:sz="0" w:space="0" w:color="auto"/>
                <w:bottom w:val="none" w:sz="0" w:space="0" w:color="auto"/>
                <w:right w:val="none" w:sz="0" w:space="0" w:color="auto"/>
              </w:divBdr>
              <w:divsChild>
                <w:div w:id="5207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4606">
      <w:bodyDiv w:val="1"/>
      <w:marLeft w:val="0"/>
      <w:marRight w:val="0"/>
      <w:marTop w:val="0"/>
      <w:marBottom w:val="0"/>
      <w:divBdr>
        <w:top w:val="none" w:sz="0" w:space="0" w:color="auto"/>
        <w:left w:val="none" w:sz="0" w:space="0" w:color="auto"/>
        <w:bottom w:val="none" w:sz="0" w:space="0" w:color="auto"/>
        <w:right w:val="none" w:sz="0" w:space="0" w:color="auto"/>
      </w:divBdr>
      <w:divsChild>
        <w:div w:id="1883131816">
          <w:marLeft w:val="0"/>
          <w:marRight w:val="0"/>
          <w:marTop w:val="0"/>
          <w:marBottom w:val="0"/>
          <w:divBdr>
            <w:top w:val="none" w:sz="0" w:space="0" w:color="auto"/>
            <w:left w:val="none" w:sz="0" w:space="0" w:color="auto"/>
            <w:bottom w:val="none" w:sz="0" w:space="0" w:color="auto"/>
            <w:right w:val="none" w:sz="0" w:space="0" w:color="auto"/>
          </w:divBdr>
          <w:divsChild>
            <w:div w:id="1136602235">
              <w:marLeft w:val="0"/>
              <w:marRight w:val="0"/>
              <w:marTop w:val="0"/>
              <w:marBottom w:val="0"/>
              <w:divBdr>
                <w:top w:val="none" w:sz="0" w:space="0" w:color="auto"/>
                <w:left w:val="none" w:sz="0" w:space="0" w:color="auto"/>
                <w:bottom w:val="none" w:sz="0" w:space="0" w:color="auto"/>
                <w:right w:val="none" w:sz="0" w:space="0" w:color="auto"/>
              </w:divBdr>
              <w:divsChild>
                <w:div w:id="21047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66594">
      <w:bodyDiv w:val="1"/>
      <w:marLeft w:val="0"/>
      <w:marRight w:val="0"/>
      <w:marTop w:val="0"/>
      <w:marBottom w:val="0"/>
      <w:divBdr>
        <w:top w:val="none" w:sz="0" w:space="0" w:color="auto"/>
        <w:left w:val="none" w:sz="0" w:space="0" w:color="auto"/>
        <w:bottom w:val="none" w:sz="0" w:space="0" w:color="auto"/>
        <w:right w:val="none" w:sz="0" w:space="0" w:color="auto"/>
      </w:divBdr>
    </w:div>
    <w:div w:id="2099476567">
      <w:bodyDiv w:val="1"/>
      <w:marLeft w:val="0"/>
      <w:marRight w:val="0"/>
      <w:marTop w:val="0"/>
      <w:marBottom w:val="0"/>
      <w:divBdr>
        <w:top w:val="none" w:sz="0" w:space="0" w:color="auto"/>
        <w:left w:val="none" w:sz="0" w:space="0" w:color="auto"/>
        <w:bottom w:val="none" w:sz="0" w:space="0" w:color="auto"/>
        <w:right w:val="none" w:sz="0" w:space="0" w:color="auto"/>
      </w:divBdr>
    </w:div>
    <w:div w:id="2101640321">
      <w:bodyDiv w:val="1"/>
      <w:marLeft w:val="0"/>
      <w:marRight w:val="0"/>
      <w:marTop w:val="0"/>
      <w:marBottom w:val="0"/>
      <w:divBdr>
        <w:top w:val="none" w:sz="0" w:space="0" w:color="auto"/>
        <w:left w:val="none" w:sz="0" w:space="0" w:color="auto"/>
        <w:bottom w:val="none" w:sz="0" w:space="0" w:color="auto"/>
        <w:right w:val="none" w:sz="0" w:space="0" w:color="auto"/>
      </w:divBdr>
    </w:div>
    <w:div w:id="2127113930">
      <w:bodyDiv w:val="1"/>
      <w:marLeft w:val="0"/>
      <w:marRight w:val="0"/>
      <w:marTop w:val="0"/>
      <w:marBottom w:val="0"/>
      <w:divBdr>
        <w:top w:val="none" w:sz="0" w:space="0" w:color="auto"/>
        <w:left w:val="none" w:sz="0" w:space="0" w:color="auto"/>
        <w:bottom w:val="none" w:sz="0" w:space="0" w:color="auto"/>
        <w:right w:val="none" w:sz="0" w:space="0" w:color="auto"/>
      </w:divBdr>
      <w:divsChild>
        <w:div w:id="779299573">
          <w:marLeft w:val="0"/>
          <w:marRight w:val="0"/>
          <w:marTop w:val="0"/>
          <w:marBottom w:val="0"/>
          <w:divBdr>
            <w:top w:val="none" w:sz="0" w:space="0" w:color="auto"/>
            <w:left w:val="none" w:sz="0" w:space="0" w:color="auto"/>
            <w:bottom w:val="none" w:sz="0" w:space="0" w:color="auto"/>
            <w:right w:val="none" w:sz="0" w:space="0" w:color="auto"/>
          </w:divBdr>
          <w:divsChild>
            <w:div w:id="723986589">
              <w:marLeft w:val="0"/>
              <w:marRight w:val="0"/>
              <w:marTop w:val="0"/>
              <w:marBottom w:val="0"/>
              <w:divBdr>
                <w:top w:val="none" w:sz="0" w:space="0" w:color="auto"/>
                <w:left w:val="none" w:sz="0" w:space="0" w:color="auto"/>
                <w:bottom w:val="none" w:sz="0" w:space="0" w:color="auto"/>
                <w:right w:val="none" w:sz="0" w:space="0" w:color="auto"/>
              </w:divBdr>
              <w:divsChild>
                <w:div w:id="861631611">
                  <w:marLeft w:val="0"/>
                  <w:marRight w:val="0"/>
                  <w:marTop w:val="0"/>
                  <w:marBottom w:val="0"/>
                  <w:divBdr>
                    <w:top w:val="none" w:sz="0" w:space="0" w:color="auto"/>
                    <w:left w:val="none" w:sz="0" w:space="0" w:color="auto"/>
                    <w:bottom w:val="none" w:sz="0" w:space="0" w:color="auto"/>
                    <w:right w:val="none" w:sz="0" w:space="0" w:color="auto"/>
                  </w:divBdr>
                  <w:divsChild>
                    <w:div w:id="11490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67114">
      <w:bodyDiv w:val="1"/>
      <w:marLeft w:val="0"/>
      <w:marRight w:val="0"/>
      <w:marTop w:val="0"/>
      <w:marBottom w:val="0"/>
      <w:divBdr>
        <w:top w:val="none" w:sz="0" w:space="0" w:color="auto"/>
        <w:left w:val="none" w:sz="0" w:space="0" w:color="auto"/>
        <w:bottom w:val="none" w:sz="0" w:space="0" w:color="auto"/>
        <w:right w:val="none" w:sz="0" w:space="0" w:color="auto"/>
      </w:divBdr>
      <w:divsChild>
        <w:div w:id="663554499">
          <w:marLeft w:val="0"/>
          <w:marRight w:val="0"/>
          <w:marTop w:val="0"/>
          <w:marBottom w:val="0"/>
          <w:divBdr>
            <w:top w:val="none" w:sz="0" w:space="0" w:color="auto"/>
            <w:left w:val="none" w:sz="0" w:space="0" w:color="auto"/>
            <w:bottom w:val="none" w:sz="0" w:space="0" w:color="auto"/>
            <w:right w:val="none" w:sz="0" w:space="0" w:color="auto"/>
          </w:divBdr>
          <w:divsChild>
            <w:div w:id="39013065">
              <w:marLeft w:val="0"/>
              <w:marRight w:val="0"/>
              <w:marTop w:val="0"/>
              <w:marBottom w:val="0"/>
              <w:divBdr>
                <w:top w:val="none" w:sz="0" w:space="0" w:color="auto"/>
                <w:left w:val="none" w:sz="0" w:space="0" w:color="auto"/>
                <w:bottom w:val="none" w:sz="0" w:space="0" w:color="auto"/>
                <w:right w:val="none" w:sz="0" w:space="0" w:color="auto"/>
              </w:divBdr>
              <w:divsChild>
                <w:div w:id="324019069">
                  <w:marLeft w:val="0"/>
                  <w:marRight w:val="0"/>
                  <w:marTop w:val="0"/>
                  <w:marBottom w:val="0"/>
                  <w:divBdr>
                    <w:top w:val="none" w:sz="0" w:space="0" w:color="auto"/>
                    <w:left w:val="none" w:sz="0" w:space="0" w:color="auto"/>
                    <w:bottom w:val="none" w:sz="0" w:space="0" w:color="auto"/>
                    <w:right w:val="none" w:sz="0" w:space="0" w:color="auto"/>
                  </w:divBdr>
                  <w:divsChild>
                    <w:div w:id="2515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46415">
      <w:bodyDiv w:val="1"/>
      <w:marLeft w:val="0"/>
      <w:marRight w:val="0"/>
      <w:marTop w:val="0"/>
      <w:marBottom w:val="0"/>
      <w:divBdr>
        <w:top w:val="none" w:sz="0" w:space="0" w:color="auto"/>
        <w:left w:val="none" w:sz="0" w:space="0" w:color="auto"/>
        <w:bottom w:val="none" w:sz="0" w:space="0" w:color="auto"/>
        <w:right w:val="none" w:sz="0" w:space="0" w:color="auto"/>
      </w:divBdr>
    </w:div>
    <w:div w:id="2142192600">
      <w:bodyDiv w:val="1"/>
      <w:marLeft w:val="0"/>
      <w:marRight w:val="0"/>
      <w:marTop w:val="0"/>
      <w:marBottom w:val="0"/>
      <w:divBdr>
        <w:top w:val="none" w:sz="0" w:space="0" w:color="auto"/>
        <w:left w:val="none" w:sz="0" w:space="0" w:color="auto"/>
        <w:bottom w:val="none" w:sz="0" w:space="0" w:color="auto"/>
        <w:right w:val="none" w:sz="0" w:space="0" w:color="auto"/>
      </w:divBdr>
    </w:div>
    <w:div w:id="214376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hyperlink" Target="https://github.com/jcsyme/sisepuede" TargetMode="External"/><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hyperlink" Target="https://publications.iadb.org/en/decarbonising-transport-latin-american-cities-assessing-scenarios-205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emf"/><Relationship Id="rId29" Type="http://schemas.openxmlformats.org/officeDocument/2006/relationships/hyperlink" Target="http://www.climatewatchdata.org" TargetMode="External"/><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isepuede.readthedocs.io" TargetMode="External"/><Relationship Id="rId32" Type="http://schemas.openxmlformats.org/officeDocument/2006/relationships/hyperlink" Target="https://www.mckinsey.com/~/media/McKinsey/Industries/Metals%20and%20Mining/Our%20Insights/Decarbonization%20challenge%20for%20steel/Decarbonization-challenge-for-steel.pdf"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hubresiduoscirculares.org/en/" TargetMode="External"/><Relationship Id="rId36" Type="http://schemas.openxmlformats.org/officeDocument/2006/relationships/hyperlink" Target="https://www.transit.dot.gov/ntd" TargetMode="Externa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hyperlink" Target="https://www.eea.europa.eu/data-and-maps/indicators/occupancy-rates-of-passenger-vehic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https://hub.docker.com/r/jsyme816/sisepuede" TargetMode="External"/><Relationship Id="rId30" Type="http://schemas.openxmlformats.org/officeDocument/2006/relationships/hyperlink" Target="https://cfpub.epa.gov/ghgdata/nonco2/" TargetMode="External"/><Relationship Id="rId35" Type="http://schemas.openxmlformats.org/officeDocument/2006/relationships/hyperlink" Target="https://ops.fhwa.dot.gov/freigh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sei-international/NemoMod.jl" TargetMode="External"/><Relationship Id="rId33" Type="http://schemas.openxmlformats.org/officeDocument/2006/relationships/hyperlink" Target="https://www.oecd.org/statistics/data-collection/transport.htm" TargetMode="Externa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9F5761-4C12-6C47-82BB-94DA5C543EC8}">
  <we:reference id="22ff87a5-132f-4d52-9e97-94d888e4dd91" version="2.1.1.0" store="EXCatalog" storeType="EXCatalog"/>
  <we:alternateReferences>
    <we:reference id="WA104380050" version="2.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officeatwork_recipients_cc xmlns="b5e14d95-903c-41e6-a0ad-cfa804baecdf" xsi:nil="true"/>
    <officeatwork_subject xmlns="b5e14d95-903c-41e6-a0ad-cfa804baecdf" xsi:nil="true"/>
    <officeatwork_recipients_to xmlns="b5e14d95-903c-41e6-a0ad-cfa804baecdf" xsi:nil="true"/>
    <officeatwork_recipients_bcc xmlns="b5e14d95-903c-41e6-a0ad-cfa804baecd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F00E9C19A13D479AE13CB606009E34" ma:contentTypeVersion="12" ma:contentTypeDescription="Create a new document." ma:contentTypeScope="" ma:versionID="169d54ac69fca1e92dfec41b452512be">
  <xsd:schema xmlns:xsd="http://www.w3.org/2001/XMLSchema" xmlns:xs="http://www.w3.org/2001/XMLSchema" xmlns:p="http://schemas.microsoft.com/office/2006/metadata/properties" xmlns:ns2="b5e14d95-903c-41e6-a0ad-cfa804baecdf" xmlns:ns3="74071f42-31ca-4d81-b702-4c37ffc4fcd4" targetNamespace="http://schemas.microsoft.com/office/2006/metadata/properties" ma:root="true" ma:fieldsID="339fb69d133326ecac674949b53b8d22" ns2:_="" ns3:_="">
    <xsd:import namespace="b5e14d95-903c-41e6-a0ad-cfa804baecdf"/>
    <xsd:import namespace="74071f42-31ca-4d81-b702-4c37ffc4fcd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officeatwork_subject" minOccurs="0"/>
                <xsd:element ref="ns2:officeatwork_recipients_to" minOccurs="0"/>
                <xsd:element ref="ns2:officeatwork_recipients_cc" minOccurs="0"/>
                <xsd:element ref="ns2:officeatwork_recipients_bcc"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14d95-903c-41e6-a0ad-cfa804baec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officeatwork_subject" ma:index="12" nillable="true" ma:displayName="officeatwork_subject" ma:internalName="officeatwork_subject">
      <xsd:simpleType>
        <xsd:restriction base="dms:Text">
          <xsd:maxLength value="255"/>
        </xsd:restriction>
      </xsd:simpleType>
    </xsd:element>
    <xsd:element name="officeatwork_recipients_to" ma:index="13" nillable="true" ma:displayName="officeatwork_recipients_to" ma:internalName="officeatwork_recipients_to">
      <xsd:simpleType>
        <xsd:restriction base="dms:Text">
          <xsd:maxLength value="255"/>
        </xsd:restriction>
      </xsd:simpleType>
    </xsd:element>
    <xsd:element name="officeatwork_recipients_cc" ma:index="14" nillable="true" ma:displayName="officeatwork_recipients_cc" ma:internalName="officeatwork_recipients_cc">
      <xsd:simpleType>
        <xsd:restriction base="dms:Text">
          <xsd:maxLength value="255"/>
        </xsd:restriction>
      </xsd:simpleType>
    </xsd:element>
    <xsd:element name="officeatwork_recipients_bcc" ma:index="15" nillable="true" ma:displayName="officeatwork_recipients_bcc" ma:internalName="officeatwork_recipients_bcc">
      <xsd:simpleType>
        <xsd:restriction base="dms:Text">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071f42-31ca-4d81-b702-4c37ffc4fcd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37D77-2EAF-46F1-8EB5-AF6E068E3F93}">
  <ds:schemaRefs>
    <ds:schemaRef ds:uri="http://schemas.microsoft.com/sharepoint/v3/contenttype/forms"/>
  </ds:schemaRefs>
</ds:datastoreItem>
</file>

<file path=customXml/itemProps2.xml><?xml version="1.0" encoding="utf-8"?>
<ds:datastoreItem xmlns:ds="http://schemas.openxmlformats.org/officeDocument/2006/customXml" ds:itemID="{1D3DE511-8A1D-4CA9-976E-468837D5DD13}">
  <ds:schemaRefs>
    <ds:schemaRef ds:uri="http://schemas.microsoft.com/office/2006/metadata/properties"/>
    <ds:schemaRef ds:uri="http://schemas.microsoft.com/office/infopath/2007/PartnerControls"/>
    <ds:schemaRef ds:uri="b5e14d95-903c-41e6-a0ad-cfa804baecdf"/>
  </ds:schemaRefs>
</ds:datastoreItem>
</file>

<file path=customXml/itemProps3.xml><?xml version="1.0" encoding="utf-8"?>
<ds:datastoreItem xmlns:ds="http://schemas.openxmlformats.org/officeDocument/2006/customXml" ds:itemID="{ED464C63-F77B-4D2B-BD3F-8796ACA41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e14d95-903c-41e6-a0ad-cfa804baecdf"/>
    <ds:schemaRef ds:uri="74071f42-31ca-4d81-b702-4c37ffc4fc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F110D6-8DFC-493C-8038-EAA79AD19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44</Pages>
  <Words>22106</Words>
  <Characters>121585</Characters>
  <Application>Microsoft Office Word</Application>
  <DocSecurity>0</DocSecurity>
  <Lines>1013</Lines>
  <Paragraphs>286</Paragraphs>
  <ScaleCrop>false</ScaleCrop>
  <Manager/>
  <Company>The RAND Corporation</Company>
  <LinksUpToDate>false</LinksUpToDate>
  <CharactersWithSpaces>143405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 Long-Document Template</dc:title>
  <dc:subject/>
  <dc:creator>Nidhi Kalra</dc:creator>
  <cp:keywords/>
  <dc:description/>
  <cp:lastModifiedBy>Edmundo Molina Perez</cp:lastModifiedBy>
  <cp:revision>58</cp:revision>
  <cp:lastPrinted>2022-05-12T21:42:00Z</cp:lastPrinted>
  <dcterms:created xsi:type="dcterms:W3CDTF">2023-11-24T02:39:00Z</dcterms:created>
  <dcterms:modified xsi:type="dcterms:W3CDTF">2023-11-30T18:05:00Z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0x01010081F00E9C19A13D479AE13CB606009E34</vt:lpwstr>
  </property>
</Properties>
</file>