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w:body>
    <w:p>
      <w:r>
        <w:fldChar w:fldCharType="begin"/>
      </w:r>
      <w:r>
        <w:instrText xml:space="preserve"> TOC \o "1-3" \h \z \u </w:instrText>
      </w:r>
      <w:r>
        <w:fldChar w:fldCharType="separate"/>
      </w:r>
      <w:r>
        <w:t>Right-click and update field to see table of contents.</w:t>
      </w:r>
      <w:r>
        <w:fldChar w:fldCharType="end"/>
      </w:r>
    </w:p>
    <w:p>
      <w:r>
        <w:fldChar w:fldCharType="begin"/>
      </w:r>
      <w:r>
        <w:instrText xml:space="preserve"> TOC \o "1-3" \h \z \u </w:instrText>
      </w:r>
      <w:r>
        <w:fldChar w:fldCharType="separate"/>
      </w:r>
      <w:r>
        <w:t>Right-click and update field to see table of contents.</w:t>
      </w:r>
      <w:r>
        <w:fldChar w:fldCharType="end"/>
      </w:r>
    </w:p>
    <w:p>
      <w:r>
        <w:fldChar w:fldCharType="begin"/>
      </w:r>
      <w:r>
        <w:instrText xml:space="preserve"> TOC \o "1-3" \h \z \u </w:instrText>
      </w:r>
      <w:r>
        <w:fldChar w:fldCharType="separate"/>
      </w:r>
      <w:r>
        <w:t>Right-click and update field to see table of contents.</w:t>
      </w:r>
      <w:r>
        <w:fldChar w:fldCharType="end"/>
      </w:r>
    </w:p>
    <w:p>
      <w:pPr>
        <w:pStyle w:val="Heading1"/>
        <w:ind w:firstLine="0"/>
        <w:jc w:val="center"/>
      </w:pPr>
      <w:bookmarkStart w:id="0" w:name="chap1"/>
      <w:bookmarkEnd w:id="0"/>
      <w:r>
        <w:t xml:space="preserve">1. </w:t>
      </w:r>
      <w:r>
        <w:rPr>
          <w:sz w:val="30"/>
          <w:szCs w:val="30"/>
        </w:rPr>
        <w:t xml:space="preserve">Complejidad Económica de Honduras</w:t>
      </w:r>
    </w:p>
    <w:p>
      <w:pPr>
        <w:pStyle w:val="Heading2"/>
      </w:pPr>
      <w:r>
        <w:t xml:space="preserve">1.1 Hechos estilizados de la Economía de Honduras</w:t>
      </w:r>
    </w:p>
    <w:p>
      <w:pPr>
        <w:ind w:firstLine="0"/>
      </w:pPr>
      <w:r>
        <w:t xml:space="preserve">En los últimos 30 años, Honduras ha registrado el crecimiento económico más bajo entre sus pares, manteniéndose rezagado de forma persistente con la excepción del periodo 2000–2010.​</w:t>
      </w:r>
    </w:p>
    <w:p>
      <w:r>
        <w:drawing>
          <wp:inline distT="0" distB="0" distL="0" distR="0">
            <wp:extent cx="8629650" cy="4152900"/>
            <wp:docPr id="1" name="Image1"/>
            <a:graphic xmlns:a="http://schemas.openxmlformats.org/drawingml/2006/main">
              <a:graphicData uri="http://schemas.openxmlformats.org/drawingml/2006/picture">
                <pic:pic xmlns:pic="http://schemas.openxmlformats.org/drawingml/2006/picture">
                  <pic:nvPicPr>
                    <pic:cNvPr id="1" name="image1.png"/>
                    <pic:cNvPicPr/>
                  </pic:nvPicPr>
                  <pic:blipFill>
                    <a:blip r:embed="rId6"/>
                    <a:stretch>
                      <a:fillRect/>
                    </a:stretch>
                  </pic:blipFill>
                  <pic:spPr>
                    <a:xfrm>
                      <a:off x="0" y="0"/>
                      <a:ext cx="8629650" cy="4152900"/>
                    </a:xfrm>
                    <a:prstGeom prst="rect">
                      <a:avLst/>
                    </a:prstGeom>
                  </pic:spPr>
                </pic:pic>
              </a:graphicData>
            </a:graphic>
          </wp:inline>
        </w:drawing>
      </w:r>
    </w:p>
    <w:p>
      <w:pPr>
        <w:ind w:firstLine="0"/>
        <w:jc w:val="center"/>
      </w:pPr>
      <w:r>
        <w:t xml:space="preserve">Figure </w:t>
      </w:r>
      <w:r>
        <w:rPr>
          <w:b/>
        </w:rPr>
        <w:t xml:space="preserve">1.1</w:t>
      </w:r>
      <w:r>
        <w:t xml:space="preserve">: System architecture diagram extracted from PDF source.</w:t>
      </w:r>
    </w:p>
    <w:p>
      <w:r>
        <w:t xml:space="preserve">El crecimiento ha estado impulsado por el consumo, con una alta dependencia de las remesas, que ascienden al 30% del PIB, y que, a la vez, ha generado un déficit comercial cada vez más grande​. El Consumo explica típicamente la mayor parte del crecimiento del PIB en Honduras​. Las exportaciones han aportado cada vez menos al crecimiento económico, aunque a inicios de los años 2000 su contribución fue importante.​ El déficit comercial se ha ampliado considerablemente, debido a que las importaciones han crecido a ritmos mucho más acelerados que las exportaciones​</w:t>
      </w:r>
    </w:p>
    <w:p>
      <w:r>
        <w:drawing>
          <wp:inline distT="0" distB="0" distL="0" distR="0">
            <wp:extent cx="6534150" cy="4067175"/>
            <wp:docPr id="2" name="Image2"/>
            <a:graphic xmlns:a="http://schemas.openxmlformats.org/drawingml/2006/main">
              <a:graphicData uri="http://schemas.openxmlformats.org/drawingml/2006/picture">
                <pic:pic xmlns:pic="http://schemas.openxmlformats.org/drawingml/2006/picture">
                  <pic:nvPicPr>
                    <pic:cNvPr id="2" name="image2.png"/>
                    <pic:cNvPicPr/>
                  </pic:nvPicPr>
                  <pic:blipFill>
                    <a:blip r:embed="rId7"/>
                    <a:stretch>
                      <a:fillRect/>
                    </a:stretch>
                  </pic:blipFill>
                  <pic:spPr>
                    <a:xfrm>
                      <a:off x="0" y="0"/>
                      <a:ext cx="6534150" cy="4067175"/>
                    </a:xfrm>
                    <a:prstGeom prst="rect">
                      <a:avLst/>
                    </a:prstGeom>
                  </pic:spPr>
                </pic:pic>
              </a:graphicData>
            </a:graphic>
          </wp:inline>
        </w:drawing>
      </w:r>
    </w:p>
    <w:p>
      <w:pPr>
        <w:ind w:firstLine="0"/>
        <w:jc w:val="center"/>
      </w:pPr>
      <w:r>
        <w:t xml:space="preserve">Figure </w:t>
      </w:r>
      <w:r>
        <w:rPr>
          <w:b/>
        </w:rPr>
        <w:t xml:space="preserve">1.2</w:t>
      </w:r>
      <w:r>
        <w:t xml:space="preserve">: System architecture diagram extracted from PDF source.</w:t>
      </w:r>
    </w:p>
    <w:p>
      <w:r>
        <w:t xml:space="preserve">El desempeño exportador ha estado rezagado frente al de sus pares, con excepción de la década 2000-2010, donde fueron impulsadas por los sectores agrícola y textil​. Salvo en la década de 2000–2010, el desempeño exportador ha quedado rezagado frente al de los países pares.​</w:t>
      </w:r>
    </w:p>
    <w:p>
      <w:r>
        <w:drawing>
          <wp:inline distT="0" distB="0" distL="0" distR="0">
            <wp:extent cx="8677275" cy="3752850"/>
            <wp:docPr id="3" name="Image3"/>
            <a:graphic xmlns:a="http://schemas.openxmlformats.org/drawingml/2006/main">
              <a:graphicData uri="http://schemas.openxmlformats.org/drawingml/2006/picture">
                <pic:pic xmlns:pic="http://schemas.openxmlformats.org/drawingml/2006/picture">
                  <pic:nvPicPr>
                    <pic:cNvPr id="3" name="image3.png"/>
                    <pic:cNvPicPr/>
                  </pic:nvPicPr>
                  <pic:blipFill>
                    <a:blip r:embed="rId8"/>
                    <a:stretch>
                      <a:fillRect/>
                    </a:stretch>
                  </pic:blipFill>
                  <pic:spPr>
                    <a:xfrm>
                      <a:off x="0" y="0"/>
                      <a:ext cx="8677275" cy="3752850"/>
                    </a:xfrm>
                    <a:prstGeom prst="rect">
                      <a:avLst/>
                    </a:prstGeom>
                  </pic:spPr>
                </pic:pic>
              </a:graphicData>
            </a:graphic>
          </wp:inline>
        </w:drawing>
      </w:r>
    </w:p>
    <w:p>
      <w:pPr>
        <w:ind w:firstLine="0"/>
        <w:jc w:val="center"/>
      </w:pPr>
      <w:r>
        <w:t xml:space="preserve">Figure </w:t>
      </w:r>
      <w:r>
        <w:rPr>
          <w:b/>
        </w:rPr>
        <w:t xml:space="preserve">1.3</w:t>
      </w:r>
      <w:r>
        <w:t xml:space="preserve">: System architecture diagram extracted from PDF source.</w:t>
      </w:r>
    </w:p>
    <w:p>
      <w:r>
        <w:t xml:space="preserve">Consistente con este patrón exportador y el impulso de las remesas sobre el consumo, la economía se ha orientado hacia el sector no transable, que alcanza el 66% del valor agregado.​ No solo que la productividad está estancada, la estructura productiva se está reorientando a una de bienes no transables que dependen de la demanda interna.​</w:t>
      </w:r>
    </w:p>
    <w:p>
      <w:r>
        <w:drawing>
          <wp:inline distT="0" distB="0" distL="0" distR="0">
            <wp:extent cx="8258175" cy="4076700"/>
            <wp:docPr id="4" name="Image4"/>
            <a:graphic xmlns:a="http://schemas.openxmlformats.org/drawingml/2006/main">
              <a:graphicData uri="http://schemas.openxmlformats.org/drawingml/2006/picture">
                <pic:pic xmlns:pic="http://schemas.openxmlformats.org/drawingml/2006/picture">
                  <pic:nvPicPr>
                    <pic:cNvPr id="4" name="image4.png"/>
                    <pic:cNvPicPr/>
                  </pic:nvPicPr>
                  <pic:blipFill>
                    <a:blip r:embed="rId9"/>
                    <a:stretch>
                      <a:fillRect/>
                    </a:stretch>
                  </pic:blipFill>
                  <pic:spPr>
                    <a:xfrm>
                      <a:off x="0" y="0"/>
                      <a:ext cx="8258175" cy="4076700"/>
                    </a:xfrm>
                    <a:prstGeom prst="rect">
                      <a:avLst/>
                    </a:prstGeom>
                  </pic:spPr>
                </pic:pic>
              </a:graphicData>
            </a:graphic>
          </wp:inline>
        </w:drawing>
      </w:r>
    </w:p>
    <w:p>
      <w:pPr>
        <w:ind w:firstLine="0"/>
        <w:jc w:val="center"/>
      </w:pPr>
      <w:r>
        <w:t xml:space="preserve">Figure </w:t>
      </w:r>
      <w:r>
        <w:rPr>
          <w:b/>
        </w:rPr>
        <w:t xml:space="preserve">1.4</w:t>
      </w:r>
      <w:r>
        <w:t xml:space="preserve">: System architecture diagram extracted from PDF source.</w:t>
      </w:r>
    </w:p>
    <w:p>
      <w:pPr>
        <w:pStyle w:val="Heading2"/>
      </w:pPr>
      <w:r>
        <w:t xml:space="preserve">1.2 La Complejidad Económica para el diseño de las estrategias de política industrial y diversificación productiva</w:t>
      </w:r>
    </w:p>
    <w:p>
      <w:pPr>
        <w:ind w:firstLine="0"/>
      </w:pPr>
      <w:r>
        <w:t xml:space="preserve">Para reorientar la economía hacia sectores transables y que las exportaciones retomen un papel principal en el crecimiento económico, se propone el análisis de complejidad económica​</w:t>
      </w:r>
      <w:r>
        <w:rPr>
          <w:color w:val="1982F3"/>
          <w:sz w:val="26"/>
          <w:szCs w:val="26"/>
        </w:rPr>
        <w:t xml:space="preserve">.</w:t>
      </w:r>
    </w:p>
    <w:p>
      <w:r>
        <w:t xml:space="preserve">El análisis de complejidad económica permite identificar el stock de capacidades productivas de un país y oportunidades de diversificación a través de la reutilización de esas capacidades.</w:t>
      </w:r>
    </w:p>
    <w:p>
      <w:r>
        <w:t xml:space="preserve">Hay dos principios para entender la importancia de la Complejidad Económica en el diseño estrategias de política industrial y de diversificación productiva:​</w:t>
      </w:r>
    </w:p>
    <w:p>
      <w:pPr>
        <w:numPr>
          <w:ilvl w:val="0"/>
          <w:numId w:val="4"/>
        </w:numPr>
        <w:ind w:left="440" w:hanging="220"/>
      </w:pPr>
      <w:r>
        <w:t xml:space="preserve">El desarrollo económico sostenido se explica como un fenómeno iterativo de acumulación de capacidades productivas que permiten a las regiones producir una mayor diversidad de bienes y servicios con un mayor nivel de sofisticación o mayor complejidad económica​</w:t>
      </w:r>
      <w:r>
        <w:rPr>
          <w:color w:val="1982F3"/>
          <w:sz w:val="26"/>
          <w:szCs w:val="26"/>
        </w:rPr>
        <w:t xml:space="preserve">.</w:t>
      </w:r>
    </w:p>
    <w:p>
      <w:pPr>
        <w:numPr>
          <w:ilvl w:val="0"/>
          <w:numId w:val="4"/>
        </w:numPr>
        <w:ind w:left="440" w:hanging="220"/>
      </w:pPr>
      <w:r>
        <w:t xml:space="preserve">Los países tienden a diversificarse hacia bienes y servicios que requieren capacidades productivas similares a las de industrias existentes​</w:t>
      </w:r>
    </w:p>
    <w:p>
      <w:r>
        <w:drawing>
          <wp:inline distT="0" distB="0" distL="0" distR="0">
            <wp:extent cx="4857750" cy="2647950"/>
            <wp:docPr id="5" name="Image5"/>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0"/>
                    <a:stretch>
                      <a:fillRect/>
                    </a:stretch>
                  </pic:blipFill>
                  <pic:spPr>
                    <a:xfrm>
                      <a:off x="0" y="0"/>
                      <a:ext cx="4857750" cy="2647950"/>
                    </a:xfrm>
                    <a:prstGeom prst="rect">
                      <a:avLst/>
                    </a:prstGeom>
                  </pic:spPr>
                </pic:pic>
              </a:graphicData>
            </a:graphic>
          </wp:inline>
        </w:drawing>
      </w:r>
    </w:p>
    <w:p>
      <w:pPr>
        <w:ind w:firstLine="0"/>
        <w:jc w:val="center"/>
      </w:pPr>
      <w:r>
        <w:t xml:space="preserve">Figure 1.5: Complejidad Económica y PIB per cápita​</w:t>
      </w:r>
      <w:r>
        <w:rPr>
          <w:color w:val="1982F3"/>
          <w:sz w:val="26"/>
          <w:szCs w:val="26"/>
        </w:rPr>
        <w:t xml:space="preserve">.</w:t>
      </w:r>
    </w:p>
    <w:p>
      <w:r>
        <w:t xml:space="preserve">Las capacidades productivas no son observables, pero se pueden inferir con base en un análisis de los productos y servicios que un país es capaz de producir de forma competitiva.​</w:t>
      </w:r>
    </w:p>
    <w:p>
      <w:r>
        <w:drawing>
          <wp:inline distT="0" distB="0" distL="0" distR="0">
            <wp:extent cx="7505700" cy="3409950"/>
            <wp:docPr id="6" name="Image6"/>
            <a:graphic xmlns:a="http://schemas.openxmlformats.org/drawingml/2006/main">
              <a:graphicData uri="http://schemas.openxmlformats.org/drawingml/2006/picture">
                <pic:pic xmlns:pic="http://schemas.openxmlformats.org/drawingml/2006/picture">
                  <pic:nvPicPr>
                    <pic:cNvPr id="6" name="image6.png"/>
                    <pic:cNvPicPr/>
                  </pic:nvPicPr>
                  <pic:blipFill>
                    <a:blip r:embed="rId11"/>
                    <a:stretch>
                      <a:fillRect/>
                    </a:stretch>
                  </pic:blipFill>
                  <pic:spPr>
                    <a:xfrm>
                      <a:off x="0" y="0"/>
                      <a:ext cx="7505700" cy="3409950"/>
                    </a:xfrm>
                    <a:prstGeom prst="rect">
                      <a:avLst/>
                    </a:prstGeom>
                  </pic:spPr>
                </pic:pic>
              </a:graphicData>
            </a:graphic>
          </wp:inline>
        </w:drawing>
      </w:r>
    </w:p>
    <w:p>
      <w:pPr>
        <w:ind w:firstLine="0"/>
        <w:jc w:val="center"/>
      </w:pPr>
      <w:r>
        <w:t xml:space="preserve">Figure 1.6: Complejidad Económica y PIB per cápita​</w:t>
      </w:r>
      <w:r>
        <w:rPr>
          <w:color w:val="1982F3"/>
          <w:sz w:val="26"/>
          <w:szCs w:val="26"/>
        </w:rPr>
        <w:t xml:space="preserve">.</w:t>
      </w:r>
    </w:p>
    <w:p>
      <w:r>
        <w:drawing>
          <wp:inline distT="0" distB="0" distL="0" distR="0">
            <wp:extent cx="7515225" cy="3448050"/>
            <wp:docPr id="7" name="Image7"/>
            <a:graphic xmlns:a="http://schemas.openxmlformats.org/drawingml/2006/main">
              <a:graphicData uri="http://schemas.openxmlformats.org/drawingml/2006/picture">
                <pic:pic xmlns:pic="http://schemas.openxmlformats.org/drawingml/2006/picture">
                  <pic:nvPicPr>
                    <pic:cNvPr id="7" name="image7.png"/>
                    <pic:cNvPicPr/>
                  </pic:nvPicPr>
                  <pic:blipFill>
                    <a:blip r:embed="rId12"/>
                    <a:stretch>
                      <a:fillRect/>
                    </a:stretch>
                  </pic:blipFill>
                  <pic:spPr>
                    <a:xfrm>
                      <a:off x="0" y="0"/>
                      <a:ext cx="7515225" cy="3448050"/>
                    </a:xfrm>
                    <a:prstGeom prst="rect">
                      <a:avLst/>
                    </a:prstGeom>
                  </pic:spPr>
                </pic:pic>
              </a:graphicData>
            </a:graphic>
          </wp:inline>
        </w:drawing>
      </w:r>
    </w:p>
    <w:p>
      <w:pPr>
        <w:ind w:firstLine="0"/>
        <w:jc w:val="center"/>
      </w:pPr>
      <w:r>
        <w:t xml:space="preserve">Figure 1.7: Complejidad Económica y PIB per cápita​</w:t>
      </w:r>
      <w:r>
        <w:rPr>
          <w:color w:val="1982F3"/>
          <w:sz w:val="26"/>
          <w:szCs w:val="26"/>
        </w:rPr>
        <w:t xml:space="preserve">.</w:t>
      </w:r>
    </w:p>
    <w:p>
      <w:r>
        <w:t xml:space="preserve">En 2024, Honduras exportaba con ventaja comparativa 129 productos (RCA&gt;=1), por debajo de otros países comparables en la región como Guatemala (180) y El Salvador (157).​</w:t>
      </w:r>
    </w:p>
    <w:p>
      <w:r>
        <w:drawing>
          <wp:inline distT="0" distB="0" distL="0" distR="0">
            <wp:extent cx="7496175" cy="3486150"/>
            <wp:docPr id="8" name="Image8"/>
            <a:graphic xmlns:a="http://schemas.openxmlformats.org/drawingml/2006/main">
              <a:graphicData uri="http://schemas.openxmlformats.org/drawingml/2006/picture">
                <pic:pic xmlns:pic="http://schemas.openxmlformats.org/drawingml/2006/picture">
                  <pic:nvPicPr>
                    <pic:cNvPr id="8" name="image8.png"/>
                    <pic:cNvPicPr/>
                  </pic:nvPicPr>
                  <pic:blipFill>
                    <a:blip r:embed="rId13"/>
                    <a:stretch>
                      <a:fillRect/>
                    </a:stretch>
                  </pic:blipFill>
                  <pic:spPr>
                    <a:xfrm>
                      <a:off x="0" y="0"/>
                      <a:ext cx="7496175" cy="3486150"/>
                    </a:xfrm>
                    <a:prstGeom prst="rect">
                      <a:avLst/>
                    </a:prstGeom>
                  </pic:spPr>
                </pic:pic>
              </a:graphicData>
            </a:graphic>
          </wp:inline>
        </w:drawing>
      </w:r>
    </w:p>
    <w:p>
      <w:pPr>
        <w:ind w:firstLine="0"/>
        <w:jc w:val="center"/>
      </w:pPr>
      <w:r>
        <w:t xml:space="preserve">Figure 1.8: Complejidad Económica y PIB per cápita​</w:t>
      </w:r>
      <w:r>
        <w:rPr>
          <w:color w:val="1982F3"/>
          <w:sz w:val="26"/>
          <w:szCs w:val="26"/>
        </w:rPr>
        <w:t xml:space="preserve">.</w:t>
      </w:r>
    </w:p>
    <w:p>
      <w:r>
        <w:t xml:space="preserve">En general, las exportaciones más importantes de Honduras – con excepciones de algunos productos de menores niveles de exportación - presentan un bajo nivel de sofisticación o complejidad económica.​</w:t>
      </w:r>
    </w:p>
    <w:p>
      <w:r>
        <w:drawing>
          <wp:inline distT="0" distB="0" distL="0" distR="0">
            <wp:extent cx="7524750" cy="3695700"/>
            <wp:docPr id="9" name="Image9"/>
            <a:graphic xmlns:a="http://schemas.openxmlformats.org/drawingml/2006/main">
              <a:graphicData uri="http://schemas.openxmlformats.org/drawingml/2006/picture">
                <pic:pic xmlns:pic="http://schemas.openxmlformats.org/drawingml/2006/picture">
                  <pic:nvPicPr>
                    <pic:cNvPr id="9" name="image9.png"/>
                    <pic:cNvPicPr/>
                  </pic:nvPicPr>
                  <pic:blipFill>
                    <a:blip r:embed="rId14"/>
                    <a:stretch>
                      <a:fillRect/>
                    </a:stretch>
                  </pic:blipFill>
                  <pic:spPr>
                    <a:xfrm>
                      <a:off x="0" y="0"/>
                      <a:ext cx="7524750" cy="3695700"/>
                    </a:xfrm>
                    <a:prstGeom prst="rect">
                      <a:avLst/>
                    </a:prstGeom>
                  </pic:spPr>
                </pic:pic>
              </a:graphicData>
            </a:graphic>
          </wp:inline>
        </w:drawing>
      </w:r>
    </w:p>
    <w:p>
      <w:pPr>
        <w:ind w:firstLine="0"/>
        <w:jc w:val="center"/>
      </w:pPr>
      <w:r>
        <w:t xml:space="preserve">Figure 1.9: Complejidad Económica y PIB per cápita​</w:t>
      </w:r>
      <w:r>
        <w:rPr>
          <w:color w:val="1982F3"/>
          <w:sz w:val="26"/>
          <w:szCs w:val="26"/>
        </w:rPr>
        <w:t xml:space="preserve">.</w:t>
      </w:r>
    </w:p>
    <w:p>
      <w:r>
        <w:t xml:space="preserve">El marco de complejidad económica, aplicando análisis y métricas de redes complejas, permite medir la similitud del know-how y el nivel de las capacidades requeridas para producir bienes y servicios</w:t>
      </w:r>
    </w:p>
    <w:p>
      <w:r>
        <w:t xml:space="preserve">En este ejemplo, cada nodo es un producto La proximidad entre dos nodos es una medida de la similitud del know-how de las capacidades productivas requeridas para desarrollar ambos productos Los países y las regiones se diversifican “saltando” hacia productos adyacentes que requieran capacidades productivas similares a las ya existentes en el lugar</w:t>
      </w:r>
    </w:p>
    <w:p>
      <w:r>
        <w:t xml:space="preserve">El marco de complejidad económica nos permite estimar estas y otras métricas relevantes para la priorización de industrias y el diseño de estrategias de desarrollo</w:t>
      </w:r>
      <w:r>
        <w:rPr>
          <w:rStyle w:val="FootnoteReference"/>
        </w:rPr>
        <w:footnoteReference w:id="2"/>
      </w:r>
      <w:r>
        <w:t xml:space="preserve">:</w:t>
      </w:r>
    </w:p>
    <w:p>
      <w:pPr>
        <w:numPr>
          <w:ilvl w:val="0"/>
          <w:numId w:val="5"/>
        </w:numPr>
        <w:ind w:left="440" w:hanging="220"/>
      </w:pPr>
      <w:r>
        <w:t xml:space="preserve">Índice de Complejidad del Producto (PCI): Nivel de sofisticación del conocimiento y capacidades necesarias para producir una actividad o producto</w:t>
      </w:r>
    </w:p>
    <w:p>
      <w:pPr>
        <w:numPr>
          <w:ilvl w:val="0"/>
          <w:numId w:val="5"/>
        </w:numPr>
        <w:ind w:left="440" w:hanging="220"/>
      </w:pPr>
      <w:r>
        <w:t xml:space="preserve">Ganancia de oportunidad (COG): Valor estratégico de una actividad para abrir nuevas oportunidades de diversificación hacia sectores más complejos</w:t>
      </w:r>
    </w:p>
    <w:p>
      <w:pPr>
        <w:numPr>
          <w:ilvl w:val="0"/>
          <w:numId w:val="5"/>
        </w:numPr>
        <w:ind w:left="440" w:hanging="220"/>
      </w:pPr>
      <w:r>
        <w:t xml:space="preserve">Distancia: Grado de cercanía entre las capacidades actuales y las necesarias para desarrollar una nueva actividad</w:t>
      </w:r>
    </w:p>
    <w:p>
      <w:r>
        <w:drawing>
          <wp:inline distT="0" distB="0" distL="0" distR="0">
            <wp:extent cx="4800600" cy="3886200"/>
            <wp:docPr id="10" name="Image10"/>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15"/>
                    <a:stretch>
                      <a:fillRect/>
                    </a:stretch>
                  </pic:blipFill>
                  <pic:spPr>
                    <a:xfrm>
                      <a:off x="0" y="0"/>
                      <a:ext cx="4800600" cy="3886200"/>
                    </a:xfrm>
                    <a:prstGeom prst="rect">
                      <a:avLst/>
                    </a:prstGeom>
                  </pic:spPr>
                </pic:pic>
              </a:graphicData>
            </a:graphic>
          </wp:inline>
        </w:drawing>
      </w:r>
    </w:p>
    <w:p>
      <w:pPr>
        <w:ind w:firstLine="0"/>
        <w:jc w:val="center"/>
      </w:pPr>
      <w:r>
        <w:t xml:space="preserve">Figure 1.10: Complejidad Económica y PIB per cápita​</w:t>
      </w:r>
      <w:r>
        <w:rPr>
          <w:color w:val="1982F3"/>
          <w:sz w:val="26"/>
          <w:szCs w:val="26"/>
        </w:rPr>
        <w:t xml:space="preserve">.</w:t>
      </w:r>
    </w:p>
    <w:p>
      <w:r>
        <w:t xml:space="preserve">Mediante estos análisis es posible identificar que la cesta exportadora de Honduras de los últimos 30 años se ha mantenido concentrada en los sectores de agricultura y textiles</w:t>
      </w:r>
      <w:r>
        <w:rPr>
          <w:rStyle w:val="FootnoteReference"/>
        </w:rPr>
        <w:footnoteReference w:id="3"/>
      </w:r>
      <w:r>
        <w:rPr>
          <w:color w:val="1982F3"/>
          <w:sz w:val="26"/>
          <w:szCs w:val="26"/>
        </w:rPr>
        <w:t xml:space="preserve">.</w:t>
      </w:r>
    </w:p>
    <w:p>
      <w:r>
        <w:drawing>
          <wp:inline distT="0" distB="0" distL="0" distR="0">
            <wp:extent cx="7543800" cy="3714750"/>
            <wp:docPr id="11" name="Image11"/>
            <a:graphic xmlns:a="http://schemas.openxmlformats.org/drawingml/2006/main">
              <a:graphicData uri="http://schemas.openxmlformats.org/drawingml/2006/picture">
                <pic:pic xmlns:pic="http://schemas.openxmlformats.org/drawingml/2006/picture">
                  <pic:nvPicPr>
                    <pic:cNvPr id="11" name="image11.png"/>
                    <pic:cNvPicPr/>
                  </pic:nvPicPr>
                  <pic:blipFill>
                    <a:blip r:embed="rId16"/>
                    <a:stretch>
                      <a:fillRect/>
                    </a:stretch>
                  </pic:blipFill>
                  <pic:spPr>
                    <a:xfrm>
                      <a:off x="0" y="0"/>
                      <a:ext cx="7543800" cy="3714750"/>
                    </a:xfrm>
                    <a:prstGeom prst="rect">
                      <a:avLst/>
                    </a:prstGeom>
                  </pic:spPr>
                </pic:pic>
              </a:graphicData>
            </a:graphic>
          </wp:inline>
        </w:drawing>
      </w:r>
    </w:p>
    <w:p>
      <w:pPr>
        <w:ind w:firstLine="0"/>
        <w:jc w:val="center"/>
      </w:pPr>
      <w:r>
        <w:t xml:space="preserve">Figure 1.11: Complejidad Económica y PIB per cápita​</w:t>
      </w:r>
      <w:r>
        <w:rPr>
          <w:color w:val="1982F3"/>
          <w:sz w:val="26"/>
          <w:szCs w:val="26"/>
        </w:rPr>
        <w:t xml:space="preserve">.</w:t>
      </w:r>
    </w:p>
    <w:p>
      <w:r>
        <w:t xml:space="preserve">Para 2024, por un lado se habían perdido algunos productos del cluster de textiles, y por el otro, agregado nuevos productos químicos, de maquinaria y construcción en áreas centrales del espacio de productos</w:t>
      </w:r>
      <w:r>
        <w:rPr>
          <w:rStyle w:val="FootnoteReference"/>
        </w:rPr>
        <w:footnoteReference w:id="4"/>
      </w:r>
      <w:r>
        <w:rPr>
          <w:color w:val="1982F3"/>
          <w:sz w:val="26"/>
          <w:szCs w:val="26"/>
        </w:rPr>
        <w:t xml:space="preserve">.</w:t>
      </w:r>
      <w:r>
        <w:t xml:space="preserve">​</w:t>
      </w:r>
    </w:p>
    <w:p>
      <w:r>
        <w:drawing>
          <wp:inline distT="0" distB="0" distL="0" distR="0">
            <wp:extent cx="7591425" cy="3733800"/>
            <wp:docPr id="12" name="Image12"/>
            <a:graphic xmlns:a="http://schemas.openxmlformats.org/drawingml/2006/main">
              <a:graphicData uri="http://schemas.openxmlformats.org/drawingml/2006/picture">
                <pic:pic xmlns:pic="http://schemas.openxmlformats.org/drawingml/2006/picture">
                  <pic:nvPicPr>
                    <pic:cNvPr id="12" name="image12.png"/>
                    <pic:cNvPicPr/>
                  </pic:nvPicPr>
                  <pic:blipFill>
                    <a:blip r:embed="rId17"/>
                    <a:stretch>
                      <a:fillRect/>
                    </a:stretch>
                  </pic:blipFill>
                  <pic:spPr>
                    <a:xfrm>
                      <a:off x="0" y="0"/>
                      <a:ext cx="7591425" cy="3733800"/>
                    </a:xfrm>
                    <a:prstGeom prst="rect">
                      <a:avLst/>
                    </a:prstGeom>
                  </pic:spPr>
                </pic:pic>
              </a:graphicData>
            </a:graphic>
          </wp:inline>
        </w:drawing>
      </w:r>
    </w:p>
    <w:p>
      <w:pPr>
        <w:ind w:firstLine="0"/>
        <w:jc w:val="center"/>
      </w:pPr>
      <w:r>
        <w:t xml:space="preserve">Figure 1.12: Complejidad Económica y PIB per cápita​</w:t>
      </w:r>
      <w:r>
        <w:rPr>
          <w:color w:val="1982F3"/>
          <w:sz w:val="26"/>
          <w:szCs w:val="26"/>
        </w:rPr>
        <w:t xml:space="preserve">.</w:t>
      </w:r>
    </w:p>
    <w:p>
      <w:pPr>
        <w:pStyle w:val="Heading2"/>
      </w:pPr>
      <w:r>
        <w:t xml:space="preserve">1.3 Datos usados para el Análisis de Complejidad</w:t>
      </w:r>
    </w:p>
    <w:p>
      <w:pPr>
        <w:ind w:firstLine="0"/>
        <w:jc w:val="center"/>
      </w:pPr>
      <w:r>
        <w:rPr>
          <w:b/>
          <w:sz w:val="50"/>
          <w:szCs w:val="50"/>
        </w:rPr>
        <w:t xml:space="preserve">Productiva</w:t>
      </w:r>
    </w:p>
    <w:p>
      <w:pPr>
        <w:ind w:firstLine="0"/>
        <w:jc w:val="center"/>
      </w:pPr>
      <w:r>
        <w:rPr>
          <w:vertAlign w:val="superscript"/>
        </w:rPr>
        <w:t xml:space="preserve">A Practical Guide</w:t>
      </w:r>
      <w:r>
        <w:rPr>
          <w:b/>
          <w:sz w:val="44"/>
          <w:szCs w:val="44"/>
        </w:rPr>
        <w:t xml:space="preserve">Goro Akechi</w:t>
      </w:r>
    </w:p>
    <w:p>
      <w:r>
        <w:rPr>
          <w:vertAlign w:val="superscript"/>
        </w:rPr>
        <w:t xml:space="preserve">Copyright © 2023 Flavio BarisiPUBLISHED BY PUBLISHER</w:t>
      </w:r>
      <w:r>
        <w:rPr>
          <w:color w:val="1982F3"/>
          <w:vertAlign w:val="superscript"/>
        </w:rPr>
        <w:t xml:space="preserve">TEMPLATE-WEBSITE</w:t>
      </w:r>
      <w:r>
        <w:rPr>
          <w:vertAlign w:val="superscript"/>
        </w:rPr>
        <w:t xml:space="preserve">Licensed under the Apache 2.0 License (the “License”). You may not use this file except in compliance with the License. You may obtain a copy of the License at  </w:t>
      </w:r>
      <w:r>
        <w:rPr>
          <w:color w:val="1982F3"/>
          <w:vertAlign w:val="superscript"/>
        </w:rPr>
        <w:t xml:space="preserve">https://www.apache.org/licenses/LICENSE-2.0</w:t>
      </w:r>
      <w:r>
        <w:rPr>
          <w:vertAlign w:val="superscript"/>
        </w:rPr>
        <w:t xml:space="preserve"> . 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r>
        <w:rPr>
          <w:i/>
          <w:vertAlign w:val="superscript"/>
        </w:rPr>
        <w:t xml:space="preserve">First printing, July 2023</w:t>
      </w:r>
      <w:r>
        <w:rPr>
          <w:b/>
          <w:color w:val="1982F3"/>
          <w:vertAlign w:val="superscript"/>
        </w:rPr>
        <w:t xml:space="preserve">Honduras </w:t>
      </w:r>
      <w:r>
        <w:rPr>
          <w:color w:val="1982F3"/>
          <w:vertAlign w:val="superscript"/>
        </w:rPr>
        <w:t xml:space="preserve">......................</w:t>
      </w:r>
      <w:r>
        <w:rPr>
          <w:b/>
          <w:color w:val="1982F3"/>
          <w:vertAlign w:val="superscript"/>
        </w:rPr>
        <w:t xml:space="preserve">11Honduras </w:t>
      </w:r>
      <w:r>
        <w:rPr>
          <w:color w:val="1982F3"/>
          <w:vertAlign w:val="superscript"/>
        </w:rPr>
        <w:t xml:space="preserve">.........................</w:t>
      </w:r>
      <w:r>
        <w:rPr>
          <w:b/>
          <w:color w:val="1982F3"/>
          <w:vertAlign w:val="superscript"/>
        </w:rPr>
        <w:t xml:space="preserve">11</w:t>
      </w:r>
      <w:r>
        <w:rPr>
          <w:vertAlign w:val="superscript"/>
        </w:rPr>
        <w:t xml:space="preserve">Complejidad </w:t>
      </w:r>
      <w:r>
        <w:rPr>
          <w:color w:val="1982F3"/>
          <w:vertAlign w:val="superscript"/>
        </w:rPr>
        <w:t xml:space="preserve">.......................</w:t>
      </w:r>
      <w:r>
        <w:rPr>
          <w:b/>
          <w:vertAlign w:val="superscript"/>
        </w:rPr>
        <w:t xml:space="preserve">18</w:t>
      </w:r>
      <w:r>
        <w:rPr>
          <w:vertAlign w:val="superscript"/>
        </w:rPr>
        <w:t xml:space="preserve">Extensivos </w:t>
      </w:r>
      <w:r>
        <w:rPr>
          <w:color w:val="1982F3"/>
          <w:vertAlign w:val="superscript"/>
        </w:rPr>
        <w:t xml:space="preserve">........................</w:t>
      </w:r>
      <w:r>
        <w:rPr>
          <w:b/>
          <w:vertAlign w:val="superscript"/>
        </w:rPr>
        <w:t xml:space="preserve">19</w:t>
      </w:r>
      <w:r>
        <w:t xml:space="preserve">Se analizaron y combinaron distintas bases de datos para hacer la mejor radiografía posible de la estructura productiva de Honduras, incluyendo producción doméstica y mediante servicios.​</w:t>
      </w:r>
    </w:p>
    <w:p>
      <w:r>
        <w:drawing>
          <wp:inline distT="0" distB="0" distL="0" distR="0">
            <wp:extent cx="9039225" cy="3552825"/>
            <wp:docPr id="13" name="Image13"/>
            <a:graphic xmlns:a="http://schemas.openxmlformats.org/drawingml/2006/main">
              <a:graphicData uri="http://schemas.openxmlformats.org/drawingml/2006/picture">
                <pic:pic xmlns:pic="http://schemas.openxmlformats.org/drawingml/2006/picture">
                  <pic:nvPicPr>
                    <pic:cNvPr id="13" name="image13.png"/>
                    <pic:cNvPicPr/>
                  </pic:nvPicPr>
                  <pic:blipFill>
                    <a:blip r:embed="rId18"/>
                    <a:stretch>
                      <a:fillRect/>
                    </a:stretch>
                  </pic:blipFill>
                  <pic:spPr>
                    <a:xfrm>
                      <a:off x="0" y="0"/>
                      <a:ext cx="9039225" cy="3552825"/>
                    </a:xfrm>
                    <a:prstGeom prst="rect">
                      <a:avLst/>
                    </a:prstGeom>
                  </pic:spPr>
                </pic:pic>
              </a:graphicData>
            </a:graphic>
          </wp:inline>
        </w:drawing>
      </w:r>
    </w:p>
    <w:p>
      <w:pPr>
        <w:ind w:firstLine="0"/>
        <w:jc w:val="center"/>
      </w:pPr>
      <w:r>
        <w:t xml:space="preserve">Figure 1.13: Complejidad Económica y PIB per cápita​</w:t>
      </w:r>
      <w:r>
        <w:rPr>
          <w:color w:val="1982F3"/>
          <w:sz w:val="26"/>
          <w:szCs w:val="26"/>
        </w:rPr>
        <w:t xml:space="preserve">.</w:t>
      </w:r>
    </w:p>
    <w:p>
      <w:pPr>
        <w:pStyle w:val="Heading2"/>
      </w:pPr>
      <w:r>
        <w:t xml:space="preserve">1.4 Identificación de Oportunidade de Diversificación en los Márgenes Intensivo y Extensivos</w:t>
      </w:r>
    </w:p>
    <w:p>
      <w:pPr>
        <w:ind w:firstLine="0"/>
      </w:pPr>
      <w:r>
        <w:t xml:space="preserve">El mapeo de la estructura y capacidades productivas permite identificar la especialización productiva actual y oportunidades de diversificación viables para Honduras.​</w:t>
      </w:r>
    </w:p>
    <w:p>
      <w:r>
        <w:drawing>
          <wp:inline distT="0" distB="0" distL="0" distR="0">
            <wp:extent cx="8001000" cy="3790950"/>
            <wp:docPr id="14" name="Image14"/>
            <a:graphic xmlns:a="http://schemas.openxmlformats.org/drawingml/2006/main">
              <a:graphicData uri="http://schemas.openxmlformats.org/drawingml/2006/picture">
                <pic:pic xmlns:pic="http://schemas.openxmlformats.org/drawingml/2006/picture">
                  <pic:nvPicPr>
                    <pic:cNvPr id="14" name="image14.png"/>
                    <pic:cNvPicPr/>
                  </pic:nvPicPr>
                  <pic:blipFill>
                    <a:blip r:embed="rId19"/>
                    <a:stretch>
                      <a:fillRect/>
                    </a:stretch>
                  </pic:blipFill>
                  <pic:spPr>
                    <a:xfrm>
                      <a:off x="0" y="0"/>
                      <a:ext cx="8001000" cy="3790950"/>
                    </a:xfrm>
                    <a:prstGeom prst="rect">
                      <a:avLst/>
                    </a:prstGeom>
                  </pic:spPr>
                </pic:pic>
              </a:graphicData>
            </a:graphic>
          </wp:inline>
        </w:drawing>
      </w:r>
    </w:p>
    <w:p>
      <w:pPr>
        <w:ind w:firstLine="0"/>
        <w:jc w:val="center"/>
      </w:pPr>
      <w:r>
        <w:t xml:space="preserve">Figure 1.14: Complejidad Económica y PIB per cápita​</w:t>
      </w:r>
      <w:r>
        <w:rPr>
          <w:color w:val="1982F3"/>
          <w:sz w:val="26"/>
          <w:szCs w:val="26"/>
        </w:rPr>
        <w:t xml:space="preserve">.</w:t>
      </w:r>
    </w:p>
    <w:p>
      <w:pPr>
        <w:pStyle w:val="Heading3"/>
      </w:pPr>
      <w:r>
        <w:t xml:space="preserve">1.4.1 </w:t>
      </w:r>
      <w:r>
        <w:rPr>
          <w:sz w:val="26"/>
          <w:szCs w:val="26"/>
        </w:rPr>
        <w:t xml:space="preserve">Priorización en el Margen Intensivo</w:t>
      </w:r>
    </w:p>
    <w:p>
      <w:pPr>
        <w:ind w:firstLine="0"/>
      </w:pPr>
      <w:r>
        <w:t xml:space="preserve">Se identificaron las actividades económicas donde Honduras está especializado (RCA&gt;=1) y que además están por encima del promedio de complejidad</w:t>
      </w:r>
      <w:r>
        <w:rPr>
          <w:rStyle w:val="FootnoteReference"/>
        </w:rPr>
        <w:footnoteReference w:id="5"/>
      </w:r>
      <w:r>
        <w:rPr>
          <w:color w:val="1982F3"/>
          <w:sz w:val="26"/>
          <w:szCs w:val="26"/>
        </w:rPr>
        <w:t xml:space="preserve">.</w:t>
      </w:r>
      <w:r>
        <w:t xml:space="preserve">​</w:t>
      </w:r>
    </w:p>
    <w:p>
      <w:r>
        <w:drawing>
          <wp:inline distT="0" distB="0" distL="0" distR="0">
            <wp:extent cx="5400000" cy="2236038"/>
            <wp:docPr id="15" name="Image15"/>
            <a:graphic xmlns:a="http://schemas.openxmlformats.org/drawingml/2006/main">
              <a:graphicData uri="http://schemas.openxmlformats.org/drawingml/2006/picture">
                <pic:pic xmlns:pic="http://schemas.openxmlformats.org/drawingml/2006/picture">
                  <pic:nvPicPr>
                    <pic:cNvPr id="15" name="image15.png"/>
                    <pic:cNvPicPr/>
                  </pic:nvPicPr>
                  <pic:blipFill>
                    <a:blip r:embed="rId20"/>
                    <a:stretch>
                      <a:fillRect/>
                    </a:stretch>
                  </pic:blipFill>
                  <pic:spPr>
                    <a:xfrm>
                      <a:off x="0" y="0"/>
                      <a:ext cx="5400000" cy="2236038"/>
                    </a:xfrm>
                    <a:prstGeom prst="rect">
                      <a:avLst/>
                    </a:prstGeom>
                  </pic:spPr>
                </pic:pic>
              </a:graphicData>
            </a:graphic>
          </wp:inline>
        </w:drawing>
      </w:r>
    </w:p>
    <w:p>
      <w:pPr>
        <w:ind w:firstLine="0"/>
        <w:jc w:val="center"/>
      </w:pPr>
      <w:r>
        <w:t xml:space="preserve">Figure 1.15: Complejidad Económica y PIB per cápita​</w:t>
      </w:r>
      <w:r>
        <w:rPr>
          <w:color w:val="1982F3"/>
          <w:sz w:val="26"/>
          <w:szCs w:val="26"/>
        </w:rPr>
        <w:t xml:space="preserve">.</w:t>
      </w:r>
    </w:p>
    <w:p>
      <w:r>
        <w:t xml:space="preserve">La Industria Textil genera una gran cantidad de empleos formales para trabajadores de baja calificación, por lo cual se incluyeron en la priorización, a pesar de que la mayoría de las actividades son de baja sofisticación.</w:t>
      </w:r>
    </w:p>
    <w:p>
      <w:r>
        <w:t xml:space="preserve">En el Anexo 4.1 se incluye el detalle de las actividades textiles priorizadas en el Margen Intensivo.</w:t>
      </w:r>
    </w:p>
    <w:p>
      <w:r>
        <w:drawing>
          <wp:inline distT="0" distB="0" distL="0" distR="0">
            <wp:extent cx="5399999" cy="2441626"/>
            <wp:docPr id="16" name="Image16"/>
            <a:graphic xmlns:a="http://schemas.openxmlformats.org/drawingml/2006/main">
              <a:graphicData uri="http://schemas.openxmlformats.org/drawingml/2006/picture">
                <pic:pic xmlns:pic="http://schemas.openxmlformats.org/drawingml/2006/picture">
                  <pic:nvPicPr>
                    <pic:cNvPr id="16" name="image16.png"/>
                    <pic:cNvPicPr/>
                  </pic:nvPicPr>
                  <pic:blipFill>
                    <a:blip r:embed="rId21"/>
                    <a:stretch>
                      <a:fillRect/>
                    </a:stretch>
                  </pic:blipFill>
                  <pic:spPr>
                    <a:xfrm>
                      <a:off x="0" y="0"/>
                      <a:ext cx="5399999" cy="2441626"/>
                    </a:xfrm>
                    <a:prstGeom prst="rect">
                      <a:avLst/>
                    </a:prstGeom>
                  </pic:spPr>
                </pic:pic>
              </a:graphicData>
            </a:graphic>
          </wp:inline>
        </w:drawing>
      </w:r>
    </w:p>
    <w:p>
      <w:pPr>
        <w:ind w:firstLine="0"/>
        <w:jc w:val="center"/>
      </w:pPr>
      <w:r>
        <w:t xml:space="preserve">Figure 1.16: Complejidad Económica y PIB per cápita​</w:t>
      </w:r>
      <w:r>
        <w:rPr>
          <w:color w:val="1982F3"/>
          <w:sz w:val="26"/>
          <w:szCs w:val="26"/>
        </w:rPr>
        <w:t xml:space="preserve">.</w:t>
      </w:r>
    </w:p>
    <w:p>
      <w:r>
        <w:t xml:space="preserve">De manera complementaria a nuestros resultados, para la Industria Textil usamos los datos de exportaciones para identificar los productos específicos en los cuales Honduras actualmente se especializa y comparar las clasificaciones industriales.​</w:t>
      </w:r>
    </w:p>
    <w:p>
      <w:r>
        <w:drawing>
          <wp:inline distT="0" distB="0" distL="0" distR="0">
            <wp:extent cx="9010650" cy="3581400"/>
            <wp:docPr id="17" name="Image17"/>
            <a:graphic xmlns:a="http://schemas.openxmlformats.org/drawingml/2006/main">
              <a:graphicData uri="http://schemas.openxmlformats.org/drawingml/2006/picture">
                <pic:pic xmlns:pic="http://schemas.openxmlformats.org/drawingml/2006/picture">
                  <pic:nvPicPr>
                    <pic:cNvPr id="17" name="image17.png"/>
                    <pic:cNvPicPr/>
                  </pic:nvPicPr>
                  <pic:blipFill>
                    <a:blip r:embed="rId22"/>
                    <a:stretch>
                      <a:fillRect/>
                    </a:stretch>
                  </pic:blipFill>
                  <pic:spPr>
                    <a:xfrm>
                      <a:off x="0" y="0"/>
                      <a:ext cx="9010650" cy="3581400"/>
                    </a:xfrm>
                    <a:prstGeom prst="rect">
                      <a:avLst/>
                    </a:prstGeom>
                  </pic:spPr>
                </pic:pic>
              </a:graphicData>
            </a:graphic>
          </wp:inline>
        </w:drawing>
      </w:r>
    </w:p>
    <w:p>
      <w:pPr>
        <w:ind w:firstLine="0"/>
        <w:jc w:val="center"/>
      </w:pPr>
      <w:r>
        <w:t xml:space="preserve">Figure 1.17: Complejidad Económica y PIB per cápita​</w:t>
      </w:r>
      <w:r>
        <w:rPr>
          <w:color w:val="1982F3"/>
          <w:sz w:val="26"/>
          <w:szCs w:val="26"/>
        </w:rPr>
        <w:t xml:space="preserve">.</w:t>
      </w:r>
    </w:p>
    <w:p>
      <w:pPr>
        <w:pStyle w:val="Heading3"/>
      </w:pPr>
      <w:r>
        <w:t xml:space="preserve">1.4.2 </w:t>
      </w:r>
      <w:r>
        <w:rPr>
          <w:sz w:val="26"/>
          <w:szCs w:val="26"/>
        </w:rPr>
        <w:t xml:space="preserve">Priorización en el Margen Extensivo</w:t>
      </w:r>
    </w:p>
    <w:sectPr>
      <w:footnotePr>
        <w:numRestart w:val="eachPage"/>
      </w:footnotePr>
      <w:pgSz w:w="11906" w:h="16838"/>
      <w:pgMar w:top="1417" w:right="1417" w:bottom="1417" w:left="1417"/>
    </w:sectPr>
  </w:body>
</w:document>
</file>

<file path=word/fontTable.xml><?xml version="1.0" encoding="utf-8"?>
<w:fonts xmlns:w="http://schemas.openxmlformats.org/wordprocessingml/2006/main">
  <w:font w:name="Courier New">
    <w:charset w:val="00"/>
  </w:font>
  <w:font w:name="Lato">
    <w:charset w:val="00"/>
  </w:font>
</w:fonts>
</file>

<file path=word/footnotes.xml><?xml version="1.0" encoding="utf-8"?>
<w:footnotes xmlns:w="http://schemas.openxmlformats.org/wordprocessingml/2006/main" xmlns:r="http://schemas.openxmlformats.org/officeDocument/2006/relationships">
  <w:footnote w:type="separator" w:id="0">
    <w:p>
      <w:r>
        <w:separator/>
      </w:r>
    </w:p>
  </w:footnote>
  <w:footnote w:type="continuationSeparator" w:id="1">
    <w:p>
      <w:r>
        <w:separator/>
      </w:r>
    </w:p>
  </w:footnote>
  <w:footnote w:id="2">
    <w:p>
      <w:pPr>
        <w:pStyle w:val="FootnoteText"/>
      </w:pPr>
      <w:r>
        <w:rPr>
          <w:rStyle w:val="FootnoteReference"/>
        </w:rPr>
        <w:footnoteRef/>
      </w:r>
      <w:r>
        <w:t xml:space="preserve"> </w:t>
      </w:r>
      <w:r>
        <w:t xml:space="preserve">El Anexo 1 incluye la descripción metodológica de las principales métricas de complejidad económica.​</w:t>
      </w:r>
    </w:p>
  </w:footnote>
  <w:footnote w:id="3">
    <w:p>
      <w:pPr>
        <w:pStyle w:val="FootnoteText"/>
      </w:pPr>
      <w:r>
        <w:rPr>
          <w:rStyle w:val="FootnoteReference"/>
        </w:rPr>
        <w:footnoteRef/>
      </w:r>
      <w:r>
        <w:t xml:space="preserve"> </w:t>
      </w:r>
      <w:r>
        <w:t xml:space="preserve">En este ejemplo, cada nodo es un producto, se encuentra encendido (coloreado) si Honduras lo exporta con VCR&gt;1​</w:t>
      </w:r>
    </w:p>
  </w:footnote>
  <w:footnote w:id="4">
    <w:p>
      <w:pPr>
        <w:pStyle w:val="FootnoteText"/>
      </w:pPr>
      <w:r>
        <w:rPr>
          <w:rStyle w:val="FootnoteReference"/>
        </w:rPr>
        <w:footnoteRef/>
      </w:r>
      <w:r>
        <w:t xml:space="preserve"> </w:t>
      </w:r>
      <w:r>
        <w:t xml:space="preserve">Adicionalmente, a partir de datos administrativos de fuentes nacionales, se incluyeron: Honduras, El Salvador y Ecuador. En el Anexo 2 se incluyen los pasos que se siguieron para definir la base final de este análisis.​</w:t>
      </w:r>
    </w:p>
  </w:footnote>
  <w:footnote w:id="5">
    <w:p>
      <w:pPr>
        <w:pStyle w:val="FootnoteText"/>
      </w:pPr>
      <w:r>
        <w:rPr>
          <w:rStyle w:val="FootnoteReference"/>
        </w:rPr>
        <w:footnoteRef/>
      </w:r>
      <w:r>
        <w:t xml:space="preserve"> </w:t>
      </w:r>
      <w:r>
        <w:t xml:space="preserve">En el Anexo 4.1 se incluye el detalle de las actividades priorizadas en el margen intensivo.​</w:t>
      </w:r>
    </w:p>
  </w:footnote>
</w:footnotes>
</file>

<file path=word/numbering.xml><?xml version="1.0" encoding="utf-8"?>
<w:numbering xmlns:w="http://schemas.openxmlformats.org/wordprocessingml/2006/main">
  <w:abstractNum w:abstractNumId="1">
    <w:lvl w:ilvl="0">
      <w:start w:val="1"/>
      <w:numFmt w:val="decimal"/>
      <w:lvlText w:val="%1."/>
      <w:lvlJc w:val="left"/>
    </w:lvl>
  </w:abstractNum>
  <w:abstractNum w:abstractNumId="2">
    <w:lvl w:ilvl="0">
      <w:start w:val="1"/>
      <w:numFmt w:val="bullet"/>
      <w:lvlText w:val="•"/>
      <w:lvlJc w:val="left"/>
    </w:lvl>
  </w:abstractNum>
  <w:abstractNum w:abstractNumId="3">
    <w:lvl w:ilvl="0">
      <w:start w:val="1"/>
      <w:numFmt w:val="chineseCountingThousand"/>
      <w:lvlText w:val="%1、"/>
      <w:lvlJc w:val="left"/>
    </w:lvl>
    <w:lvl w:ilvl="1">
      <w:start w:val="1"/>
      <w:numFmt w:val="chineseCountingThousand"/>
      <w:lvlText w:val="（%2）"/>
      <w:lvlJc w:val="left"/>
    </w:lvl>
    <w:lvl w:ilvl="2">
      <w:start w:val="1"/>
      <w:numFmt w:val="decimal"/>
      <w:lvlText w:val="%3."/>
      <w:lvlJc w:val="left"/>
    </w:lvl>
    <w:lvl w:ilvl="3">
      <w:start w:val="1"/>
      <w:numFmt w:val="decimal"/>
      <w:lvlText w:val="（%4）"/>
      <w:lvlJc w:val="left"/>
    </w:lvl>
    <w:lvl w:ilvl="4">
      <w:start w:val="1"/>
      <w:numFmt w:val="decimalEnclosedCircleChinese"/>
      <w:lvlText w:val="%5"/>
      <w:lvlJc w:val="left"/>
    </w:lvl>
  </w:abstractNum>
  <w:num w:numId="1">
    <w:abstractNumId w:val="1"/>
  </w:num>
  <w:num w:numId="2">
    <w:abstractNumId w:val="2"/>
  </w:num>
  <w:num w:numId="3">
    <w:abstractNumId w:val="3"/>
  </w:num>
  <w:num w:numId="4">
    <w:abstractNumId w:val="2"/>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xmlns:m="http://schemas.openxmlformats.org/officeDocument/2006/math">
  <w:footnotePr>
    <w:numRestart w:val="eachPage"/>
  </w:footnotePr>
  <w:compat>
    <w:useFELayout/>
    <w:compatSetting w:name="compatibilityMode" w:uri="http://schemas.microsoft.com/office/word" w:val="15"/>
  </w:compat>
  <w:themeFontLang w:val="en-US" w:eastAsia="en-US"/>
  <m:mathPr>
    <m:mathFont m:val="Cambria Math"/>
    <m:brkBin m:val="before"/>
    <m:brkBinSub m:val="--"/>
    <m:smallFrac m:val="0"/>
    <m:dispDef/>
    <m:lMargin m:val="0"/>
    <m:rMargin m:val="0"/>
    <m:defJc m:val="centerGroup"/>
    <m:wrapIndent m:val="1440"/>
    <m:intLim m:val="subSup"/>
    <m:naryLim m:val="undOvr"/>
  </m:mathPr>
</w:settings>
</file>

<file path=word/styles.xml><?xml version="1.0" encoding="utf-8"?>
<w:styles xmlns:w="http://schemas.openxmlformats.org/wordprocessingml/2006/main">
  <w:docDefaults>
    <w:rPrDefault>
      <w:rPr>
        <w:rFonts w:ascii="Lato" w:hAnsi="Lato" w:eastAsia="Lato"/>
        <w:kern w:val="2"/>
        <w:sz w:val="22"/>
        <w:szCs w:val="22"/>
        <w:lang w:val="en-US" w:eastAsia="en-US"/>
      </w:rPr>
    </w:rPrDefault>
    <w:pPrDefault>
      <w:pPr>
        <w:kinsoku/>
        <w:overflowPunct/>
        <w:autoSpaceDE/>
        <w:autoSpaceDN/>
        <w:wordWrap/>
        <w:topLinePunct/>
      </w:pPr>
    </w:pPrDefault>
  </w:docDefaults>
  <w:style w:type="paragraph" w:default="1" w:styleId="Normal">
    <w:name w:val="Normal"/>
    <w:rPr>
      <w:rFonts w:ascii="Lato" w:hAnsi="Lato" w:eastAsia="Lato"/>
      <w:sz w:val="22"/>
      <w:szCs w:val="22"/>
      <w:lang w:val="en-US" w:eastAsia="en-US"/>
    </w:rPr>
    <w:pPr>
      <w:widowControl/>
      <w:jc w:val="left"/>
      <w:spacing w:before="0" w:after="121"/>
      <w:ind w:firstLine="0"/>
    </w:pPr>
  </w:style>
  <w:style w:type="paragraph" w:styleId="Heading1">
    <w:name w:val="heading 1"/>
    <w:basedOn w:val="Normal"/>
    <w:pPr>
      <w:widowControl/>
      <w:outlineLvl w:val="0"/>
      <w:spacing w:before="379" w:after="125"/>
      <w:ind w:firstLine="0"/>
    </w:pPr>
    <w:rPr>
      <w:rFonts w:ascii="Lato" w:hAnsi="Lato" w:eastAsia="Lato"/>
      <w:b/>
      <w:sz w:val="50"/>
      <w:szCs w:val="50"/>
    </w:rPr>
  </w:style>
  <w:style w:type="paragraph" w:styleId="Heading2">
    <w:name w:val="heading 2"/>
    <w:basedOn w:val="Normal"/>
    <w:pPr>
      <w:widowControl/>
      <w:outlineLvl w:val="1"/>
      <w:spacing w:before="264" w:after="132"/>
      <w:ind w:firstLine="0"/>
    </w:pPr>
    <w:rPr>
      <w:rFonts w:ascii="Lato" w:hAnsi="Lato" w:eastAsia="Lato"/>
      <w:b/>
      <w:sz w:val="44"/>
      <w:szCs w:val="44"/>
    </w:rPr>
  </w:style>
  <w:style w:type="paragraph" w:styleId="Heading3">
    <w:name w:val="heading 3"/>
    <w:basedOn w:val="Normal"/>
    <w:pPr>
      <w:widowControl/>
      <w:outlineLvl w:val="2"/>
      <w:spacing w:before="254" w:after="127"/>
      <w:ind w:firstLine="0"/>
    </w:pPr>
    <w:rPr>
      <w:rFonts w:ascii="Lato" w:hAnsi="Lato" w:eastAsia="Lato"/>
      <w:b/>
      <w:sz w:val="36"/>
      <w:szCs w:val="36"/>
    </w:rPr>
  </w:style>
  <w:style w:type="paragraph" w:styleId="Heading4">
    <w:name w:val="heading 4"/>
    <w:basedOn w:val="Normal"/>
    <w:pPr>
      <w:widowControl/>
      <w:outlineLvl w:val="3"/>
      <w:spacing w:before="168" w:after="121"/>
      <w:ind w:firstLine="0"/>
    </w:pPr>
    <w:rPr>
      <w:rFonts w:ascii="Lato" w:hAnsi="Lato" w:eastAsia="Lato"/>
      <w:b/>
      <w:sz w:val="30"/>
      <w:szCs w:val="30"/>
    </w:rPr>
  </w:style>
  <w:style w:type="paragraph" w:styleId="Heading5">
    <w:name w:val="heading 5"/>
    <w:basedOn w:val="Normal"/>
    <w:pPr>
      <w:widowControl/>
      <w:outlineLvl w:val="4"/>
      <w:spacing w:before="110" w:after="121"/>
      <w:ind w:firstLine="0"/>
    </w:pPr>
    <w:rPr>
      <w:rFonts w:ascii="Lato" w:hAnsi="Lato" w:eastAsia="Lato"/>
      <w:b/>
      <w:sz w:val="26"/>
      <w:szCs w:val="26"/>
    </w:rPr>
  </w:style>
  <w:style w:type="paragraph" w:styleId="CodeBlock">
    <w:name w:val="Code Block"/>
    <w:basedOn w:val="Normal"/>
    <w:pPr>
      <w:ind w:firstLine="0"/>
      <w:spacing w:line="240" w:lineRule="auto" w:before="0" w:after="0"/>
      <w:shd w:val="clear" w:color="auto" w:fill="F2F2F2"/>
    </w:pPr>
    <w:rPr>
      <w:rFonts w:ascii="Courier New" w:hAnsi="Courier New" w:eastAsia="Courier New"/>
      <w:sz w:val="17"/>
      <w:szCs w:val="17"/>
    </w:rPr>
  </w:style>
  <w:style w:type="paragraph" w:styleId="Bibliography">
    <w:name w:val="Bibliography"/>
    <w:basedOn w:val="Normal"/>
    <w:pPr>
      <w:ind w:left="440" w:hanging="440" w:firstLine="0"/>
    </w:pPr>
  </w:style>
  <w:style w:type="character" w:styleId="FootnoteReference">
    <w:name w:val="footnote reference"/>
    <w:rPr>
      <w:vertAlign w:val="superscript"/>
    </w:rPr>
  </w:style>
  <w:style w:type="paragraph" w:styleId="FootnoteText">
    <w:name w:val="footnote text"/>
    <w:basedOn w:val="Normal"/>
    <w:rPr>
      <w:sz w:val="17"/>
      <w:szCs w:val="17"/>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fontTable" Target="fontTable.xml"/>
  <Relationship Id="rId3" Type="http://schemas.openxmlformats.org/officeDocument/2006/relationships/footnotes" Target="footnotes.xml"/>
  <Relationship Id="rId4" Type="http://schemas.openxmlformats.org/officeDocument/2006/relationships/numbering" Target="numbering.xml"/>
  <Relationship Id="rId5" Type="http://schemas.openxmlformats.org/officeDocument/2006/relationships/settings" Target="settings.xml"/>
  <Relationship Id="rId6" Type="http://schemas.openxmlformats.org/officeDocument/2006/relationships/image" Target="media/image1.png"/>
  <Relationship Id="rId7" Type="http://schemas.openxmlformats.org/officeDocument/2006/relationships/image" Target="media/image2.png"/>
  <Relationship Id="rId8" Type="http://schemas.openxmlformats.org/officeDocument/2006/relationships/image" Target="media/image3.png"/>
  <Relationship Id="rId9" Type="http://schemas.openxmlformats.org/officeDocument/2006/relationships/image" Target="media/image4.png"/>
  <Relationship Id="rId10" Type="http://schemas.openxmlformats.org/officeDocument/2006/relationships/image" Target="media/image5.png"/>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image" Target="media/image8.png"/>
  <Relationship Id="rId14" Type="http://schemas.openxmlformats.org/officeDocument/2006/relationships/image" Target="media/image9.png"/>
  <Relationship Id="rId15" Type="http://schemas.openxmlformats.org/officeDocument/2006/relationships/image" Target="media/image10.png"/>
  <Relationship Id="rId16" Type="http://schemas.openxmlformats.org/officeDocument/2006/relationships/image" Target="media/image11.png"/>
  <Relationship Id="rId17" Type="http://schemas.openxmlformats.org/officeDocument/2006/relationships/image" Target="media/image12.png"/>
  <Relationship Id="rId18" Type="http://schemas.openxmlformats.org/officeDocument/2006/relationships/image" Target="media/image13.png"/>
  <Relationship Id="rId19" Type="http://schemas.openxmlformats.org/officeDocument/2006/relationships/image" Target="media/image14.png"/>
  <Relationship Id="rId20" Type="http://schemas.openxmlformats.org/officeDocument/2006/relationships/image" Target="media/image15.png"/>
  <Relationship Id="rId21" Type="http://schemas.openxmlformats.org/officeDocument/2006/relationships/image" Target="media/image16.png"/>
  <Relationship Id="rId22" Type="http://schemas.openxmlformats.org/officeDocument/2006/relationships/image" Target="media/image17.png"/>
</Relationships>
</file>

<file path=docProps/core.xml><?xml version="1.0" encoding="utf-8"?>
<cp:coreProperties xmlns:cp="http://schemas.openxmlformats.org/package/2006/metadata/core-properties" xmlns:dc="http://purl.org/dc/elements/1.1/" xmlns:dcterms="http://purl.org/dc/terms/" xmlns:xsi="http://www.w3.org/2001/XMLSchema-instance">
  <dc:title>Análisis de Complejidad Económica en Honduras para la Diversificación Productiva</dc:title>
  <dc:creator>Goro Akechi</dc:creator>
  <dcterms:created xsi:type="dcterms:W3CDTF">2026-01-01T00:00:00Z</dcterms:created>
</cp:coreProperties>
</file>