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B83D0" w14:textId="609C470A" w:rsidR="006A2647" w:rsidRPr="00FF683A" w:rsidRDefault="00E325F2" w:rsidP="00214F5F">
      <w:pPr>
        <w:pStyle w:val="Heading1"/>
        <w:jc w:val="center"/>
        <w:rPr>
          <w:rFonts w:ascii="Aptos Narrow" w:hAnsi="Aptos Narrow"/>
          <w:b/>
          <w:bCs/>
          <w:lang w:val="es-419"/>
        </w:rPr>
      </w:pPr>
      <w:bookmarkStart w:id="0" w:name="_Toc228135348"/>
      <w:r w:rsidRPr="00FF683A">
        <w:rPr>
          <w:rFonts w:ascii="Aptos Narrow" w:hAnsi="Aptos Narrow"/>
          <w:b/>
          <w:bCs/>
          <w:lang w:val="es-419"/>
        </w:rPr>
        <w:t>SCRIPT</w:t>
      </w:r>
      <w:r w:rsidR="00CA7B83" w:rsidRPr="00FF683A">
        <w:rPr>
          <w:rFonts w:ascii="Aptos Narrow" w:hAnsi="Aptos Narrow"/>
          <w:b/>
          <w:bCs/>
          <w:lang w:val="es-419"/>
        </w:rPr>
        <w:t xml:space="preserve"> SUGERIDO</w:t>
      </w:r>
      <w:bookmarkEnd w:id="0"/>
    </w:p>
    <w:p w14:paraId="48E8B5E1" w14:textId="77777777" w:rsidR="00CE7758" w:rsidRPr="00503A28" w:rsidRDefault="00CE7758" w:rsidP="00CE7758">
      <w:pPr>
        <w:pStyle w:val="Heading2"/>
        <w:rPr>
          <w:rFonts w:ascii="Aptos Narrow" w:hAnsi="Aptos Narrow"/>
          <w:sz w:val="22"/>
          <w:szCs w:val="22"/>
        </w:rPr>
      </w:pPr>
      <w:bookmarkStart w:id="1" w:name="_Toc228135350"/>
      <w:r w:rsidRPr="00503A28">
        <w:rPr>
          <w:rFonts w:ascii="Aptos Narrow" w:hAnsi="Aptos Narrow"/>
          <w:sz w:val="22"/>
          <w:szCs w:val="22"/>
        </w:rPr>
        <w:t>SEMANA 3: Redes II — Dinámica sobre Redes y Redes de Actores</w:t>
      </w:r>
      <w:bookmarkEnd w:id="1"/>
    </w:p>
    <w:p w14:paraId="22965128" w14:textId="77777777" w:rsidR="00CE7758" w:rsidRPr="00503A28" w:rsidRDefault="00CE7758" w:rsidP="00CE7758">
      <w:pPr>
        <w:spacing w:after="80"/>
        <w:rPr>
          <w:rFonts w:ascii="Aptos Narrow" w:hAnsi="Aptos Narrow"/>
          <w:sz w:val="22"/>
          <w:szCs w:val="22"/>
          <w:lang w:val="es-419"/>
        </w:rPr>
      </w:pPr>
      <w:r w:rsidRPr="00503A28">
        <w:rPr>
          <w:rFonts w:ascii="Aptos Narrow" w:hAnsi="Aptos Narrow"/>
          <w:i/>
          <w:iCs/>
          <w:color w:val="B85042"/>
          <w:sz w:val="22"/>
          <w:szCs w:val="22"/>
          <w:lang w:val="es-419"/>
        </w:rPr>
        <w:t>Caso ancla: Adopción de energía solar distribuida en Bogotá / Medellín</w:t>
      </w:r>
    </w:p>
    <w:p w14:paraId="7BB42BE4" w14:textId="77777777" w:rsidR="00CE7758" w:rsidRPr="00503A28" w:rsidRDefault="00CE7758" w:rsidP="00CE7758">
      <w:pPr>
        <w:pBdr>
          <w:bottom w:val="single" w:sz="8" w:space="6" w:color="1E2761"/>
        </w:pBdr>
        <w:spacing w:after="120"/>
        <w:rPr>
          <w:rFonts w:ascii="Aptos Narrow" w:hAnsi="Aptos Narrow"/>
          <w:sz w:val="22"/>
          <w:szCs w:val="22"/>
          <w:lang w:val="es-419"/>
        </w:rPr>
      </w:pPr>
      <w:r w:rsidRPr="00503A28">
        <w:rPr>
          <w:rFonts w:ascii="Aptos Narrow" w:hAnsi="Aptos Narrow"/>
          <w:b/>
          <w:bCs/>
          <w:color w:val="1E2761"/>
          <w:sz w:val="22"/>
          <w:szCs w:val="22"/>
          <w:lang w:val="es-419"/>
        </w:rPr>
        <w:t xml:space="preserve">Resultados de Aprendizaje verificados: </w:t>
      </w:r>
      <w:r w:rsidRPr="00503A28">
        <w:rPr>
          <w:rFonts w:ascii="Aptos Narrow" w:hAnsi="Aptos Narrow"/>
          <w:sz w:val="22"/>
          <w:szCs w:val="22"/>
          <w:lang w:val="es-419"/>
        </w:rPr>
        <w:t xml:space="preserve">RAC 2 (alto) · RAC 1, 4 (medio) · </w:t>
      </w:r>
      <w:proofErr w:type="spellStart"/>
      <w:r w:rsidRPr="00503A28">
        <w:rPr>
          <w:rFonts w:ascii="Aptos Narrow" w:hAnsi="Aptos Narrow"/>
          <w:sz w:val="22"/>
          <w:szCs w:val="22"/>
          <w:lang w:val="es-419"/>
        </w:rPr>
        <w:t>Checkpoint</w:t>
      </w:r>
      <w:proofErr w:type="spellEnd"/>
      <w:r w:rsidRPr="00503A28">
        <w:rPr>
          <w:rFonts w:ascii="Aptos Narrow" w:hAnsi="Aptos Narrow"/>
          <w:sz w:val="22"/>
          <w:szCs w:val="22"/>
          <w:lang w:val="es-419"/>
        </w:rPr>
        <w:t xml:space="preserve"> Avance </w:t>
      </w:r>
      <w:proofErr w:type="gramStart"/>
      <w:r w:rsidRPr="00503A28">
        <w:rPr>
          <w:rFonts w:ascii="Aptos Narrow" w:hAnsi="Aptos Narrow"/>
          <w:sz w:val="22"/>
          <w:szCs w:val="22"/>
          <w:lang w:val="es-419"/>
        </w:rPr>
        <w:t>1</w:t>
      </w:r>
      <w:r w:rsidRPr="00503A28">
        <w:rPr>
          <w:rFonts w:ascii="Aptos Narrow" w:hAnsi="Aptos Narrow"/>
          <w:color w:val="5C6478"/>
          <w:sz w:val="22"/>
          <w:szCs w:val="22"/>
          <w:lang w:val="es-419"/>
        </w:rPr>
        <w:t xml:space="preserve">  ·</w:t>
      </w:r>
      <w:proofErr w:type="gramEnd"/>
      <w:r w:rsidRPr="00503A28">
        <w:rPr>
          <w:rFonts w:ascii="Aptos Narrow" w:hAnsi="Aptos Narrow"/>
          <w:color w:val="5C6478"/>
          <w:sz w:val="22"/>
          <w:szCs w:val="22"/>
          <w:lang w:val="es-419"/>
        </w:rPr>
        <w:t xml:space="preserve">  </w:t>
      </w:r>
      <w:r w:rsidRPr="00503A28">
        <w:rPr>
          <w:rFonts w:ascii="Aptos Narrow" w:hAnsi="Aptos Narrow"/>
          <w:b/>
          <w:bCs/>
          <w:color w:val="1E2761"/>
          <w:sz w:val="22"/>
          <w:szCs w:val="22"/>
          <w:lang w:val="es-419"/>
        </w:rPr>
        <w:t xml:space="preserve">RA del programa: </w:t>
      </w:r>
      <w:r w:rsidRPr="00503A28">
        <w:rPr>
          <w:rFonts w:ascii="Aptos Narrow" w:hAnsi="Aptos Narrow"/>
          <w:sz w:val="22"/>
          <w:szCs w:val="22"/>
          <w:lang w:val="es-419"/>
        </w:rPr>
        <w:t>RA2.1, RA2.5, RA3.1, RA3.5</w:t>
      </w:r>
    </w:p>
    <w:p w14:paraId="4A04CB27" w14:textId="77777777" w:rsidR="00CE7758" w:rsidRPr="00503A28" w:rsidRDefault="00CE7758" w:rsidP="00CE7758">
      <w:pPr>
        <w:spacing w:before="60" w:after="60" w:line="300" w:lineRule="auto"/>
        <w:jc w:val="both"/>
        <w:rPr>
          <w:rFonts w:ascii="Aptos Narrow" w:hAnsi="Aptos Narrow"/>
          <w:sz w:val="22"/>
          <w:szCs w:val="22"/>
          <w:lang w:val="es-419"/>
        </w:rPr>
      </w:pPr>
      <w:r w:rsidRPr="00503A28">
        <w:rPr>
          <w:rFonts w:ascii="Aptos Narrow" w:hAnsi="Aptos Narrow"/>
          <w:sz w:val="22"/>
          <w:szCs w:val="22"/>
          <w:lang w:val="es-419"/>
        </w:rPr>
        <w:t xml:space="preserve">Se extiende el análisis de redes en dos direcciones complementarias. Primero, al dominio dinámico: los estados de los nodos cambian en el tiempo en función de sus vecinos. Se estudian modelos canónicos de difusión y adopción (contagio simple y complejo, modelos con umbral) aplicados a la adopción de tecnologías renovables. Segundo, al dominio social e institucional: las redes modelan relaciones entre actores (reguladores, generadores, comunidades, inversionistas), flujos comerciales en el mercado eléctrico, y redes de influencia. Esta semana cierra el módulo de redes con un </w:t>
      </w:r>
      <w:proofErr w:type="spellStart"/>
      <w:r w:rsidRPr="00503A28">
        <w:rPr>
          <w:rFonts w:ascii="Aptos Narrow" w:hAnsi="Aptos Narrow"/>
          <w:sz w:val="22"/>
          <w:szCs w:val="22"/>
          <w:lang w:val="es-419"/>
        </w:rPr>
        <w:t>wrap</w:t>
      </w:r>
      <w:proofErr w:type="spellEnd"/>
      <w:r w:rsidRPr="00503A28">
        <w:rPr>
          <w:rFonts w:ascii="Aptos Narrow" w:hAnsi="Aptos Narrow"/>
          <w:sz w:val="22"/>
          <w:szCs w:val="22"/>
          <w:lang w:val="es-419"/>
        </w:rPr>
        <w:t>-up que incluye limitaciones del enfoque y fronteras del campo.</w:t>
      </w:r>
    </w:p>
    <w:p w14:paraId="3DA5A7DB" w14:textId="5D26B2F0" w:rsidR="004A2836" w:rsidRPr="00FF683A" w:rsidRDefault="00684053" w:rsidP="00724EB6">
      <w:pPr>
        <w:spacing w:before="200" w:after="100"/>
        <w:rPr>
          <w:rFonts w:ascii="Aptos Narrow" w:hAnsi="Aptos Narrow"/>
          <w:b/>
          <w:bCs/>
          <w:color w:val="065A82"/>
          <w:sz w:val="22"/>
          <w:szCs w:val="22"/>
          <w:lang w:val="es-419"/>
        </w:rPr>
      </w:pPr>
      <w:r w:rsidRPr="00FF683A">
        <w:rPr>
          <w:rFonts w:ascii="Aptos Narrow" w:hAnsi="Aptos Narrow"/>
          <w:b/>
          <w:bCs/>
          <w:color w:val="065A82"/>
          <w:sz w:val="22"/>
          <w:szCs w:val="22"/>
          <w:lang w:val="es-419"/>
        </w:rPr>
        <w:t xml:space="preserve">Bloque Autónomo — 10 horas (secuencia Mo → Co → Pr → </w:t>
      </w:r>
      <w:proofErr w:type="spellStart"/>
      <w:r w:rsidRPr="00FF683A">
        <w:rPr>
          <w:rFonts w:ascii="Aptos Narrow" w:hAnsi="Aptos Narrow"/>
          <w:b/>
          <w:bCs/>
          <w:color w:val="065A82"/>
          <w:sz w:val="22"/>
          <w:szCs w:val="22"/>
          <w:lang w:val="es-419"/>
        </w:rPr>
        <w:t>Ev</w:t>
      </w:r>
      <w:proofErr w:type="spellEnd"/>
      <w:r w:rsidRPr="00FF683A">
        <w:rPr>
          <w:rFonts w:ascii="Aptos Narrow" w:hAnsi="Aptos Narrow"/>
          <w:b/>
          <w:bCs/>
          <w:color w:val="065A82"/>
          <w:sz w:val="22"/>
          <w:szCs w:val="22"/>
          <w:lang w:val="es-419"/>
        </w:rPr>
        <w:t xml:space="preserve"> → </w:t>
      </w:r>
      <w:proofErr w:type="spellStart"/>
      <w:r w:rsidRPr="00FF683A">
        <w:rPr>
          <w:rFonts w:ascii="Aptos Narrow" w:hAnsi="Aptos Narrow"/>
          <w:b/>
          <w:bCs/>
          <w:color w:val="065A82"/>
          <w:sz w:val="22"/>
          <w:szCs w:val="22"/>
          <w:lang w:val="es-419"/>
        </w:rPr>
        <w:t>Proy</w:t>
      </w:r>
      <w:proofErr w:type="spellEnd"/>
      <w:r w:rsidRPr="00FF683A">
        <w:rPr>
          <w:rFonts w:ascii="Aptos Narrow" w:hAnsi="Aptos Narrow"/>
          <w:b/>
          <w:bCs/>
          <w:color w:val="065A82"/>
          <w:sz w:val="22"/>
          <w:szCs w:val="22"/>
          <w:lang w:val="es-419"/>
        </w:rPr>
        <w:t>)</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2"/>
        <w:gridCol w:w="1492"/>
        <w:gridCol w:w="7076"/>
      </w:tblGrid>
      <w:tr w:rsidR="00724EB6" w:rsidRPr="00FF683A" w14:paraId="74BA0B68" w14:textId="77777777" w:rsidTr="592C80BC">
        <w:trPr>
          <w:tblHeader/>
        </w:trPr>
        <w:tc>
          <w:tcPr>
            <w:tcW w:w="66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17255C3F" w14:textId="0D38FFF0" w:rsidR="00724EB6" w:rsidRPr="00FF683A" w:rsidRDefault="00724EB6" w:rsidP="00724EB6">
            <w:pPr>
              <w:jc w:val="center"/>
              <w:rPr>
                <w:rFonts w:ascii="Aptos Narrow" w:hAnsi="Aptos Narrow"/>
                <w:sz w:val="22"/>
                <w:szCs w:val="22"/>
              </w:rPr>
            </w:pPr>
            <w:proofErr w:type="spellStart"/>
            <w:r w:rsidRPr="00FF683A">
              <w:rPr>
                <w:rFonts w:ascii="Aptos Narrow" w:hAnsi="Aptos Narrow"/>
                <w:b/>
                <w:bCs/>
                <w:color w:val="FFFFFF"/>
                <w:sz w:val="22"/>
                <w:szCs w:val="22"/>
              </w:rPr>
              <w:t>Cód</w:t>
            </w:r>
            <w:proofErr w:type="spellEnd"/>
            <w:r w:rsidRPr="00FF683A">
              <w:rPr>
                <w:rFonts w:ascii="Aptos Narrow" w:hAnsi="Aptos Narrow"/>
                <w:b/>
                <w:bCs/>
                <w:color w:val="FFFFFF"/>
                <w:sz w:val="22"/>
                <w:szCs w:val="22"/>
              </w:rPr>
              <w:t>.</w:t>
            </w:r>
          </w:p>
        </w:tc>
        <w:tc>
          <w:tcPr>
            <w:tcW w:w="1492"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0F508EA4" w14:textId="6BD6E725" w:rsidR="00724EB6" w:rsidRPr="00FF683A" w:rsidRDefault="00724EB6" w:rsidP="00724EB6">
            <w:pPr>
              <w:jc w:val="center"/>
              <w:rPr>
                <w:rFonts w:ascii="Aptos Narrow" w:hAnsi="Aptos Narrow"/>
                <w:b/>
                <w:bCs/>
                <w:sz w:val="22"/>
                <w:szCs w:val="22"/>
              </w:rPr>
            </w:pPr>
            <w:proofErr w:type="spellStart"/>
            <w:r w:rsidRPr="00FF683A">
              <w:rPr>
                <w:rFonts w:ascii="Aptos Narrow" w:hAnsi="Aptos Narrow"/>
                <w:b/>
                <w:bCs/>
                <w:sz w:val="22"/>
                <w:szCs w:val="22"/>
              </w:rPr>
              <w:t>Momento</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1E2761"/>
            <w:tcMar>
              <w:top w:w="100" w:type="dxa"/>
              <w:left w:w="120" w:type="dxa"/>
              <w:bottom w:w="100" w:type="dxa"/>
              <w:right w:w="120" w:type="dxa"/>
            </w:tcMar>
          </w:tcPr>
          <w:p w14:paraId="207CF46F" w14:textId="5A71FBA9" w:rsidR="00724EB6" w:rsidRPr="00FF683A" w:rsidRDefault="00724EB6" w:rsidP="00724EB6">
            <w:pPr>
              <w:jc w:val="center"/>
              <w:rPr>
                <w:rFonts w:ascii="Aptos Narrow" w:hAnsi="Aptos Narrow"/>
                <w:sz w:val="22"/>
                <w:szCs w:val="22"/>
                <w:lang w:val="es-419"/>
              </w:rPr>
            </w:pPr>
            <w:r w:rsidRPr="00FF683A">
              <w:rPr>
                <w:rFonts w:ascii="Aptos Narrow" w:hAnsi="Aptos Narrow"/>
                <w:b/>
                <w:bCs/>
                <w:color w:val="FFFFFF"/>
                <w:sz w:val="22"/>
                <w:szCs w:val="22"/>
                <w:lang w:val="es-419"/>
              </w:rPr>
              <w:t>Descripción</w:t>
            </w:r>
          </w:p>
        </w:tc>
      </w:tr>
      <w:tr w:rsidR="00724EB6" w:rsidRPr="00FF683A" w14:paraId="48B2D932" w14:textId="77777777" w:rsidTr="592C80BC">
        <w:tc>
          <w:tcPr>
            <w:tcW w:w="662" w:type="dxa"/>
            <w:tcBorders>
              <w:top w:val="single" w:sz="4" w:space="0" w:color="B0B8C9"/>
              <w:left w:val="single" w:sz="4" w:space="0" w:color="B0B8C9"/>
              <w:bottom w:val="single" w:sz="4" w:space="0" w:color="B0B8C9"/>
              <w:right w:val="single" w:sz="4" w:space="0" w:color="B0B8C9"/>
            </w:tcBorders>
            <w:shd w:val="clear" w:color="auto" w:fill="BBDEFB"/>
            <w:tcMar>
              <w:top w:w="80" w:type="dxa"/>
              <w:left w:w="120" w:type="dxa"/>
              <w:bottom w:w="80" w:type="dxa"/>
              <w:right w:w="120" w:type="dxa"/>
            </w:tcMar>
            <w:vAlign w:val="center"/>
          </w:tcPr>
          <w:p w14:paraId="507C7F15" w14:textId="7AAD914C" w:rsidR="00724EB6" w:rsidRPr="00FF683A" w:rsidRDefault="00724EB6" w:rsidP="00724EB6">
            <w:pPr>
              <w:spacing w:after="0"/>
              <w:jc w:val="center"/>
              <w:rPr>
                <w:rFonts w:ascii="Aptos Narrow" w:hAnsi="Aptos Narrow"/>
                <w:sz w:val="20"/>
                <w:szCs w:val="20"/>
              </w:rPr>
            </w:pPr>
            <w:r w:rsidRPr="00FF683A">
              <w:rPr>
                <w:rFonts w:ascii="Aptos Narrow" w:hAnsi="Aptos Narrow"/>
                <w:b/>
                <w:bCs/>
                <w:color w:val="1E2761"/>
                <w:sz w:val="20"/>
                <w:szCs w:val="20"/>
              </w:rPr>
              <w:t>Co</w:t>
            </w:r>
          </w:p>
        </w:tc>
        <w:tc>
          <w:tcPr>
            <w:tcW w:w="1492"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vAlign w:val="center"/>
          </w:tcPr>
          <w:p w14:paraId="532418CD" w14:textId="377268DC" w:rsidR="00724EB6" w:rsidRPr="00FF683A" w:rsidRDefault="00724EB6" w:rsidP="00724EB6">
            <w:pPr>
              <w:spacing w:after="0"/>
              <w:jc w:val="center"/>
              <w:rPr>
                <w:rFonts w:ascii="Aptos Narrow" w:hAnsi="Aptos Narrow"/>
                <w:sz w:val="20"/>
                <w:szCs w:val="20"/>
              </w:rPr>
            </w:pPr>
            <w:proofErr w:type="spellStart"/>
            <w:r w:rsidRPr="00FF683A">
              <w:rPr>
                <w:rFonts w:ascii="Aptos Narrow" w:hAnsi="Aptos Narrow"/>
                <w:b/>
                <w:bCs/>
                <w:color w:val="1E2761"/>
                <w:sz w:val="20"/>
                <w:szCs w:val="20"/>
              </w:rPr>
              <w:t>Contenidos</w:t>
            </w:r>
            <w:proofErr w:type="spellEnd"/>
          </w:p>
        </w:tc>
        <w:tc>
          <w:tcPr>
            <w:tcW w:w="7076" w:type="dxa"/>
            <w:tcBorders>
              <w:top w:val="single" w:sz="4" w:space="0" w:color="B0B8C9"/>
              <w:left w:val="single" w:sz="4" w:space="0" w:color="B0B8C9"/>
              <w:bottom w:val="single" w:sz="4" w:space="0" w:color="B0B8C9"/>
              <w:right w:val="single" w:sz="4" w:space="0" w:color="B0B8C9"/>
            </w:tcBorders>
            <w:shd w:val="clear" w:color="auto" w:fill="F5F7FB"/>
            <w:tcMar>
              <w:top w:w="80" w:type="dxa"/>
              <w:left w:w="120" w:type="dxa"/>
              <w:bottom w:w="80" w:type="dxa"/>
              <w:right w:w="120" w:type="dxa"/>
            </w:tcMar>
          </w:tcPr>
          <w:p w14:paraId="4896D813"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Video-lecciones 3.1–3.4 (54 min): dinámica sobre redes con nodos con estado y reglas de actualización; difusión, contagio simple vs. complejo, umbrales de adopción; modelos de Bass, Watts, Granovetter; redes de actores y </w:t>
            </w:r>
            <w:proofErr w:type="spellStart"/>
            <w:r w:rsidRPr="005D5078">
              <w:rPr>
                <w:rFonts w:ascii="Aptos Narrow" w:hAnsi="Aptos Narrow"/>
                <w:sz w:val="20"/>
                <w:szCs w:val="20"/>
                <w:lang w:val="es-419"/>
              </w:rPr>
              <w:t>stakeholders</w:t>
            </w:r>
            <w:proofErr w:type="spellEnd"/>
            <w:r w:rsidRPr="005D5078">
              <w:rPr>
                <w:rFonts w:ascii="Aptos Narrow" w:hAnsi="Aptos Narrow"/>
                <w:sz w:val="20"/>
                <w:szCs w:val="20"/>
                <w:lang w:val="es-419"/>
              </w:rPr>
              <w:t xml:space="preserve">; redes bipartitas (generadores–comercializadores); el mercado mayorista colombiano como grafo; </w:t>
            </w:r>
            <w:proofErr w:type="spellStart"/>
            <w:r w:rsidRPr="005D5078">
              <w:rPr>
                <w:rFonts w:ascii="Aptos Narrow" w:hAnsi="Aptos Narrow"/>
                <w:sz w:val="20"/>
                <w:szCs w:val="20"/>
                <w:lang w:val="es-419"/>
              </w:rPr>
              <w:t>wrap</w:t>
            </w:r>
            <w:proofErr w:type="spellEnd"/>
            <w:r w:rsidRPr="005D5078">
              <w:rPr>
                <w:rFonts w:ascii="Aptos Narrow" w:hAnsi="Aptos Narrow"/>
                <w:sz w:val="20"/>
                <w:szCs w:val="20"/>
                <w:lang w:val="es-419"/>
              </w:rPr>
              <w:t xml:space="preserve">-up del módulo de redes y horizonte ABM (Mesa). </w:t>
            </w:r>
          </w:p>
          <w:p w14:paraId="5DEC2BA4" w14:textId="77777777" w:rsidR="005D5078" w:rsidRPr="005D5078" w:rsidRDefault="005D5078" w:rsidP="005D5078">
            <w:pPr>
              <w:spacing w:after="40"/>
              <w:jc w:val="both"/>
              <w:rPr>
                <w:rFonts w:ascii="Aptos Narrow" w:hAnsi="Aptos Narrow"/>
                <w:sz w:val="20"/>
                <w:szCs w:val="20"/>
                <w:lang w:val="es-419"/>
              </w:rPr>
            </w:pPr>
            <w:r w:rsidRPr="005D5078">
              <w:rPr>
                <w:rFonts w:ascii="Aptos Narrow" w:hAnsi="Aptos Narrow"/>
                <w:sz w:val="20"/>
                <w:szCs w:val="20"/>
                <w:lang w:val="es-419"/>
              </w:rPr>
              <w:t xml:space="preserve">Lectura: </w:t>
            </w:r>
            <w:proofErr w:type="spellStart"/>
            <w:r w:rsidRPr="005D5078">
              <w:rPr>
                <w:rFonts w:ascii="Aptos Narrow" w:hAnsi="Aptos Narrow"/>
                <w:sz w:val="20"/>
                <w:szCs w:val="20"/>
                <w:lang w:val="es-419"/>
              </w:rPr>
              <w:t>Barabási</w:t>
            </w:r>
            <w:proofErr w:type="spellEnd"/>
            <w:r w:rsidRPr="005D5078">
              <w:rPr>
                <w:rFonts w:ascii="Aptos Narrow" w:hAnsi="Aptos Narrow"/>
                <w:sz w:val="20"/>
                <w:szCs w:val="20"/>
                <w:lang w:val="es-419"/>
              </w:rPr>
              <w:t xml:space="preserve"> Cap. 5–6 y 10; Watts (2002) </w:t>
            </w:r>
          </w:p>
          <w:p w14:paraId="2AD857F3" w14:textId="48530B25" w:rsidR="00724EB6" w:rsidRPr="00FF683A" w:rsidRDefault="005D5078" w:rsidP="005D5078">
            <w:pPr>
              <w:spacing w:after="0"/>
              <w:jc w:val="both"/>
              <w:rPr>
                <w:rFonts w:ascii="Aptos Narrow" w:eastAsia="Aptos Narrow" w:hAnsi="Aptos Narrow" w:cs="Aptos Narrow"/>
                <w:sz w:val="20"/>
                <w:szCs w:val="20"/>
                <w:lang w:val="es-419"/>
              </w:rPr>
            </w:pPr>
            <w:r w:rsidRPr="005D5078">
              <w:rPr>
                <w:rFonts w:ascii="Aptos Narrow" w:hAnsi="Aptos Narrow"/>
                <w:sz w:val="20"/>
                <w:szCs w:val="20"/>
              </w:rPr>
              <w:t xml:space="preserve">PNAS; </w:t>
            </w:r>
            <w:proofErr w:type="spellStart"/>
            <w:r w:rsidRPr="005D5078">
              <w:rPr>
                <w:rFonts w:ascii="Aptos Narrow" w:hAnsi="Aptos Narrow"/>
                <w:sz w:val="20"/>
                <w:szCs w:val="20"/>
              </w:rPr>
              <w:t>documento</w:t>
            </w:r>
            <w:proofErr w:type="spellEnd"/>
            <w:r w:rsidRPr="005D5078">
              <w:rPr>
                <w:rFonts w:ascii="Aptos Narrow" w:hAnsi="Aptos Narrow"/>
                <w:sz w:val="20"/>
                <w:szCs w:val="20"/>
              </w:rPr>
              <w:t xml:space="preserve"> </w:t>
            </w:r>
            <w:proofErr w:type="spellStart"/>
            <w:r w:rsidRPr="005D5078">
              <w:rPr>
                <w:rFonts w:ascii="Aptos Narrow" w:hAnsi="Aptos Narrow"/>
                <w:sz w:val="20"/>
                <w:szCs w:val="20"/>
              </w:rPr>
              <w:t>técnico</w:t>
            </w:r>
            <w:proofErr w:type="spellEnd"/>
            <w:r w:rsidRPr="005D5078">
              <w:rPr>
                <w:rFonts w:ascii="Aptos Narrow" w:hAnsi="Aptos Narrow"/>
                <w:sz w:val="20"/>
                <w:szCs w:val="20"/>
              </w:rPr>
              <w:t xml:space="preserve"> XM.</w:t>
            </w:r>
          </w:p>
        </w:tc>
      </w:tr>
    </w:tbl>
    <w:p w14:paraId="3F81575C" w14:textId="77777777" w:rsidR="00724EB6" w:rsidRPr="00FF683A" w:rsidRDefault="00724EB6" w:rsidP="006A2647">
      <w:pPr>
        <w:pStyle w:val="Heading2"/>
        <w:rPr>
          <w:rFonts w:ascii="Aptos Narrow" w:hAnsi="Aptos Narrow"/>
          <w:sz w:val="22"/>
          <w:szCs w:val="22"/>
        </w:rPr>
      </w:pPr>
    </w:p>
    <w:p w14:paraId="29CA0D02" w14:textId="77777777" w:rsidR="00724EB6" w:rsidRPr="00FF683A" w:rsidRDefault="00724EB6">
      <w:pPr>
        <w:rPr>
          <w:rFonts w:ascii="Aptos Narrow" w:eastAsia="Calibri" w:hAnsi="Aptos Narrow" w:cs="Calibri"/>
          <w:b/>
          <w:bCs/>
          <w:color w:val="065A82"/>
          <w:sz w:val="22"/>
          <w:szCs w:val="22"/>
          <w:lang w:val="es-CO" w:eastAsia="es-MX"/>
        </w:rPr>
      </w:pPr>
      <w:r w:rsidRPr="00FF683A">
        <w:rPr>
          <w:rFonts w:ascii="Aptos Narrow" w:hAnsi="Aptos Narrow"/>
          <w:sz w:val="22"/>
          <w:szCs w:val="22"/>
          <w:lang w:val="es-419"/>
        </w:rPr>
        <w:br w:type="page"/>
      </w:r>
    </w:p>
    <w:p w14:paraId="31A0717A" w14:textId="777663C2" w:rsidR="006A2647" w:rsidRPr="00FF683A" w:rsidRDefault="006A2647" w:rsidP="006A2647">
      <w:pPr>
        <w:pStyle w:val="Heading2"/>
        <w:rPr>
          <w:rFonts w:ascii="Aptos Narrow" w:hAnsi="Aptos Narrow"/>
          <w:sz w:val="22"/>
          <w:szCs w:val="22"/>
          <w:lang w:val="es-419"/>
        </w:rPr>
      </w:pPr>
      <w:r w:rsidRPr="00FF683A">
        <w:rPr>
          <w:rFonts w:ascii="Aptos Narrow" w:hAnsi="Aptos Narrow"/>
          <w:sz w:val="22"/>
          <w:szCs w:val="22"/>
        </w:rPr>
        <w:lastRenderedPageBreak/>
        <w:t xml:space="preserve">SCRIPT </w:t>
      </w:r>
      <w:r w:rsidRPr="00FF683A">
        <w:rPr>
          <w:rFonts w:ascii="Aptos Narrow" w:hAnsi="Aptos Narrow"/>
          <w:sz w:val="22"/>
          <w:szCs w:val="22"/>
          <w:lang w:val="es-419"/>
        </w:rPr>
        <w:t xml:space="preserve">~ </w:t>
      </w:r>
      <w:r w:rsidR="001F0BA5" w:rsidRPr="00FF683A">
        <w:rPr>
          <w:rFonts w:ascii="Aptos Narrow" w:hAnsi="Aptos Narrow"/>
          <w:sz w:val="22"/>
          <w:szCs w:val="22"/>
          <w:lang w:val="es-419"/>
        </w:rPr>
        <w:t>1</w:t>
      </w:r>
      <w:r w:rsidRPr="00FF683A">
        <w:rPr>
          <w:rFonts w:ascii="Aptos Narrow" w:hAnsi="Aptos Narrow"/>
          <w:sz w:val="22"/>
          <w:szCs w:val="22"/>
          <w:lang w:val="es-419"/>
        </w:rPr>
        <w:t>5 min</w:t>
      </w:r>
    </w:p>
    <w:p w14:paraId="303462A7" w14:textId="5D1D9C61" w:rsidR="00723ADE" w:rsidRPr="008727A4" w:rsidRDefault="00CF7577" w:rsidP="00723ADE">
      <w:pPr>
        <w:spacing w:after="60"/>
        <w:rPr>
          <w:rFonts w:ascii="Aptos Narrow" w:hAnsi="Aptos Narrow"/>
          <w:sz w:val="22"/>
          <w:szCs w:val="22"/>
          <w:lang w:val="es-419"/>
        </w:rPr>
      </w:pPr>
      <w:r w:rsidRPr="008727A4">
        <w:rPr>
          <w:rFonts w:ascii="Aptos Narrow" w:hAnsi="Aptos Narrow"/>
          <w:b/>
          <w:bCs/>
          <w:color w:val="1F3864"/>
          <w:sz w:val="22"/>
          <w:szCs w:val="22"/>
          <w:lang w:val="es-419"/>
        </w:rPr>
        <w:t xml:space="preserve">Alcance de </w:t>
      </w:r>
      <w:r w:rsidR="005D5078">
        <w:rPr>
          <w:rFonts w:ascii="Aptos Narrow" w:hAnsi="Aptos Narrow"/>
          <w:b/>
          <w:bCs/>
          <w:color w:val="1F3864"/>
          <w:sz w:val="22"/>
          <w:szCs w:val="22"/>
          <w:lang w:val="es-419"/>
        </w:rPr>
        <w:t>3.1</w:t>
      </w:r>
      <w:r w:rsidRPr="008727A4">
        <w:rPr>
          <w:rFonts w:ascii="Aptos Narrow" w:hAnsi="Aptos Narrow"/>
          <w:b/>
          <w:bCs/>
          <w:color w:val="1F3864"/>
          <w:sz w:val="22"/>
          <w:szCs w:val="22"/>
          <w:lang w:val="es-419"/>
        </w:rPr>
        <w:t xml:space="preserve">: </w:t>
      </w:r>
      <w:r w:rsidR="0065441E" w:rsidRPr="008727A4">
        <w:rPr>
          <w:rFonts w:ascii="Aptos Narrow" w:hAnsi="Aptos Narrow"/>
          <w:sz w:val="22"/>
          <w:szCs w:val="22"/>
          <w:lang w:val="es-419"/>
        </w:rPr>
        <w:t>Paradoja robusto pero frágil; criterio N-1 y su punto ciego; modelo capacidad-carga (Motter-Lai) y fallas en cascada; puente al Lab 1</w:t>
      </w:r>
    </w:p>
    <w:p w14:paraId="13965953" w14:textId="77777777" w:rsidR="00A55028" w:rsidRPr="00A55028" w:rsidRDefault="00A55028" w:rsidP="00A55028">
      <w:pPr>
        <w:spacing w:before="280" w:after="120"/>
        <w:rPr>
          <w:rFonts w:ascii="Aptos Narrow" w:hAnsi="Aptos Narrow"/>
          <w:sz w:val="22"/>
          <w:szCs w:val="22"/>
          <w:lang w:val="es-419"/>
        </w:rPr>
      </w:pPr>
      <w:r w:rsidRPr="00A55028">
        <w:rPr>
          <w:rFonts w:ascii="Aptos Narrow" w:hAnsi="Aptos Narrow"/>
          <w:b/>
          <w:bCs/>
          <w:color w:val="1F3864"/>
          <w:sz w:val="22"/>
          <w:szCs w:val="22"/>
          <w:lang w:val="es-419"/>
        </w:rPr>
        <w:t>Segmento 1 — De la estructura fija al sistema vivo</w:t>
      </w:r>
    </w:p>
    <w:p w14:paraId="09ED8D3D"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La semana pasada aprendimos a ver el sistema eléctrico como una red y a medirla: construimos el grafo, calculamos centralidades, clasificamos su topología y la estresamos para hallar sus puntos frágiles. Pero en todo ese análisis la red era un objeto fijo. Un mapa de conexiones que no cambiaba mientras lo estudiábamos. Los nodos estaban ahí, quietos, y lo único que nos importaba era cómo estaban conectados.</w:t>
      </w:r>
    </w:p>
    <w:p w14:paraId="79500698"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Esta semana damos el paso que hace a las redes verdaderamente poderosas para entender fenómenos sociales y de mercado: le damos vida a los nodos. La estructura de conexiones sigue importando, pero ahora vamos a ponerle encima algo nuevo: cada nodo tiene un estado que puede cambiar en el tiempo. Y va a cambiar en función de lo que hagan sus vecinos en la red. Esto se llama dinámica sobre redes, y es una distinción fundamental que quiero que quede clara desde el principio: una cosa es la dinámica de la red, cómo la red misma gana o pierde conexiones, y otra muy distinta es la dinámica sobre la red, cómo algo se propaga por una estructura de conexiones que tomamos como dada. Esta semana nos ocupa lo segundo.</w:t>
      </w:r>
    </w:p>
    <w:p w14:paraId="0E19E038"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Un ejemplo rápido para fijar la diferencia. Si estudio cómo, año tras año, se construyen nuevas líneas de transmisión y aparecen nuevas subestaciones, estoy estudiando la dinámica de la red: la estructura misma cambia. En cambio, si tomo la red social de una ciudad como fija y observo cómo la decisión de instalar paneles salta de vecino en vecino sobre esa estructura, estoy estudiando la dinámica sobre la red. Ambas son válidas e importantes, pero requieren herramientas distintas. Esta semana la estructura la damos por dada, y ponemos toda la atención en lo que corre por encima de ella.</w:t>
      </w:r>
    </w:p>
    <w:p w14:paraId="11BB8682"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El caso que nos guía es el de la motivación: la adopción de energía solar distribuida en Bogotá y Medellín. Vamos a modelar a cada hogar o empresa como un nodo, con un estado sencillo: adoptó paneles, o no los adoptó. Las aristas son las relaciones sociales, quién ve e influye a quién. Y la pregunta es cómo el estado adoptó se propaga por esa red social a lo largo del tiempo, hasta producir esa curva de despegue que vimos en la motivación. Para responderla, primero necesitamos el andamiaje conceptual de qué es un estado y qué es una regla de actualización.</w:t>
      </w:r>
    </w:p>
    <w:p w14:paraId="6223EB9C" w14:textId="77777777" w:rsidR="00A55028" w:rsidRPr="00A55028" w:rsidRDefault="00A55028" w:rsidP="00A55028">
      <w:pPr>
        <w:spacing w:before="280" w:after="120"/>
        <w:rPr>
          <w:rFonts w:ascii="Aptos Narrow" w:hAnsi="Aptos Narrow"/>
          <w:sz w:val="22"/>
          <w:szCs w:val="22"/>
          <w:lang w:val="es-419"/>
        </w:rPr>
      </w:pPr>
      <w:r w:rsidRPr="00A55028">
        <w:rPr>
          <w:rFonts w:ascii="Aptos Narrow" w:hAnsi="Aptos Narrow"/>
          <w:b/>
          <w:bCs/>
          <w:color w:val="1F3864"/>
          <w:sz w:val="22"/>
          <w:szCs w:val="22"/>
          <w:lang w:val="es-419"/>
        </w:rPr>
        <w:t>Segmento 2 — Estados y reglas de actualización</w:t>
      </w:r>
    </w:p>
    <w:p w14:paraId="1712BD54"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Un modelo de dinámica sobre redes tiene tres ingredientes, y vale la pena separarlos con claridad. El primero es el conjunto de estados posibles que puede tener un nodo. En el caso más simple, dos estados: activo o inactivo, adoptó o no adoptó, informado o no informado, infectado o sano. El estado es la variable que describe en qué situación está cada nodo en un momento dado.</w:t>
      </w:r>
    </w:p>
    <w:p w14:paraId="44F60A72"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 xml:space="preserve">El segundo ingrediente es la regla de actualización, y es el corazón del modelo. La regla dice cómo un nodo decide cambiar de estado, mirando el estado de sus vecinos. Es una regla local: cada nodo solo ve a los que </w:t>
      </w:r>
      <w:r w:rsidRPr="00A55028">
        <w:rPr>
          <w:rFonts w:ascii="Aptos Narrow" w:hAnsi="Aptos Narrow"/>
          <w:sz w:val="22"/>
          <w:szCs w:val="22"/>
          <w:lang w:val="es-419"/>
        </w:rPr>
        <w:lastRenderedPageBreak/>
        <w:t xml:space="preserve">están conectados directamente con él, no tiene una vista global del sistema. Por ejemplo, una regla podría ser: un hogar adopta paneles si al menos cierto número de sus vecinos ya los adoptaron. Fíjense en la estructura: la decisión de cada nodo depende solo de su vecindario inmediato, </w:t>
      </w:r>
      <w:proofErr w:type="gramStart"/>
      <w:r w:rsidRPr="00A55028">
        <w:rPr>
          <w:rFonts w:ascii="Aptos Narrow" w:hAnsi="Aptos Narrow"/>
          <w:sz w:val="22"/>
          <w:szCs w:val="22"/>
          <w:lang w:val="es-419"/>
        </w:rPr>
        <w:t>y</w:t>
      </w:r>
      <w:proofErr w:type="gramEnd"/>
      <w:r w:rsidRPr="00A55028">
        <w:rPr>
          <w:rFonts w:ascii="Aptos Narrow" w:hAnsi="Aptos Narrow"/>
          <w:sz w:val="22"/>
          <w:szCs w:val="22"/>
          <w:lang w:val="es-419"/>
        </w:rPr>
        <w:t xml:space="preserve"> sin embargo, del choque de todas esas decisiones locales va a emerger un comportamiento global, la curva de adopción de toda la ciudad. Es exactamente la idea de emergencia que estudiamos en la primera semana, ahora hecha mecanismo concreto.</w:t>
      </w:r>
    </w:p>
    <w:p w14:paraId="2DFB8378"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El tercer ingrediente es el tiempo. La dinámica avanza por pasos: en cada paso, los nodos revisan a sus vecinos y aplican la regla de actualización, cambiando o no de estado. Repetimos el proceso paso a paso y observamos cómo evoluciona el patrón global. Un nodo que se activa en un paso puede, en el siguiente, ser justamente el vecino que activa a otro, y así el cambio se propaga en oleadas por la red. Este avance por pasos es lo que produce las trayectorias en el tiempo, y es lo que ustedes van a simular en el laboratorio de esta semana sobre redes sintéticas.</w:t>
      </w:r>
    </w:p>
    <w:p w14:paraId="24EF5415"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 xml:space="preserve">Quiero que noten una consecuencia poderosa de este planteamiento, porque es la razón por la que la semana pasada no fue en vano. La misma regla de actualización, la misma dinámica, puede producir resultados completamente distintos según la estructura de la red sobre la que corra. Una idea que se propaga rápido en una red muy conectada puede quedar atrapada y morir en una red fragmentada en comunidades aisladas. Los conceptos que aprendimos en Redes I, la topología, los </w:t>
      </w:r>
      <w:proofErr w:type="spellStart"/>
      <w:r w:rsidRPr="00A55028">
        <w:rPr>
          <w:rFonts w:ascii="Aptos Narrow" w:hAnsi="Aptos Narrow"/>
          <w:sz w:val="22"/>
          <w:szCs w:val="22"/>
          <w:lang w:val="es-419"/>
        </w:rPr>
        <w:t>hubs</w:t>
      </w:r>
      <w:proofErr w:type="spellEnd"/>
      <w:r w:rsidRPr="00A55028">
        <w:rPr>
          <w:rFonts w:ascii="Aptos Narrow" w:hAnsi="Aptos Narrow"/>
          <w:sz w:val="22"/>
          <w:szCs w:val="22"/>
          <w:lang w:val="es-419"/>
        </w:rPr>
        <w:t>, los atajos, las comunidades, no eran un tema aparte: eran precisamente el escenario sobre el que ahora ocurre la acción. Por eso en el laboratorio compararán cómo se difunde la misma adopción sobre redes de estructura distinta, para ver con sus propios ojos que la estructura decide el destino de la difusión.</w:t>
      </w:r>
    </w:p>
    <w:p w14:paraId="0C797A08" w14:textId="77777777" w:rsidR="00A55028" w:rsidRPr="00A55028" w:rsidRDefault="00A55028" w:rsidP="00A55028">
      <w:pPr>
        <w:pBdr>
          <w:left w:val="single" w:sz="18" w:space="12" w:color="9C6500"/>
        </w:pBdr>
        <w:spacing w:before="120"/>
        <w:rPr>
          <w:rFonts w:ascii="Aptos Narrow" w:hAnsi="Aptos Narrow"/>
          <w:sz w:val="22"/>
          <w:szCs w:val="22"/>
          <w:lang w:val="es-419"/>
        </w:rPr>
      </w:pPr>
      <w:r w:rsidRPr="00A55028">
        <w:rPr>
          <w:rFonts w:ascii="Aptos Narrow" w:hAnsi="Aptos Narrow"/>
          <w:b/>
          <w:bCs/>
          <w:color w:val="9C6500"/>
          <w:sz w:val="22"/>
          <w:szCs w:val="22"/>
          <w:lang w:val="es-419"/>
        </w:rPr>
        <w:t xml:space="preserve">[QUIZ EMBEBIDO] </w:t>
      </w:r>
      <w:r w:rsidRPr="00A55028">
        <w:rPr>
          <w:rFonts w:ascii="Aptos Narrow" w:hAnsi="Aptos Narrow"/>
          <w:i/>
          <w:iCs/>
          <w:color w:val="555555"/>
          <w:sz w:val="22"/>
          <w:szCs w:val="22"/>
          <w:lang w:val="es-419"/>
        </w:rPr>
        <w:t>Se define una red pequeña con algunos nodos ya activos y una regla de actualización local (un nodo se activa si un vecino activo lo influye). El estudiante debe aplicar la regla durante dos pasos y determinar qué nodos terminan activos, distinguiendo la decisión local de cada nodo del patrón global resultante.</w:t>
      </w:r>
    </w:p>
    <w:p w14:paraId="2B4B3490" w14:textId="77777777" w:rsidR="00A55028" w:rsidRPr="00A55028" w:rsidRDefault="00A55028" w:rsidP="00A55028">
      <w:pPr>
        <w:spacing w:before="280" w:after="120"/>
        <w:rPr>
          <w:rFonts w:ascii="Aptos Narrow" w:hAnsi="Aptos Narrow"/>
          <w:sz w:val="22"/>
          <w:szCs w:val="22"/>
          <w:lang w:val="es-419"/>
        </w:rPr>
      </w:pPr>
      <w:r w:rsidRPr="00A55028">
        <w:rPr>
          <w:rFonts w:ascii="Aptos Narrow" w:hAnsi="Aptos Narrow"/>
          <w:b/>
          <w:bCs/>
          <w:color w:val="1F3864"/>
          <w:sz w:val="22"/>
          <w:szCs w:val="22"/>
          <w:lang w:val="es-419"/>
        </w:rPr>
        <w:t>Segmento 3 — Contagio simple: la lógica de la epidemia</w:t>
      </w:r>
    </w:p>
    <w:p w14:paraId="7F2C3FDE"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Empecemos con el tipo de propagación más sencillo, el contagio simple. En un contagio simple, basta un solo contacto con un vecino activo para que un nodo tenga posibilidad de activarse. Es la lógica de una enfermedad infecciosa o de un rumor: un solo portador puede contagiarte, y una vez contagiado puedes contagiar a otros. Cada contacto es una oportunidad independiente de transmisión.</w:t>
      </w:r>
    </w:p>
    <w:p w14:paraId="5F9B1365"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Lo característico del contagio simple es que se propaga con enorme facilidad, sobre todo si la red tiene atajos, esas conexiones de largo alcance que vimos en las redes de mundo pequeño la semana pasada. Un solo nodo activo en un rincón de la red puede, a través de un atajo, sembrar el contagio en una región completamente distinta, y desde ahí seguir expandiéndose. Por eso los rumores, los memes y los virus se difunden tan rápido y tan lejos: les basta un puente para saltar. Para el contagio simple, las conexiones débiles y lejanas son valiosísimas, porque son las que llevan la propagación a territorios nuevos.</w:t>
      </w:r>
    </w:p>
    <w:p w14:paraId="5B43EB52"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lastRenderedPageBreak/>
        <w:t>Un modelo clásico que captura esta difusión, muy usado en marketing y en adopción de tecnologías, es el modelo de Bass. La idea de Bass es que la adopción de un producto nuevo tiene dos motores. Por un lado, la innovación: gente que adopta por influencia externa, la publicidad, el precio, los incentivos, de forma independiente de lo que hagan los demás. Por otro lado, la imitación: gente que adopta porque ve que otros ya adoptaron, un efecto de boca a boca que se refuerza a medida que crece el número de adoptantes. Ese segundo motor, la imitación, es un lazo de refuerzo, y es el que produce la parte empinada de la curva en forma de ese: entre más gente ha adoptado, más gente nueva se contagia de la idea, acelerando la adopción hasta que empieza a saturarse el mercado.</w:t>
      </w:r>
    </w:p>
    <w:p w14:paraId="57A79CA1"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Traduzcamos esto al caso solar para que no quede abstracto. El motor de innovación serían los primeros hogares que instalan paneles motivados por la caída de precios y por los incentivos de autogeneración, casi sin importar lo que hagan sus vecinos: los pioneros. El motor de imitación sería todo lo que viene después, cuando la gente empieza a adoptar porque vio funcionar los paneles en casa de conocidos. Al comienzo domina la innovación, por eso la curva arranca lenta, con pocos pioneros. Pero a medida que crece la base de adoptantes, el motor de imitación toma fuerza, y como es un lazo de refuerzo, la adopción se acelera. Ese cruce, del momento en que la imitación supera a la innovación como fuerza dominante, es aproximadamente donde la curva se empina. El modelo de Bass, entonces, ya nos da una primera explicación de la forma de ese: no es magia, es un lazo de refuerzo social encendiéndose.</w:t>
      </w:r>
    </w:p>
    <w:p w14:paraId="54309F48"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El modelo de Bass es elegante y útil, pero tiene una simplificación importante que conviene tener presente: en su forma clásica trata a la población como una masa bien mezclada, donde cualquiera puede influir sobre cualquiera, sin una estructura de red explícita. Es como si todos los adoptantes estuvieran en un mismo salón influyéndose por igual. Esa aproximación funciona razonablemente para bienes de consumo masivo, pero se queda corta cuando la estructura de quién habla con quién importa de verdad, que es justamente el caso de la adopción de tecnología en barrios y comunidades. Para capturar eso necesitamos volver a poner la red en el centro, y ahí el contagio simple empieza a mostrar sus límites.</w:t>
      </w:r>
    </w:p>
    <w:p w14:paraId="685B8258" w14:textId="77777777" w:rsidR="00A55028" w:rsidRPr="00A55028" w:rsidRDefault="00A55028" w:rsidP="00A55028">
      <w:pPr>
        <w:pBdr>
          <w:left w:val="single" w:sz="18" w:space="12" w:color="9C6500"/>
        </w:pBdr>
        <w:spacing w:before="120"/>
        <w:rPr>
          <w:rFonts w:ascii="Aptos Narrow" w:hAnsi="Aptos Narrow"/>
          <w:sz w:val="22"/>
          <w:szCs w:val="22"/>
          <w:lang w:val="es-419"/>
        </w:rPr>
      </w:pPr>
      <w:r w:rsidRPr="00A55028">
        <w:rPr>
          <w:rFonts w:ascii="Aptos Narrow" w:hAnsi="Aptos Narrow"/>
          <w:b/>
          <w:bCs/>
          <w:color w:val="9C6500"/>
          <w:sz w:val="22"/>
          <w:szCs w:val="22"/>
          <w:lang w:val="es-419"/>
        </w:rPr>
        <w:t xml:space="preserve">[QUIZ EMBEBIDO] </w:t>
      </w:r>
      <w:r w:rsidRPr="00A55028">
        <w:rPr>
          <w:rFonts w:ascii="Aptos Narrow" w:hAnsi="Aptos Narrow"/>
          <w:i/>
          <w:iCs/>
          <w:color w:val="555555"/>
          <w:sz w:val="22"/>
          <w:szCs w:val="22"/>
          <w:lang w:val="es-419"/>
        </w:rPr>
        <w:t>Se describe la propagación de un rumor y la propagación de la decisión de instalar paneles solares. El estudiante debe identificar cuál se parece más a un contagio simple, explicar por qué los atajos de largo alcance aceleran ese tipo de propagación, y anticipar por qué la decisión costosa podría no seguir la misma lógica.</w:t>
      </w:r>
    </w:p>
    <w:p w14:paraId="19A4471B" w14:textId="77777777" w:rsidR="00A55028" w:rsidRPr="00A55028" w:rsidRDefault="00A55028" w:rsidP="00A55028">
      <w:pPr>
        <w:spacing w:before="280" w:after="120"/>
        <w:rPr>
          <w:rFonts w:ascii="Aptos Narrow" w:hAnsi="Aptos Narrow"/>
          <w:sz w:val="22"/>
          <w:szCs w:val="22"/>
          <w:lang w:val="es-419"/>
        </w:rPr>
      </w:pPr>
      <w:r w:rsidRPr="00A55028">
        <w:rPr>
          <w:rFonts w:ascii="Aptos Narrow" w:hAnsi="Aptos Narrow"/>
          <w:b/>
          <w:bCs/>
          <w:color w:val="1F3864"/>
          <w:sz w:val="22"/>
          <w:szCs w:val="22"/>
          <w:lang w:val="es-419"/>
        </w:rPr>
        <w:t>Segmento 4 — Por qué el contagio simple no basta, y cierre</w:t>
      </w:r>
    </w:p>
    <w:p w14:paraId="4E48A82E"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 xml:space="preserve">El modelo de Bass y el contagio simple explican mucho, y durante décadas fueron la herramienta estándar para pensar la difusión de innovaciones. Pero tienen un supuesto escondido que, para tecnologías como la solar, resulta ser demasiado optimista. Suponen que un solo contacto con </w:t>
      </w:r>
      <w:proofErr w:type="gramStart"/>
      <w:r w:rsidRPr="00A55028">
        <w:rPr>
          <w:rFonts w:ascii="Aptos Narrow" w:hAnsi="Aptos Narrow"/>
          <w:sz w:val="22"/>
          <w:szCs w:val="22"/>
          <w:lang w:val="es-419"/>
        </w:rPr>
        <w:t>un adoptante basta</w:t>
      </w:r>
      <w:proofErr w:type="gramEnd"/>
      <w:r w:rsidRPr="00A55028">
        <w:rPr>
          <w:rFonts w:ascii="Aptos Narrow" w:hAnsi="Aptos Narrow"/>
          <w:sz w:val="22"/>
          <w:szCs w:val="22"/>
          <w:lang w:val="es-419"/>
        </w:rPr>
        <w:t xml:space="preserve"> para contagiar la idea. Que ver a una persona con paneles ya te empuja hacia adoptarlos.</w:t>
      </w:r>
    </w:p>
    <w:p w14:paraId="5468D097"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 xml:space="preserve">Y aquí es donde la realidad se pone más interesante, y donde arranca la próxima lección. Poner paneles solares en el techo no es como contagiarse de un rumor. Es una decisión costosa, con riesgo, que requiere confianza, un compromiso de largo plazo con una tecnología que uno no domina. Para este tipo de </w:t>
      </w:r>
      <w:r w:rsidRPr="00A55028">
        <w:rPr>
          <w:rFonts w:ascii="Aptos Narrow" w:hAnsi="Aptos Narrow"/>
          <w:sz w:val="22"/>
          <w:szCs w:val="22"/>
          <w:lang w:val="es-419"/>
        </w:rPr>
        <w:lastRenderedPageBreak/>
        <w:t>decisiones, ver a un solo vecino que adoptó rara vez basta. Uno necesita ver a varios, necesita refuerzo social desde distintos lados antes de convencerse. Un contacto no alcanza; hacen falta muchos. Ese es un tipo de propagación distinto, con reglas distintas y consecuencias sorprendentes, que se llama contagio complejo, y que cambia por completo qué estructura de red favorece la difusión.</w:t>
      </w:r>
    </w:p>
    <w:p w14:paraId="54170F90" w14:textId="77777777" w:rsidR="00A55028" w:rsidRPr="00A55028" w:rsidRDefault="00A55028" w:rsidP="00A55028">
      <w:pPr>
        <w:spacing w:line="300" w:lineRule="auto"/>
        <w:jc w:val="both"/>
        <w:rPr>
          <w:rFonts w:ascii="Aptos Narrow" w:hAnsi="Aptos Narrow"/>
          <w:sz w:val="22"/>
          <w:szCs w:val="22"/>
          <w:lang w:val="es-419"/>
        </w:rPr>
      </w:pPr>
      <w:r w:rsidRPr="00A55028">
        <w:rPr>
          <w:rFonts w:ascii="Aptos Narrow" w:hAnsi="Aptos Narrow"/>
          <w:sz w:val="22"/>
          <w:szCs w:val="22"/>
          <w:lang w:val="es-419"/>
        </w:rPr>
        <w:t>Entonces, recapitulando: hoy le dimos vida a la red. Aprendimos que un modelo de dinámica sobre redes se compone de estados, reglas de actualización locales y avance por pasos en el tiempo, y que de esas decisiones locales emerge el comportamiento global. Vimos el contagio simple, la lógica de la epidemia y del modelo de Bass, donde un solo contacto contagia y los atajos aceleran la propagación. Y descubrimos su límite para decisiones costosas como la adopción solar. En la lección 3.2 vamos a estudiar el contagio complejo y los modelos de umbral, que son los que de verdad explican por qué la curva de adopción estuvo dormida tanto tiempo antes de despegar. Nos vemos allá.</w:t>
      </w:r>
    </w:p>
    <w:p w14:paraId="13BCF7EF" w14:textId="77777777" w:rsidR="00A55028" w:rsidRPr="00A55028" w:rsidRDefault="00A55028" w:rsidP="00A55028">
      <w:pPr>
        <w:pBdr>
          <w:top w:val="single" w:sz="6" w:space="6" w:color="CCCCCC"/>
        </w:pBdr>
        <w:spacing w:before="280" w:after="120"/>
        <w:rPr>
          <w:rFonts w:ascii="Aptos Narrow" w:hAnsi="Aptos Narrow"/>
          <w:sz w:val="22"/>
          <w:szCs w:val="22"/>
          <w:lang w:val="es-419"/>
        </w:rPr>
      </w:pPr>
      <w:r w:rsidRPr="00A55028">
        <w:rPr>
          <w:rFonts w:ascii="Aptos Narrow" w:hAnsi="Aptos Narrow"/>
          <w:b/>
          <w:bCs/>
          <w:color w:val="9C6500"/>
          <w:sz w:val="22"/>
          <w:szCs w:val="22"/>
          <w:lang w:val="es-419"/>
        </w:rPr>
        <w:t>Notas de contenido</w:t>
      </w:r>
    </w:p>
    <w:p w14:paraId="53803F86" w14:textId="77777777" w:rsidR="00A55028" w:rsidRPr="00A55028" w:rsidRDefault="00A55028" w:rsidP="00A55028">
      <w:pPr>
        <w:spacing w:after="120"/>
        <w:rPr>
          <w:rFonts w:ascii="Aptos Narrow" w:hAnsi="Aptos Narrow"/>
          <w:sz w:val="22"/>
          <w:szCs w:val="22"/>
          <w:lang w:val="es-419"/>
        </w:rPr>
      </w:pPr>
      <w:r w:rsidRPr="00A55028">
        <w:rPr>
          <w:rFonts w:ascii="Aptos Narrow" w:hAnsi="Aptos Narrow"/>
          <w:i/>
          <w:iCs/>
          <w:color w:val="555555"/>
          <w:sz w:val="22"/>
          <w:szCs w:val="22"/>
          <w:lang w:val="es-419"/>
        </w:rPr>
        <w:t>Guion conceptual, sin cifras. El modelo de Bass se presenta a nivel intuitivo (motores de innovación e imitación). La distinción contagio simple vs. complejo se abre aquí y se formaliza en 3.2 con Centola &amp; Macy (2007) y Granovetter (1978), fuentes curadas de la semana. La aplicación al caso Medellín (</w:t>
      </w:r>
      <w:proofErr w:type="spellStart"/>
      <w:r w:rsidRPr="00A55028">
        <w:rPr>
          <w:rFonts w:ascii="Aptos Narrow" w:hAnsi="Aptos Narrow"/>
          <w:i/>
          <w:iCs/>
          <w:color w:val="555555"/>
          <w:sz w:val="22"/>
          <w:szCs w:val="22"/>
          <w:lang w:val="es-419"/>
        </w:rPr>
        <w:t>Radomes</w:t>
      </w:r>
      <w:proofErr w:type="spellEnd"/>
      <w:r w:rsidRPr="00A55028">
        <w:rPr>
          <w:rFonts w:ascii="Aptos Narrow" w:hAnsi="Aptos Narrow"/>
          <w:i/>
          <w:iCs/>
          <w:color w:val="555555"/>
          <w:sz w:val="22"/>
          <w:szCs w:val="22"/>
          <w:lang w:val="es-419"/>
        </w:rPr>
        <w:t xml:space="preserve"> &amp; Arango, 2015) se reserva para 3.2/Lab. Alinear la profundidad con el enunciado del Lab 2 al finalizarlo.</w:t>
      </w:r>
    </w:p>
    <w:p w14:paraId="1BEBB449" w14:textId="39A8962F" w:rsidR="00A2411E" w:rsidRPr="008727A4" w:rsidRDefault="00A2411E" w:rsidP="00A55028">
      <w:pPr>
        <w:spacing w:before="280" w:after="120"/>
        <w:rPr>
          <w:rFonts w:ascii="Aptos Narrow" w:hAnsi="Aptos Narrow"/>
          <w:sz w:val="22"/>
          <w:szCs w:val="22"/>
          <w:lang w:val="es-419"/>
        </w:rPr>
      </w:pPr>
    </w:p>
    <w:sectPr w:rsidR="00A2411E" w:rsidRPr="008727A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CEFA" w14:textId="77777777" w:rsidR="00EC32A5" w:rsidRDefault="00EC32A5" w:rsidP="00DC6E4E">
      <w:pPr>
        <w:spacing w:after="0" w:line="240" w:lineRule="auto"/>
      </w:pPr>
      <w:r>
        <w:separator/>
      </w:r>
    </w:p>
  </w:endnote>
  <w:endnote w:type="continuationSeparator" w:id="0">
    <w:p w14:paraId="4A1A96C3" w14:textId="77777777" w:rsidR="00EC32A5" w:rsidRDefault="00EC32A5" w:rsidP="00DC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8EDA9" w14:textId="77777777" w:rsidR="00EC32A5" w:rsidRDefault="00EC32A5" w:rsidP="00DC6E4E">
      <w:pPr>
        <w:spacing w:after="0" w:line="240" w:lineRule="auto"/>
      </w:pPr>
      <w:r>
        <w:separator/>
      </w:r>
    </w:p>
  </w:footnote>
  <w:footnote w:type="continuationSeparator" w:id="0">
    <w:p w14:paraId="37705967" w14:textId="77777777" w:rsidR="00EC32A5" w:rsidRDefault="00EC32A5" w:rsidP="00DC6E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6CFC3" w14:textId="18A0ADB1" w:rsidR="00DC6E4E" w:rsidRDefault="002338A3">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210231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549267893"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380001"/>
    <w:multiLevelType w:val="hybridMultilevel"/>
    <w:tmpl w:val="87CC2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1A442A"/>
    <w:multiLevelType w:val="multilevel"/>
    <w:tmpl w:val="60E4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82375"/>
    <w:multiLevelType w:val="hybridMultilevel"/>
    <w:tmpl w:val="CC600006"/>
    <w:lvl w:ilvl="0" w:tplc="1F020A24">
      <w:start w:val="1"/>
      <w:numFmt w:val="bullet"/>
      <w:lvlText w:val="●"/>
      <w:lvlJc w:val="left"/>
      <w:pPr>
        <w:ind w:left="720" w:hanging="360"/>
      </w:pPr>
    </w:lvl>
    <w:lvl w:ilvl="1" w:tplc="6994B436">
      <w:start w:val="1"/>
      <w:numFmt w:val="bullet"/>
      <w:lvlText w:val="○"/>
      <w:lvlJc w:val="left"/>
      <w:pPr>
        <w:ind w:left="1440" w:hanging="360"/>
      </w:pPr>
    </w:lvl>
    <w:lvl w:ilvl="2" w:tplc="F45E74E4">
      <w:start w:val="1"/>
      <w:numFmt w:val="bullet"/>
      <w:lvlText w:val="■"/>
      <w:lvlJc w:val="left"/>
      <w:pPr>
        <w:ind w:left="2160" w:hanging="360"/>
      </w:pPr>
    </w:lvl>
    <w:lvl w:ilvl="3" w:tplc="A96AC7F4">
      <w:start w:val="1"/>
      <w:numFmt w:val="bullet"/>
      <w:lvlText w:val="●"/>
      <w:lvlJc w:val="left"/>
      <w:pPr>
        <w:ind w:left="2880" w:hanging="360"/>
      </w:pPr>
    </w:lvl>
    <w:lvl w:ilvl="4" w:tplc="880E0448">
      <w:start w:val="1"/>
      <w:numFmt w:val="bullet"/>
      <w:lvlText w:val="○"/>
      <w:lvlJc w:val="left"/>
      <w:pPr>
        <w:ind w:left="3600" w:hanging="360"/>
      </w:pPr>
    </w:lvl>
    <w:lvl w:ilvl="5" w:tplc="80301564">
      <w:start w:val="1"/>
      <w:numFmt w:val="bullet"/>
      <w:lvlText w:val="■"/>
      <w:lvlJc w:val="left"/>
      <w:pPr>
        <w:ind w:left="4320" w:hanging="360"/>
      </w:pPr>
    </w:lvl>
    <w:lvl w:ilvl="6" w:tplc="F8C069E6">
      <w:start w:val="1"/>
      <w:numFmt w:val="bullet"/>
      <w:lvlText w:val="●"/>
      <w:lvlJc w:val="left"/>
      <w:pPr>
        <w:ind w:left="5040" w:hanging="360"/>
      </w:pPr>
    </w:lvl>
    <w:lvl w:ilvl="7" w:tplc="F6E68CF2">
      <w:start w:val="1"/>
      <w:numFmt w:val="bullet"/>
      <w:lvlText w:val="●"/>
      <w:lvlJc w:val="left"/>
      <w:pPr>
        <w:ind w:left="5760" w:hanging="360"/>
      </w:pPr>
    </w:lvl>
    <w:lvl w:ilvl="8" w:tplc="BAACD994">
      <w:start w:val="1"/>
      <w:numFmt w:val="bullet"/>
      <w:lvlText w:val="●"/>
      <w:lvlJc w:val="left"/>
      <w:pPr>
        <w:ind w:left="6480" w:hanging="360"/>
      </w:pPr>
    </w:lvl>
  </w:abstractNum>
  <w:abstractNum w:abstractNumId="4" w15:restartNumberingAfterBreak="0">
    <w:nsid w:val="78076D51"/>
    <w:multiLevelType w:val="multilevel"/>
    <w:tmpl w:val="066E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998017">
    <w:abstractNumId w:val="0"/>
  </w:num>
  <w:num w:numId="2" w16cid:durableId="1987319963">
    <w:abstractNumId w:val="4"/>
  </w:num>
  <w:num w:numId="3" w16cid:durableId="1543667111">
    <w:abstractNumId w:val="2"/>
  </w:num>
  <w:num w:numId="4" w16cid:durableId="2120904733">
    <w:abstractNumId w:val="3"/>
    <w:lvlOverride w:ilvl="0">
      <w:startOverride w:val="1"/>
    </w:lvlOverride>
  </w:num>
  <w:num w:numId="5" w16cid:durableId="12829598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04C53"/>
    <w:rsid w:val="00020D8C"/>
    <w:rsid w:val="00063BF6"/>
    <w:rsid w:val="0007105B"/>
    <w:rsid w:val="00080A5D"/>
    <w:rsid w:val="000B724C"/>
    <w:rsid w:val="000D061B"/>
    <w:rsid w:val="00180B42"/>
    <w:rsid w:val="001928AB"/>
    <w:rsid w:val="00196827"/>
    <w:rsid w:val="001D4C6D"/>
    <w:rsid w:val="001F0BA5"/>
    <w:rsid w:val="00214F5F"/>
    <w:rsid w:val="002338A3"/>
    <w:rsid w:val="002B0F3E"/>
    <w:rsid w:val="002B2F6D"/>
    <w:rsid w:val="002B54E7"/>
    <w:rsid w:val="002C1903"/>
    <w:rsid w:val="002D2D04"/>
    <w:rsid w:val="002D3CE9"/>
    <w:rsid w:val="002F6840"/>
    <w:rsid w:val="003C4859"/>
    <w:rsid w:val="003E57AD"/>
    <w:rsid w:val="00416939"/>
    <w:rsid w:val="00425546"/>
    <w:rsid w:val="00442043"/>
    <w:rsid w:val="0045781F"/>
    <w:rsid w:val="004A2836"/>
    <w:rsid w:val="004D07B2"/>
    <w:rsid w:val="005067ED"/>
    <w:rsid w:val="00536AD9"/>
    <w:rsid w:val="00551E91"/>
    <w:rsid w:val="00566DB3"/>
    <w:rsid w:val="005950CD"/>
    <w:rsid w:val="005A1594"/>
    <w:rsid w:val="005A3081"/>
    <w:rsid w:val="005C61BF"/>
    <w:rsid w:val="005C6777"/>
    <w:rsid w:val="005D5078"/>
    <w:rsid w:val="005F08BA"/>
    <w:rsid w:val="006006AF"/>
    <w:rsid w:val="00636DF5"/>
    <w:rsid w:val="0065441E"/>
    <w:rsid w:val="00684053"/>
    <w:rsid w:val="006A2647"/>
    <w:rsid w:val="006A403D"/>
    <w:rsid w:val="006B3AAC"/>
    <w:rsid w:val="006E4137"/>
    <w:rsid w:val="00723ADE"/>
    <w:rsid w:val="00724EB6"/>
    <w:rsid w:val="0073061D"/>
    <w:rsid w:val="007722A8"/>
    <w:rsid w:val="00774065"/>
    <w:rsid w:val="007D3681"/>
    <w:rsid w:val="007D5182"/>
    <w:rsid w:val="007E46B6"/>
    <w:rsid w:val="00812C9A"/>
    <w:rsid w:val="0082442A"/>
    <w:rsid w:val="00824BC0"/>
    <w:rsid w:val="008426B7"/>
    <w:rsid w:val="00845267"/>
    <w:rsid w:val="00852C5C"/>
    <w:rsid w:val="008641BD"/>
    <w:rsid w:val="008727A4"/>
    <w:rsid w:val="00884E06"/>
    <w:rsid w:val="00893453"/>
    <w:rsid w:val="008E2E48"/>
    <w:rsid w:val="00913FC8"/>
    <w:rsid w:val="009222D0"/>
    <w:rsid w:val="00940915"/>
    <w:rsid w:val="0094593B"/>
    <w:rsid w:val="00946A01"/>
    <w:rsid w:val="009572D0"/>
    <w:rsid w:val="00961FA9"/>
    <w:rsid w:val="009668D6"/>
    <w:rsid w:val="009B6C32"/>
    <w:rsid w:val="00A2411E"/>
    <w:rsid w:val="00A55028"/>
    <w:rsid w:val="00A56545"/>
    <w:rsid w:val="00A64527"/>
    <w:rsid w:val="00A67E34"/>
    <w:rsid w:val="00A74D29"/>
    <w:rsid w:val="00A96C6A"/>
    <w:rsid w:val="00AA62F3"/>
    <w:rsid w:val="00AB3AE4"/>
    <w:rsid w:val="00AB7F9E"/>
    <w:rsid w:val="00AC64E3"/>
    <w:rsid w:val="00B17459"/>
    <w:rsid w:val="00B77AC9"/>
    <w:rsid w:val="00B9318B"/>
    <w:rsid w:val="00BB53F1"/>
    <w:rsid w:val="00BC56C4"/>
    <w:rsid w:val="00BE20D6"/>
    <w:rsid w:val="00BF33B7"/>
    <w:rsid w:val="00C013DA"/>
    <w:rsid w:val="00C04428"/>
    <w:rsid w:val="00C04E34"/>
    <w:rsid w:val="00C2173C"/>
    <w:rsid w:val="00C25715"/>
    <w:rsid w:val="00C25FFB"/>
    <w:rsid w:val="00C74969"/>
    <w:rsid w:val="00CA7B83"/>
    <w:rsid w:val="00CC1613"/>
    <w:rsid w:val="00CE7758"/>
    <w:rsid w:val="00CF7577"/>
    <w:rsid w:val="00CF7A5D"/>
    <w:rsid w:val="00D13B8D"/>
    <w:rsid w:val="00D45F58"/>
    <w:rsid w:val="00D64E13"/>
    <w:rsid w:val="00D752A9"/>
    <w:rsid w:val="00DC52DD"/>
    <w:rsid w:val="00DC6E4E"/>
    <w:rsid w:val="00DD0613"/>
    <w:rsid w:val="00DF7938"/>
    <w:rsid w:val="00E16CAD"/>
    <w:rsid w:val="00E20D7E"/>
    <w:rsid w:val="00E27FCE"/>
    <w:rsid w:val="00E315C7"/>
    <w:rsid w:val="00E325F2"/>
    <w:rsid w:val="00E42EE7"/>
    <w:rsid w:val="00E54F8F"/>
    <w:rsid w:val="00EA748F"/>
    <w:rsid w:val="00EB7720"/>
    <w:rsid w:val="00EC32A5"/>
    <w:rsid w:val="00ED1361"/>
    <w:rsid w:val="00F07D53"/>
    <w:rsid w:val="00F2295E"/>
    <w:rsid w:val="00F86456"/>
    <w:rsid w:val="00F87ED4"/>
    <w:rsid w:val="00FB5012"/>
    <w:rsid w:val="00FD13F6"/>
    <w:rsid w:val="00FD1ACF"/>
    <w:rsid w:val="00FE554A"/>
    <w:rsid w:val="00FF4464"/>
    <w:rsid w:val="00FF683A"/>
    <w:rsid w:val="2AA860A7"/>
    <w:rsid w:val="36E2781D"/>
    <w:rsid w:val="407DCF26"/>
    <w:rsid w:val="5014D130"/>
    <w:rsid w:val="592C80BC"/>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eastAsia="Calibri" w:hAnsi="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4E"/>
  </w:style>
  <w:style w:type="character" w:customStyle="1" w:styleId="Heading2Char">
    <w:name w:val="Heading 2 Char"/>
    <w:basedOn w:val="DefaultParagraphFont"/>
    <w:link w:val="Heading2"/>
    <w:uiPriority w:val="9"/>
    <w:rsid w:val="00080A5D"/>
    <w:rPr>
      <w:rFonts w:ascii="Calibri" w:eastAsia="Calibri" w:hAnsi="Calibri" w:cs="Calibri"/>
      <w:b/>
      <w:bCs/>
      <w:color w:val="065A82"/>
      <w:sz w:val="26"/>
      <w:szCs w:val="26"/>
      <w:lang w:val="es-CO" w:eastAsia="es-MX"/>
    </w:rPr>
  </w:style>
  <w:style w:type="character" w:customStyle="1" w:styleId="Heading1Char">
    <w:name w:val="Heading 1 Char"/>
    <w:basedOn w:val="DefaultParagraphFont"/>
    <w:link w:val="Heading1"/>
    <w:uiPriority w:val="9"/>
    <w:rsid w:val="007E46B6"/>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752A9"/>
    <w:rPr>
      <w:rFonts w:asciiTheme="majorHAnsi" w:eastAsiaTheme="majorEastAsia" w:hAnsiTheme="majorHAnsi" w:cstheme="majorBidi"/>
      <w:i/>
      <w:iCs/>
      <w:color w:val="0F4761" w:themeColor="accent1" w:themeShade="BF"/>
    </w:rPr>
  </w:style>
  <w:style w:type="paragraph" w:styleId="ListParagraph">
    <w:name w:val="List Paragraph"/>
    <w:basedOn w:val="Normal"/>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8FF85-70EB-47A7-A109-1E6C547CE6B2}">
  <ds:schemaRefs>
    <ds:schemaRef ds:uri="http://schemas.microsoft.com/sharepoint/v3/contenttype/forms"/>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1929</Words>
  <Characters>10998</Characters>
  <Application>Microsoft Office Word</Application>
  <DocSecurity>0</DocSecurity>
  <Lines>91</Lines>
  <Paragraphs>25</Paragraphs>
  <ScaleCrop>false</ScaleCrop>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Benavides Santacruz</dc:creator>
  <cp:keywords/>
  <dc:description/>
  <cp:lastModifiedBy>Daniel Benavides</cp:lastModifiedBy>
  <cp:revision>8</cp:revision>
  <cp:lastPrinted>2026-05-29T16:52:00Z</cp:lastPrinted>
  <dcterms:created xsi:type="dcterms:W3CDTF">2026-07-08T16:02:00Z</dcterms:created>
  <dcterms:modified xsi:type="dcterms:W3CDTF">2026-07-11T01:35:00Z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