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B83D0" w14:textId="609C470A" w:rsidR="006A2647" w:rsidRPr="00FF683A" w:rsidRDefault="00E325F2" w:rsidP="00214F5F">
      <w:pPr>
        <w:pStyle w:val="Heading1"/>
        <w:jc w:val="center"/>
        <w:rPr>
          <w:rFonts w:ascii="Aptos Narrow" w:hAnsi="Aptos Narrow"/>
          <w:b/>
          <w:bCs/>
          <w:lang w:val="es-419"/>
        </w:rPr>
      </w:pPr>
      <w:bookmarkStart w:id="0" w:name="_Toc228135348"/>
      <w:r w:rsidRPr="00FF683A">
        <w:rPr>
          <w:rFonts w:ascii="Aptos Narrow" w:hAnsi="Aptos Narrow"/>
          <w:b/>
          <w:bCs/>
          <w:lang w:val="es-419"/>
        </w:rPr>
        <w:t>SCRIPT</w:t>
      </w:r>
      <w:r w:rsidR="00CA7B83" w:rsidRPr="00FF683A">
        <w:rPr>
          <w:rFonts w:ascii="Aptos Narrow" w:hAnsi="Aptos Narrow"/>
          <w:b/>
          <w:bCs/>
          <w:lang w:val="es-419"/>
        </w:rPr>
        <w:t xml:space="preserve"> SUGERIDO</w:t>
      </w:r>
      <w:bookmarkEnd w:id="0"/>
    </w:p>
    <w:p w14:paraId="48E8B5E1" w14:textId="77777777" w:rsidR="00CE7758" w:rsidRPr="00503A28" w:rsidRDefault="00CE7758" w:rsidP="00CE7758">
      <w:pPr>
        <w:pStyle w:val="Heading2"/>
        <w:rPr>
          <w:rFonts w:ascii="Aptos Narrow" w:hAnsi="Aptos Narrow"/>
          <w:sz w:val="22"/>
          <w:szCs w:val="22"/>
        </w:rPr>
      </w:pPr>
      <w:bookmarkStart w:id="1" w:name="_Toc228135350"/>
      <w:r w:rsidRPr="00503A28">
        <w:rPr>
          <w:rFonts w:ascii="Aptos Narrow" w:hAnsi="Aptos Narrow"/>
          <w:sz w:val="22"/>
          <w:szCs w:val="22"/>
        </w:rPr>
        <w:t>SEMANA 3: Redes II — Dinámica sobre Redes y Redes de Actores</w:t>
      </w:r>
      <w:bookmarkEnd w:id="1"/>
    </w:p>
    <w:p w14:paraId="22965128" w14:textId="77777777" w:rsidR="00CE7758" w:rsidRPr="00503A28" w:rsidRDefault="00CE7758" w:rsidP="00CE7758">
      <w:pPr>
        <w:spacing w:after="80"/>
        <w:rPr>
          <w:rFonts w:ascii="Aptos Narrow" w:hAnsi="Aptos Narrow"/>
          <w:sz w:val="22"/>
          <w:szCs w:val="22"/>
          <w:lang w:val="es-419"/>
        </w:rPr>
      </w:pPr>
      <w:r w:rsidRPr="00503A28">
        <w:rPr>
          <w:rFonts w:ascii="Aptos Narrow" w:hAnsi="Aptos Narrow"/>
          <w:i/>
          <w:iCs/>
          <w:color w:val="B85042"/>
          <w:sz w:val="22"/>
          <w:szCs w:val="22"/>
          <w:lang w:val="es-419"/>
        </w:rPr>
        <w:t>Caso ancla: Adopción de energía solar distribuida en Bogotá / Medellín</w:t>
      </w:r>
    </w:p>
    <w:p w14:paraId="7BB42BE4" w14:textId="77777777" w:rsidR="00CE7758" w:rsidRPr="00503A28" w:rsidRDefault="00CE7758" w:rsidP="00CE7758">
      <w:pPr>
        <w:pBdr>
          <w:bottom w:val="single" w:sz="8" w:space="6" w:color="1E2761"/>
        </w:pBdr>
        <w:spacing w:after="120"/>
        <w:rPr>
          <w:rFonts w:ascii="Aptos Narrow" w:hAnsi="Aptos Narrow"/>
          <w:sz w:val="22"/>
          <w:szCs w:val="22"/>
          <w:lang w:val="es-419"/>
        </w:rPr>
      </w:pPr>
      <w:r w:rsidRPr="00503A28">
        <w:rPr>
          <w:rFonts w:ascii="Aptos Narrow" w:hAnsi="Aptos Narrow"/>
          <w:b/>
          <w:bCs/>
          <w:color w:val="1E2761"/>
          <w:sz w:val="22"/>
          <w:szCs w:val="22"/>
          <w:lang w:val="es-419"/>
        </w:rPr>
        <w:t xml:space="preserve">Resultados de Aprendizaje verificados: </w:t>
      </w:r>
      <w:r w:rsidRPr="00503A28">
        <w:rPr>
          <w:rFonts w:ascii="Aptos Narrow" w:hAnsi="Aptos Narrow"/>
          <w:sz w:val="22"/>
          <w:szCs w:val="22"/>
          <w:lang w:val="es-419"/>
        </w:rPr>
        <w:t xml:space="preserve">RAC 2 (alto) · RAC 1, 4 (medio) · </w:t>
      </w:r>
      <w:proofErr w:type="spellStart"/>
      <w:r w:rsidRPr="00503A28">
        <w:rPr>
          <w:rFonts w:ascii="Aptos Narrow" w:hAnsi="Aptos Narrow"/>
          <w:sz w:val="22"/>
          <w:szCs w:val="22"/>
          <w:lang w:val="es-419"/>
        </w:rPr>
        <w:t>Checkpoint</w:t>
      </w:r>
      <w:proofErr w:type="spellEnd"/>
      <w:r w:rsidRPr="00503A28">
        <w:rPr>
          <w:rFonts w:ascii="Aptos Narrow" w:hAnsi="Aptos Narrow"/>
          <w:sz w:val="22"/>
          <w:szCs w:val="22"/>
          <w:lang w:val="es-419"/>
        </w:rPr>
        <w:t xml:space="preserve"> Avance </w:t>
      </w:r>
      <w:proofErr w:type="gramStart"/>
      <w:r w:rsidRPr="00503A28">
        <w:rPr>
          <w:rFonts w:ascii="Aptos Narrow" w:hAnsi="Aptos Narrow"/>
          <w:sz w:val="22"/>
          <w:szCs w:val="22"/>
          <w:lang w:val="es-419"/>
        </w:rPr>
        <w:t>1</w:t>
      </w:r>
      <w:r w:rsidRPr="00503A28">
        <w:rPr>
          <w:rFonts w:ascii="Aptos Narrow" w:hAnsi="Aptos Narrow"/>
          <w:color w:val="5C6478"/>
          <w:sz w:val="22"/>
          <w:szCs w:val="22"/>
          <w:lang w:val="es-419"/>
        </w:rPr>
        <w:t xml:space="preserve">  ·</w:t>
      </w:r>
      <w:proofErr w:type="gramEnd"/>
      <w:r w:rsidRPr="00503A28">
        <w:rPr>
          <w:rFonts w:ascii="Aptos Narrow" w:hAnsi="Aptos Narrow"/>
          <w:color w:val="5C6478"/>
          <w:sz w:val="22"/>
          <w:szCs w:val="22"/>
          <w:lang w:val="es-419"/>
        </w:rPr>
        <w:t xml:space="preserve">  </w:t>
      </w:r>
      <w:r w:rsidRPr="00503A28">
        <w:rPr>
          <w:rFonts w:ascii="Aptos Narrow" w:hAnsi="Aptos Narrow"/>
          <w:b/>
          <w:bCs/>
          <w:color w:val="1E2761"/>
          <w:sz w:val="22"/>
          <w:szCs w:val="22"/>
          <w:lang w:val="es-419"/>
        </w:rPr>
        <w:t xml:space="preserve">RA del programa: </w:t>
      </w:r>
      <w:r w:rsidRPr="00503A28">
        <w:rPr>
          <w:rFonts w:ascii="Aptos Narrow" w:hAnsi="Aptos Narrow"/>
          <w:sz w:val="22"/>
          <w:szCs w:val="22"/>
          <w:lang w:val="es-419"/>
        </w:rPr>
        <w:t>RA2.1, RA2.5, RA3.1, RA3.5</w:t>
      </w:r>
    </w:p>
    <w:p w14:paraId="4A04CB27" w14:textId="77777777" w:rsidR="00CE7758" w:rsidRPr="00503A28" w:rsidRDefault="00CE7758" w:rsidP="00CE7758">
      <w:pPr>
        <w:spacing w:before="60" w:after="60" w:line="300" w:lineRule="auto"/>
        <w:jc w:val="both"/>
        <w:rPr>
          <w:rFonts w:ascii="Aptos Narrow" w:hAnsi="Aptos Narrow"/>
          <w:sz w:val="22"/>
          <w:szCs w:val="22"/>
          <w:lang w:val="es-419"/>
        </w:rPr>
      </w:pPr>
      <w:r w:rsidRPr="00503A28">
        <w:rPr>
          <w:rFonts w:ascii="Aptos Narrow" w:hAnsi="Aptos Narrow"/>
          <w:sz w:val="22"/>
          <w:szCs w:val="22"/>
          <w:lang w:val="es-419"/>
        </w:rPr>
        <w:t xml:space="preserve">Se extiende el análisis de redes en dos direcciones complementarias. Primero, al dominio dinámico: los estados de los nodos cambian en el tiempo en función de sus vecinos. Se estudian modelos canónicos de difusión y adopción (contagio simple y complejo, modelos con umbral) aplicados a la adopción de tecnologías renovables. Segundo, al dominio social e institucional: las redes modelan relaciones entre actores (reguladores, generadores, comunidades, inversionistas), flujos comerciales en el mercado eléctrico, y redes de influencia. Esta semana cierra el módulo de redes con un </w:t>
      </w:r>
      <w:proofErr w:type="spellStart"/>
      <w:r w:rsidRPr="00503A28">
        <w:rPr>
          <w:rFonts w:ascii="Aptos Narrow" w:hAnsi="Aptos Narrow"/>
          <w:sz w:val="22"/>
          <w:szCs w:val="22"/>
          <w:lang w:val="es-419"/>
        </w:rPr>
        <w:t>wrap</w:t>
      </w:r>
      <w:proofErr w:type="spellEnd"/>
      <w:r w:rsidRPr="00503A28">
        <w:rPr>
          <w:rFonts w:ascii="Aptos Narrow" w:hAnsi="Aptos Narrow"/>
          <w:sz w:val="22"/>
          <w:szCs w:val="22"/>
          <w:lang w:val="es-419"/>
        </w:rPr>
        <w:t>-up que incluye limitaciones del enfoque y fronteras del campo.</w:t>
      </w:r>
    </w:p>
    <w:p w14:paraId="3DA5A7DB" w14:textId="5D26B2F0" w:rsidR="004A2836" w:rsidRPr="00FF683A" w:rsidRDefault="00684053" w:rsidP="00724EB6">
      <w:pPr>
        <w:spacing w:before="200" w:after="100"/>
        <w:rPr>
          <w:rFonts w:ascii="Aptos Narrow" w:hAnsi="Aptos Narrow"/>
          <w:b/>
          <w:bCs/>
          <w:color w:val="065A82"/>
          <w:sz w:val="22"/>
          <w:szCs w:val="22"/>
          <w:lang w:val="es-419"/>
        </w:rPr>
      </w:pPr>
      <w:r w:rsidRPr="00FF683A">
        <w:rPr>
          <w:rFonts w:ascii="Aptos Narrow" w:hAnsi="Aptos Narrow"/>
          <w:b/>
          <w:bCs/>
          <w:color w:val="065A82"/>
          <w:sz w:val="22"/>
          <w:szCs w:val="22"/>
          <w:lang w:val="es-419"/>
        </w:rPr>
        <w:t xml:space="preserve">Bloque Autónomo — 10 horas (secuencia Mo → Co → Pr → </w:t>
      </w:r>
      <w:proofErr w:type="spellStart"/>
      <w:r w:rsidRPr="00FF683A">
        <w:rPr>
          <w:rFonts w:ascii="Aptos Narrow" w:hAnsi="Aptos Narrow"/>
          <w:b/>
          <w:bCs/>
          <w:color w:val="065A82"/>
          <w:sz w:val="22"/>
          <w:szCs w:val="22"/>
          <w:lang w:val="es-419"/>
        </w:rPr>
        <w:t>Ev</w:t>
      </w:r>
      <w:proofErr w:type="spellEnd"/>
      <w:r w:rsidRPr="00FF683A">
        <w:rPr>
          <w:rFonts w:ascii="Aptos Narrow" w:hAnsi="Aptos Narrow"/>
          <w:b/>
          <w:bCs/>
          <w:color w:val="065A82"/>
          <w:sz w:val="22"/>
          <w:szCs w:val="22"/>
          <w:lang w:val="es-419"/>
        </w:rPr>
        <w:t xml:space="preserve"> → </w:t>
      </w:r>
      <w:proofErr w:type="spellStart"/>
      <w:r w:rsidRPr="00FF683A">
        <w:rPr>
          <w:rFonts w:ascii="Aptos Narrow" w:hAnsi="Aptos Narrow"/>
          <w:b/>
          <w:bCs/>
          <w:color w:val="065A82"/>
          <w:sz w:val="22"/>
          <w:szCs w:val="22"/>
          <w:lang w:val="es-419"/>
        </w:rPr>
        <w:t>Proy</w:t>
      </w:r>
      <w:proofErr w:type="spellEnd"/>
      <w:r w:rsidRPr="00FF683A">
        <w:rPr>
          <w:rFonts w:ascii="Aptos Narrow" w:hAnsi="Aptos Narrow"/>
          <w:b/>
          <w:bCs/>
          <w:color w:val="065A82"/>
          <w:sz w:val="22"/>
          <w:szCs w:val="22"/>
          <w:lang w:val="es-419"/>
        </w:rPr>
        <w:t>)</w:t>
      </w:r>
    </w:p>
    <w:tbl>
      <w:tblPr>
        <w:tblW w:w="92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62"/>
        <w:gridCol w:w="1492"/>
        <w:gridCol w:w="7076"/>
      </w:tblGrid>
      <w:tr w:rsidR="00724EB6" w:rsidRPr="00FF683A" w14:paraId="74BA0B68" w14:textId="77777777" w:rsidTr="592C80BC">
        <w:trPr>
          <w:tblHeader/>
        </w:trPr>
        <w:tc>
          <w:tcPr>
            <w:tcW w:w="662" w:type="dxa"/>
            <w:tcBorders>
              <w:top w:val="single" w:sz="4" w:space="0" w:color="B0B8C9"/>
              <w:left w:val="single" w:sz="4" w:space="0" w:color="B0B8C9"/>
              <w:bottom w:val="single" w:sz="4" w:space="0" w:color="B0B8C9"/>
              <w:right w:val="single" w:sz="4" w:space="0" w:color="B0B8C9"/>
            </w:tcBorders>
            <w:shd w:val="clear" w:color="auto" w:fill="1E2761"/>
            <w:tcMar>
              <w:top w:w="100" w:type="dxa"/>
              <w:left w:w="120" w:type="dxa"/>
              <w:bottom w:w="100" w:type="dxa"/>
              <w:right w:w="120" w:type="dxa"/>
            </w:tcMar>
          </w:tcPr>
          <w:p w14:paraId="17255C3F" w14:textId="0D38FFF0" w:rsidR="00724EB6" w:rsidRPr="00FF683A" w:rsidRDefault="00724EB6" w:rsidP="00724EB6">
            <w:pPr>
              <w:jc w:val="center"/>
              <w:rPr>
                <w:rFonts w:ascii="Aptos Narrow" w:hAnsi="Aptos Narrow"/>
                <w:sz w:val="22"/>
                <w:szCs w:val="22"/>
              </w:rPr>
            </w:pPr>
            <w:proofErr w:type="spellStart"/>
            <w:r w:rsidRPr="00FF683A">
              <w:rPr>
                <w:rFonts w:ascii="Aptos Narrow" w:hAnsi="Aptos Narrow"/>
                <w:b/>
                <w:bCs/>
                <w:color w:val="FFFFFF"/>
                <w:sz w:val="22"/>
                <w:szCs w:val="22"/>
              </w:rPr>
              <w:t>Cód</w:t>
            </w:r>
            <w:proofErr w:type="spellEnd"/>
            <w:r w:rsidRPr="00FF683A">
              <w:rPr>
                <w:rFonts w:ascii="Aptos Narrow" w:hAnsi="Aptos Narrow"/>
                <w:b/>
                <w:bCs/>
                <w:color w:val="FFFFFF"/>
                <w:sz w:val="22"/>
                <w:szCs w:val="22"/>
              </w:rPr>
              <w:t>.</w:t>
            </w:r>
          </w:p>
        </w:tc>
        <w:tc>
          <w:tcPr>
            <w:tcW w:w="1492" w:type="dxa"/>
            <w:tcBorders>
              <w:top w:val="single" w:sz="4" w:space="0" w:color="B0B8C9"/>
              <w:left w:val="single" w:sz="4" w:space="0" w:color="B0B8C9"/>
              <w:bottom w:val="single" w:sz="4" w:space="0" w:color="B0B8C9"/>
              <w:right w:val="single" w:sz="4" w:space="0" w:color="B0B8C9"/>
            </w:tcBorders>
            <w:shd w:val="clear" w:color="auto" w:fill="1E2761"/>
            <w:tcMar>
              <w:top w:w="100" w:type="dxa"/>
              <w:left w:w="120" w:type="dxa"/>
              <w:bottom w:w="100" w:type="dxa"/>
              <w:right w:w="120" w:type="dxa"/>
            </w:tcMar>
          </w:tcPr>
          <w:p w14:paraId="0F508EA4" w14:textId="6BD6E725" w:rsidR="00724EB6" w:rsidRPr="00FF683A" w:rsidRDefault="00724EB6" w:rsidP="00724EB6">
            <w:pPr>
              <w:jc w:val="center"/>
              <w:rPr>
                <w:rFonts w:ascii="Aptos Narrow" w:hAnsi="Aptos Narrow"/>
                <w:b/>
                <w:bCs/>
                <w:sz w:val="22"/>
                <w:szCs w:val="22"/>
              </w:rPr>
            </w:pPr>
            <w:proofErr w:type="spellStart"/>
            <w:r w:rsidRPr="00FF683A">
              <w:rPr>
                <w:rFonts w:ascii="Aptos Narrow" w:hAnsi="Aptos Narrow"/>
                <w:b/>
                <w:bCs/>
                <w:sz w:val="22"/>
                <w:szCs w:val="22"/>
              </w:rPr>
              <w:t>Momento</w:t>
            </w:r>
            <w:proofErr w:type="spellEnd"/>
          </w:p>
        </w:tc>
        <w:tc>
          <w:tcPr>
            <w:tcW w:w="7076" w:type="dxa"/>
            <w:tcBorders>
              <w:top w:val="single" w:sz="4" w:space="0" w:color="B0B8C9"/>
              <w:left w:val="single" w:sz="4" w:space="0" w:color="B0B8C9"/>
              <w:bottom w:val="single" w:sz="4" w:space="0" w:color="B0B8C9"/>
              <w:right w:val="single" w:sz="4" w:space="0" w:color="B0B8C9"/>
            </w:tcBorders>
            <w:shd w:val="clear" w:color="auto" w:fill="1E2761"/>
            <w:tcMar>
              <w:top w:w="100" w:type="dxa"/>
              <w:left w:w="120" w:type="dxa"/>
              <w:bottom w:w="100" w:type="dxa"/>
              <w:right w:w="120" w:type="dxa"/>
            </w:tcMar>
          </w:tcPr>
          <w:p w14:paraId="207CF46F" w14:textId="5A71FBA9" w:rsidR="00724EB6" w:rsidRPr="00FF683A" w:rsidRDefault="00724EB6" w:rsidP="00724EB6">
            <w:pPr>
              <w:jc w:val="center"/>
              <w:rPr>
                <w:rFonts w:ascii="Aptos Narrow" w:hAnsi="Aptos Narrow"/>
                <w:sz w:val="22"/>
                <w:szCs w:val="22"/>
                <w:lang w:val="es-419"/>
              </w:rPr>
            </w:pPr>
            <w:r w:rsidRPr="00FF683A">
              <w:rPr>
                <w:rFonts w:ascii="Aptos Narrow" w:hAnsi="Aptos Narrow"/>
                <w:b/>
                <w:bCs/>
                <w:color w:val="FFFFFF"/>
                <w:sz w:val="22"/>
                <w:szCs w:val="22"/>
                <w:lang w:val="es-419"/>
              </w:rPr>
              <w:t>Descripción</w:t>
            </w:r>
          </w:p>
        </w:tc>
      </w:tr>
      <w:tr w:rsidR="00724EB6" w:rsidRPr="00FF683A" w14:paraId="48B2D932" w14:textId="77777777" w:rsidTr="592C80BC">
        <w:tc>
          <w:tcPr>
            <w:tcW w:w="662" w:type="dxa"/>
            <w:tcBorders>
              <w:top w:val="single" w:sz="4" w:space="0" w:color="B0B8C9"/>
              <w:left w:val="single" w:sz="4" w:space="0" w:color="B0B8C9"/>
              <w:bottom w:val="single" w:sz="4" w:space="0" w:color="B0B8C9"/>
              <w:right w:val="single" w:sz="4" w:space="0" w:color="B0B8C9"/>
            </w:tcBorders>
            <w:shd w:val="clear" w:color="auto" w:fill="BBDEFB"/>
            <w:tcMar>
              <w:top w:w="80" w:type="dxa"/>
              <w:left w:w="120" w:type="dxa"/>
              <w:bottom w:w="80" w:type="dxa"/>
              <w:right w:w="120" w:type="dxa"/>
            </w:tcMar>
            <w:vAlign w:val="center"/>
          </w:tcPr>
          <w:p w14:paraId="507C7F15" w14:textId="7AAD914C" w:rsidR="00724EB6" w:rsidRPr="00FF683A" w:rsidRDefault="00724EB6" w:rsidP="00724EB6">
            <w:pPr>
              <w:spacing w:after="0"/>
              <w:jc w:val="center"/>
              <w:rPr>
                <w:rFonts w:ascii="Aptos Narrow" w:hAnsi="Aptos Narrow"/>
                <w:sz w:val="20"/>
                <w:szCs w:val="20"/>
              </w:rPr>
            </w:pPr>
            <w:r w:rsidRPr="00FF683A">
              <w:rPr>
                <w:rFonts w:ascii="Aptos Narrow" w:hAnsi="Aptos Narrow"/>
                <w:b/>
                <w:bCs/>
                <w:color w:val="1E2761"/>
                <w:sz w:val="20"/>
                <w:szCs w:val="20"/>
              </w:rPr>
              <w:t>Co</w:t>
            </w:r>
          </w:p>
        </w:tc>
        <w:tc>
          <w:tcPr>
            <w:tcW w:w="1492" w:type="dxa"/>
            <w:tcBorders>
              <w:top w:val="single" w:sz="4" w:space="0" w:color="B0B8C9"/>
              <w:left w:val="single" w:sz="4" w:space="0" w:color="B0B8C9"/>
              <w:bottom w:val="single" w:sz="4" w:space="0" w:color="B0B8C9"/>
              <w:right w:val="single" w:sz="4" w:space="0" w:color="B0B8C9"/>
            </w:tcBorders>
            <w:shd w:val="clear" w:color="auto" w:fill="F5F7FB"/>
            <w:tcMar>
              <w:top w:w="80" w:type="dxa"/>
              <w:left w:w="120" w:type="dxa"/>
              <w:bottom w:w="80" w:type="dxa"/>
              <w:right w:w="120" w:type="dxa"/>
            </w:tcMar>
            <w:vAlign w:val="center"/>
          </w:tcPr>
          <w:p w14:paraId="532418CD" w14:textId="377268DC" w:rsidR="00724EB6" w:rsidRPr="00FF683A" w:rsidRDefault="00724EB6" w:rsidP="00724EB6">
            <w:pPr>
              <w:spacing w:after="0"/>
              <w:jc w:val="center"/>
              <w:rPr>
                <w:rFonts w:ascii="Aptos Narrow" w:hAnsi="Aptos Narrow"/>
                <w:sz w:val="20"/>
                <w:szCs w:val="20"/>
              </w:rPr>
            </w:pPr>
            <w:proofErr w:type="spellStart"/>
            <w:r w:rsidRPr="00FF683A">
              <w:rPr>
                <w:rFonts w:ascii="Aptos Narrow" w:hAnsi="Aptos Narrow"/>
                <w:b/>
                <w:bCs/>
                <w:color w:val="1E2761"/>
                <w:sz w:val="20"/>
                <w:szCs w:val="20"/>
              </w:rPr>
              <w:t>Contenidos</w:t>
            </w:r>
            <w:proofErr w:type="spellEnd"/>
          </w:p>
        </w:tc>
        <w:tc>
          <w:tcPr>
            <w:tcW w:w="7076" w:type="dxa"/>
            <w:tcBorders>
              <w:top w:val="single" w:sz="4" w:space="0" w:color="B0B8C9"/>
              <w:left w:val="single" w:sz="4" w:space="0" w:color="B0B8C9"/>
              <w:bottom w:val="single" w:sz="4" w:space="0" w:color="B0B8C9"/>
              <w:right w:val="single" w:sz="4" w:space="0" w:color="B0B8C9"/>
            </w:tcBorders>
            <w:shd w:val="clear" w:color="auto" w:fill="F5F7FB"/>
            <w:tcMar>
              <w:top w:w="80" w:type="dxa"/>
              <w:left w:w="120" w:type="dxa"/>
              <w:bottom w:w="80" w:type="dxa"/>
              <w:right w:w="120" w:type="dxa"/>
            </w:tcMar>
          </w:tcPr>
          <w:p w14:paraId="4896D813" w14:textId="77777777" w:rsidR="005D5078" w:rsidRPr="005D5078" w:rsidRDefault="005D5078" w:rsidP="005D5078">
            <w:pPr>
              <w:spacing w:after="40"/>
              <w:jc w:val="both"/>
              <w:rPr>
                <w:rFonts w:ascii="Aptos Narrow" w:hAnsi="Aptos Narrow"/>
                <w:sz w:val="20"/>
                <w:szCs w:val="20"/>
                <w:lang w:val="es-419"/>
              </w:rPr>
            </w:pPr>
            <w:r w:rsidRPr="005D5078">
              <w:rPr>
                <w:rFonts w:ascii="Aptos Narrow" w:hAnsi="Aptos Narrow"/>
                <w:sz w:val="20"/>
                <w:szCs w:val="20"/>
                <w:lang w:val="es-419"/>
              </w:rPr>
              <w:t xml:space="preserve">Video-lecciones 3.1–3.4 (54 min): dinámica sobre redes con nodos con estado y reglas de actualización; difusión, contagio simple vs. complejo, umbrales de adopción; modelos de Bass, Watts, Granovetter; redes de actores y </w:t>
            </w:r>
            <w:proofErr w:type="spellStart"/>
            <w:r w:rsidRPr="005D5078">
              <w:rPr>
                <w:rFonts w:ascii="Aptos Narrow" w:hAnsi="Aptos Narrow"/>
                <w:sz w:val="20"/>
                <w:szCs w:val="20"/>
                <w:lang w:val="es-419"/>
              </w:rPr>
              <w:t>stakeholders</w:t>
            </w:r>
            <w:proofErr w:type="spellEnd"/>
            <w:r w:rsidRPr="005D5078">
              <w:rPr>
                <w:rFonts w:ascii="Aptos Narrow" w:hAnsi="Aptos Narrow"/>
                <w:sz w:val="20"/>
                <w:szCs w:val="20"/>
                <w:lang w:val="es-419"/>
              </w:rPr>
              <w:t xml:space="preserve">; redes bipartitas (generadores–comercializadores); el mercado mayorista colombiano como grafo; </w:t>
            </w:r>
            <w:proofErr w:type="spellStart"/>
            <w:r w:rsidRPr="005D5078">
              <w:rPr>
                <w:rFonts w:ascii="Aptos Narrow" w:hAnsi="Aptos Narrow"/>
                <w:sz w:val="20"/>
                <w:szCs w:val="20"/>
                <w:lang w:val="es-419"/>
              </w:rPr>
              <w:t>wrap</w:t>
            </w:r>
            <w:proofErr w:type="spellEnd"/>
            <w:r w:rsidRPr="005D5078">
              <w:rPr>
                <w:rFonts w:ascii="Aptos Narrow" w:hAnsi="Aptos Narrow"/>
                <w:sz w:val="20"/>
                <w:szCs w:val="20"/>
                <w:lang w:val="es-419"/>
              </w:rPr>
              <w:t xml:space="preserve">-up del módulo de redes y horizonte ABM (Mesa). </w:t>
            </w:r>
          </w:p>
          <w:p w14:paraId="5DEC2BA4" w14:textId="77777777" w:rsidR="005D5078" w:rsidRPr="005D5078" w:rsidRDefault="005D5078" w:rsidP="005D5078">
            <w:pPr>
              <w:spacing w:after="40"/>
              <w:jc w:val="both"/>
              <w:rPr>
                <w:rFonts w:ascii="Aptos Narrow" w:hAnsi="Aptos Narrow"/>
                <w:sz w:val="20"/>
                <w:szCs w:val="20"/>
                <w:lang w:val="es-419"/>
              </w:rPr>
            </w:pPr>
            <w:r w:rsidRPr="005D5078">
              <w:rPr>
                <w:rFonts w:ascii="Aptos Narrow" w:hAnsi="Aptos Narrow"/>
                <w:sz w:val="20"/>
                <w:szCs w:val="20"/>
                <w:lang w:val="es-419"/>
              </w:rPr>
              <w:t xml:space="preserve">Lectura: </w:t>
            </w:r>
            <w:proofErr w:type="spellStart"/>
            <w:r w:rsidRPr="005D5078">
              <w:rPr>
                <w:rFonts w:ascii="Aptos Narrow" w:hAnsi="Aptos Narrow"/>
                <w:sz w:val="20"/>
                <w:szCs w:val="20"/>
                <w:lang w:val="es-419"/>
              </w:rPr>
              <w:t>Barabási</w:t>
            </w:r>
            <w:proofErr w:type="spellEnd"/>
            <w:r w:rsidRPr="005D5078">
              <w:rPr>
                <w:rFonts w:ascii="Aptos Narrow" w:hAnsi="Aptos Narrow"/>
                <w:sz w:val="20"/>
                <w:szCs w:val="20"/>
                <w:lang w:val="es-419"/>
              </w:rPr>
              <w:t xml:space="preserve"> Cap. 5–6 y 10; Watts (2002) </w:t>
            </w:r>
          </w:p>
          <w:p w14:paraId="2AD857F3" w14:textId="48530B25" w:rsidR="00724EB6" w:rsidRPr="00FF683A" w:rsidRDefault="005D5078" w:rsidP="005D5078">
            <w:pPr>
              <w:spacing w:after="0"/>
              <w:jc w:val="both"/>
              <w:rPr>
                <w:rFonts w:ascii="Aptos Narrow" w:eastAsia="Aptos Narrow" w:hAnsi="Aptos Narrow" w:cs="Aptos Narrow"/>
                <w:sz w:val="20"/>
                <w:szCs w:val="20"/>
                <w:lang w:val="es-419"/>
              </w:rPr>
            </w:pPr>
            <w:r w:rsidRPr="005D5078">
              <w:rPr>
                <w:rFonts w:ascii="Aptos Narrow" w:hAnsi="Aptos Narrow"/>
                <w:sz w:val="20"/>
                <w:szCs w:val="20"/>
              </w:rPr>
              <w:t xml:space="preserve">PNAS; </w:t>
            </w:r>
            <w:proofErr w:type="spellStart"/>
            <w:r w:rsidRPr="005D5078">
              <w:rPr>
                <w:rFonts w:ascii="Aptos Narrow" w:hAnsi="Aptos Narrow"/>
                <w:sz w:val="20"/>
                <w:szCs w:val="20"/>
              </w:rPr>
              <w:t>documento</w:t>
            </w:r>
            <w:proofErr w:type="spellEnd"/>
            <w:r w:rsidRPr="005D5078">
              <w:rPr>
                <w:rFonts w:ascii="Aptos Narrow" w:hAnsi="Aptos Narrow"/>
                <w:sz w:val="20"/>
                <w:szCs w:val="20"/>
              </w:rPr>
              <w:t xml:space="preserve"> </w:t>
            </w:r>
            <w:proofErr w:type="spellStart"/>
            <w:r w:rsidRPr="005D5078">
              <w:rPr>
                <w:rFonts w:ascii="Aptos Narrow" w:hAnsi="Aptos Narrow"/>
                <w:sz w:val="20"/>
                <w:szCs w:val="20"/>
              </w:rPr>
              <w:t>técnico</w:t>
            </w:r>
            <w:proofErr w:type="spellEnd"/>
            <w:r w:rsidRPr="005D5078">
              <w:rPr>
                <w:rFonts w:ascii="Aptos Narrow" w:hAnsi="Aptos Narrow"/>
                <w:sz w:val="20"/>
                <w:szCs w:val="20"/>
              </w:rPr>
              <w:t xml:space="preserve"> XM.</w:t>
            </w:r>
          </w:p>
        </w:tc>
      </w:tr>
    </w:tbl>
    <w:p w14:paraId="3F81575C" w14:textId="77777777" w:rsidR="00724EB6" w:rsidRPr="00FF683A" w:rsidRDefault="00724EB6" w:rsidP="006A2647">
      <w:pPr>
        <w:pStyle w:val="Heading2"/>
        <w:rPr>
          <w:rFonts w:ascii="Aptos Narrow" w:hAnsi="Aptos Narrow"/>
          <w:sz w:val="22"/>
          <w:szCs w:val="22"/>
        </w:rPr>
      </w:pPr>
    </w:p>
    <w:p w14:paraId="29CA0D02" w14:textId="77777777" w:rsidR="00724EB6" w:rsidRPr="00FF683A" w:rsidRDefault="00724EB6">
      <w:pPr>
        <w:rPr>
          <w:rFonts w:ascii="Aptos Narrow" w:eastAsia="Calibri" w:hAnsi="Aptos Narrow" w:cs="Calibri"/>
          <w:b/>
          <w:bCs/>
          <w:color w:val="065A82"/>
          <w:sz w:val="22"/>
          <w:szCs w:val="22"/>
          <w:lang w:val="es-CO" w:eastAsia="es-MX"/>
        </w:rPr>
      </w:pPr>
      <w:r w:rsidRPr="00FF683A">
        <w:rPr>
          <w:rFonts w:ascii="Aptos Narrow" w:hAnsi="Aptos Narrow"/>
          <w:sz w:val="22"/>
          <w:szCs w:val="22"/>
          <w:lang w:val="es-419"/>
        </w:rPr>
        <w:br w:type="page"/>
      </w:r>
    </w:p>
    <w:p w14:paraId="31A0717A" w14:textId="777663C2" w:rsidR="006A2647" w:rsidRPr="00FF683A" w:rsidRDefault="006A2647" w:rsidP="006A2647">
      <w:pPr>
        <w:pStyle w:val="Heading2"/>
        <w:rPr>
          <w:rFonts w:ascii="Aptos Narrow" w:hAnsi="Aptos Narrow"/>
          <w:sz w:val="22"/>
          <w:szCs w:val="22"/>
          <w:lang w:val="es-419"/>
        </w:rPr>
      </w:pPr>
      <w:r w:rsidRPr="00FF683A">
        <w:rPr>
          <w:rFonts w:ascii="Aptos Narrow" w:hAnsi="Aptos Narrow"/>
          <w:sz w:val="22"/>
          <w:szCs w:val="22"/>
        </w:rPr>
        <w:lastRenderedPageBreak/>
        <w:t xml:space="preserve">SCRIPT </w:t>
      </w:r>
      <w:r w:rsidRPr="00FF683A">
        <w:rPr>
          <w:rFonts w:ascii="Aptos Narrow" w:hAnsi="Aptos Narrow"/>
          <w:sz w:val="22"/>
          <w:szCs w:val="22"/>
          <w:lang w:val="es-419"/>
        </w:rPr>
        <w:t xml:space="preserve">~ </w:t>
      </w:r>
      <w:r w:rsidR="001F0BA5" w:rsidRPr="00FF683A">
        <w:rPr>
          <w:rFonts w:ascii="Aptos Narrow" w:hAnsi="Aptos Narrow"/>
          <w:sz w:val="22"/>
          <w:szCs w:val="22"/>
          <w:lang w:val="es-419"/>
        </w:rPr>
        <w:t>1</w:t>
      </w:r>
      <w:r w:rsidRPr="00FF683A">
        <w:rPr>
          <w:rFonts w:ascii="Aptos Narrow" w:hAnsi="Aptos Narrow"/>
          <w:sz w:val="22"/>
          <w:szCs w:val="22"/>
          <w:lang w:val="es-419"/>
        </w:rPr>
        <w:t>5 min</w:t>
      </w:r>
    </w:p>
    <w:p w14:paraId="303462A7" w14:textId="01073029" w:rsidR="00723ADE" w:rsidRPr="004F095B" w:rsidRDefault="00CF7577" w:rsidP="00723ADE">
      <w:pPr>
        <w:spacing w:after="60"/>
        <w:rPr>
          <w:rFonts w:ascii="Aptos Narrow" w:hAnsi="Aptos Narrow"/>
          <w:sz w:val="22"/>
          <w:szCs w:val="22"/>
          <w:lang w:val="es-419"/>
        </w:rPr>
      </w:pPr>
      <w:r w:rsidRPr="004F095B">
        <w:rPr>
          <w:rFonts w:ascii="Aptos Narrow" w:hAnsi="Aptos Narrow"/>
          <w:b/>
          <w:bCs/>
          <w:color w:val="1F3864"/>
          <w:sz w:val="22"/>
          <w:szCs w:val="22"/>
          <w:lang w:val="es-419"/>
        </w:rPr>
        <w:t xml:space="preserve">Alcance de </w:t>
      </w:r>
      <w:r w:rsidR="005D5078" w:rsidRPr="004F095B">
        <w:rPr>
          <w:rFonts w:ascii="Aptos Narrow" w:hAnsi="Aptos Narrow"/>
          <w:b/>
          <w:bCs/>
          <w:color w:val="1F3864"/>
          <w:sz w:val="22"/>
          <w:szCs w:val="22"/>
          <w:lang w:val="es-419"/>
        </w:rPr>
        <w:t>3.</w:t>
      </w:r>
      <w:r w:rsidR="00F35346" w:rsidRPr="004F095B">
        <w:rPr>
          <w:rFonts w:ascii="Aptos Narrow" w:hAnsi="Aptos Narrow"/>
          <w:b/>
          <w:bCs/>
          <w:color w:val="1F3864"/>
          <w:sz w:val="22"/>
          <w:szCs w:val="22"/>
          <w:lang w:val="es-419"/>
        </w:rPr>
        <w:t>2</w:t>
      </w:r>
      <w:r w:rsidRPr="004F095B">
        <w:rPr>
          <w:rFonts w:ascii="Aptos Narrow" w:hAnsi="Aptos Narrow"/>
          <w:b/>
          <w:bCs/>
          <w:color w:val="1F3864"/>
          <w:sz w:val="22"/>
          <w:szCs w:val="22"/>
          <w:lang w:val="es-419"/>
        </w:rPr>
        <w:t xml:space="preserve">: </w:t>
      </w:r>
      <w:r w:rsidR="00E456F7" w:rsidRPr="004F095B">
        <w:rPr>
          <w:rFonts w:ascii="Aptos Narrow" w:hAnsi="Aptos Narrow"/>
          <w:sz w:val="22"/>
          <w:szCs w:val="22"/>
          <w:lang w:val="es-419"/>
        </w:rPr>
        <w:t>Contagio complejo vs. simple (Centola-Macy); modelos de umbral (Granovetter); masa crítica y despegue; el caso de Medellín (</w:t>
      </w:r>
      <w:proofErr w:type="spellStart"/>
      <w:r w:rsidR="00E456F7" w:rsidRPr="004F095B">
        <w:rPr>
          <w:rFonts w:ascii="Aptos Narrow" w:hAnsi="Aptos Narrow"/>
          <w:sz w:val="22"/>
          <w:szCs w:val="22"/>
          <w:lang w:val="es-419"/>
        </w:rPr>
        <w:t>Radomes</w:t>
      </w:r>
      <w:proofErr w:type="spellEnd"/>
      <w:r w:rsidR="00E456F7" w:rsidRPr="004F095B">
        <w:rPr>
          <w:rFonts w:ascii="Aptos Narrow" w:hAnsi="Aptos Narrow"/>
          <w:sz w:val="22"/>
          <w:szCs w:val="22"/>
          <w:lang w:val="es-419"/>
        </w:rPr>
        <w:t xml:space="preserve"> &amp; Arango)</w:t>
      </w:r>
    </w:p>
    <w:p w14:paraId="5FA71431" w14:textId="77777777" w:rsidR="004F095B" w:rsidRPr="004F095B" w:rsidRDefault="004F095B" w:rsidP="004F095B">
      <w:pPr>
        <w:spacing w:before="280" w:after="120"/>
        <w:rPr>
          <w:rFonts w:ascii="Aptos Narrow" w:hAnsi="Aptos Narrow"/>
          <w:sz w:val="22"/>
          <w:szCs w:val="22"/>
          <w:lang w:val="es-419"/>
        </w:rPr>
      </w:pPr>
      <w:r w:rsidRPr="004F095B">
        <w:rPr>
          <w:rFonts w:ascii="Aptos Narrow" w:hAnsi="Aptos Narrow"/>
          <w:b/>
          <w:bCs/>
          <w:color w:val="1F3864"/>
          <w:sz w:val="22"/>
          <w:szCs w:val="22"/>
          <w:lang w:val="es-419"/>
        </w:rPr>
        <w:t>Segmento 1 — La pregunta que dejó abierta la lección anterior</w:t>
      </w:r>
    </w:p>
    <w:p w14:paraId="27BE8168" w14:textId="77777777" w:rsidR="004F095B" w:rsidRPr="004F095B" w:rsidRDefault="004F095B" w:rsidP="004F095B">
      <w:pPr>
        <w:spacing w:line="300" w:lineRule="auto"/>
        <w:jc w:val="both"/>
        <w:rPr>
          <w:rFonts w:ascii="Aptos Narrow" w:hAnsi="Aptos Narrow"/>
          <w:sz w:val="22"/>
          <w:szCs w:val="22"/>
          <w:lang w:val="es-419"/>
        </w:rPr>
      </w:pPr>
      <w:r w:rsidRPr="004F095B">
        <w:rPr>
          <w:rFonts w:ascii="Aptos Narrow" w:hAnsi="Aptos Narrow"/>
          <w:sz w:val="22"/>
          <w:szCs w:val="22"/>
          <w:lang w:val="es-419"/>
        </w:rPr>
        <w:t xml:space="preserve">En la lección pasada le dimos vida a la red y estudiamos el contagio simple, la lógica de la epidemia, donde un solo contacto con </w:t>
      </w:r>
      <w:proofErr w:type="gramStart"/>
      <w:r w:rsidRPr="004F095B">
        <w:rPr>
          <w:rFonts w:ascii="Aptos Narrow" w:hAnsi="Aptos Narrow"/>
          <w:sz w:val="22"/>
          <w:szCs w:val="22"/>
          <w:lang w:val="es-419"/>
        </w:rPr>
        <w:t>un adoptante basta</w:t>
      </w:r>
      <w:proofErr w:type="gramEnd"/>
      <w:r w:rsidRPr="004F095B">
        <w:rPr>
          <w:rFonts w:ascii="Aptos Narrow" w:hAnsi="Aptos Narrow"/>
          <w:sz w:val="22"/>
          <w:szCs w:val="22"/>
          <w:lang w:val="es-419"/>
        </w:rPr>
        <w:t xml:space="preserve"> para propagar la idea. Vimos que esa lógica explica bien los rumores y los virus, pero que se queda corta para decisiones costosas y arriesgadas como instalar paneles solares. Y cerramos con una intuición: para ese tipo de decisiones, ver a un solo vecino que adoptó rara vez alcanza; uno necesita ver a varios.</w:t>
      </w:r>
    </w:p>
    <w:p w14:paraId="527731F2" w14:textId="77777777" w:rsidR="004F095B" w:rsidRPr="004F095B" w:rsidRDefault="004F095B" w:rsidP="004F095B">
      <w:pPr>
        <w:spacing w:line="300" w:lineRule="auto"/>
        <w:jc w:val="both"/>
        <w:rPr>
          <w:rFonts w:ascii="Aptos Narrow" w:hAnsi="Aptos Narrow"/>
          <w:sz w:val="22"/>
          <w:szCs w:val="22"/>
          <w:lang w:val="es-419"/>
        </w:rPr>
      </w:pPr>
      <w:r w:rsidRPr="004F095B">
        <w:rPr>
          <w:rFonts w:ascii="Aptos Narrow" w:hAnsi="Aptos Narrow"/>
          <w:sz w:val="22"/>
          <w:szCs w:val="22"/>
          <w:lang w:val="es-419"/>
        </w:rPr>
        <w:t>Hoy vamos a convertir esa intuición en un modelo, y es probablemente la lección más importante de la semana, porque explica el fenómeno que abrió el módulo: por qué la curva de adopción solar estuvo dormida durante años y de repente despegó. La respuesta está en dos ideas gemelas: el contagio complejo, que nos dice que estas decisiones necesitan refuerzo de múltiples fuentes, y los modelos de umbral, que formalizan cuánto refuerzo hace falta. Con estas dos ideas entenderemos no solo por qué la adopción despega, sino, sorprendentemente, por qué a veces las conexiones de largo alcance que ayudaban al contagio simple aquí pueden estorbar.</w:t>
      </w:r>
    </w:p>
    <w:p w14:paraId="41C3EF79" w14:textId="77777777" w:rsidR="004F095B" w:rsidRPr="004F095B" w:rsidRDefault="004F095B" w:rsidP="004F095B">
      <w:pPr>
        <w:spacing w:before="280" w:after="120"/>
        <w:rPr>
          <w:rFonts w:ascii="Aptos Narrow" w:hAnsi="Aptos Narrow"/>
          <w:sz w:val="22"/>
          <w:szCs w:val="22"/>
          <w:lang w:val="es-419"/>
        </w:rPr>
      </w:pPr>
      <w:r w:rsidRPr="004F095B">
        <w:rPr>
          <w:rFonts w:ascii="Aptos Narrow" w:hAnsi="Aptos Narrow"/>
          <w:b/>
          <w:bCs/>
          <w:color w:val="1F3864"/>
          <w:sz w:val="22"/>
          <w:szCs w:val="22"/>
          <w:lang w:val="es-419"/>
        </w:rPr>
        <w:t>Segmento 2 — Contagio complejo: cuando un contacto no basta</w:t>
      </w:r>
    </w:p>
    <w:p w14:paraId="14C6D7A4" w14:textId="77777777" w:rsidR="004F095B" w:rsidRPr="004F095B" w:rsidRDefault="004F095B" w:rsidP="004F095B">
      <w:pPr>
        <w:spacing w:line="300" w:lineRule="auto"/>
        <w:jc w:val="both"/>
        <w:rPr>
          <w:rFonts w:ascii="Aptos Narrow" w:hAnsi="Aptos Narrow"/>
          <w:sz w:val="22"/>
          <w:szCs w:val="22"/>
          <w:lang w:val="es-419"/>
        </w:rPr>
      </w:pPr>
      <w:r w:rsidRPr="004F095B">
        <w:rPr>
          <w:rFonts w:ascii="Aptos Narrow" w:hAnsi="Aptos Narrow"/>
          <w:sz w:val="22"/>
          <w:szCs w:val="22"/>
          <w:lang w:val="es-419"/>
        </w:rPr>
        <w:t>Empecemos con la distinción central, estudiada a fondo por Centola y Macy. Un contagio simple, ya lo vimos, se transmite con un solo contacto. Un contagio complejo, en cambio, requiere refuerzo: un nodo necesita estar expuesto a varios vecinos ya activos antes de activarse él mismo. No basta con una fuente; hacen falta varias, y de preferencia independientes entre sí.</w:t>
      </w:r>
    </w:p>
    <w:p w14:paraId="2B4B6A86" w14:textId="77777777" w:rsidR="004F095B" w:rsidRPr="004F095B" w:rsidRDefault="004F095B" w:rsidP="004F095B">
      <w:pPr>
        <w:spacing w:line="300" w:lineRule="auto"/>
        <w:jc w:val="both"/>
        <w:rPr>
          <w:rFonts w:ascii="Aptos Narrow" w:hAnsi="Aptos Narrow"/>
          <w:sz w:val="22"/>
          <w:szCs w:val="22"/>
          <w:lang w:val="es-419"/>
        </w:rPr>
      </w:pPr>
      <w:r w:rsidRPr="004F095B">
        <w:rPr>
          <w:rFonts w:ascii="Aptos Narrow" w:hAnsi="Aptos Narrow"/>
          <w:sz w:val="22"/>
          <w:szCs w:val="22"/>
          <w:lang w:val="es-419"/>
        </w:rPr>
        <w:t>¿Por qué algunas cosas se contagian de forma compleja y no simple? Porque son decisiones que implican costo, riesgo, o ir contra lo establecido. Instalar paneles cuesta dinero, exige confianza en una tecnología poco familiar, y es un compromiso de años. Ante ese tipo de decisión, un solo ejemplo no convence: podría ser un caso aislado, un vecino excéntrico, alguien con circunstancias particulares. Pero si tres o cuatro personas distintas de mi entorno, a las que respeto y que se parecen a mí, ya adoptaron y les fue bien, la señal deja de ser anecdótica y se vuelve creíble. El refuerzo múltiple es lo que reduce la incertidumbre y me da la confianza para dar el paso. Contagio complejo es, en el fondo, el nombre técnico de la validación social que todos usamos para decisiones importantes.</w:t>
      </w:r>
    </w:p>
    <w:p w14:paraId="07425626" w14:textId="77777777" w:rsidR="004F095B" w:rsidRPr="004F095B" w:rsidRDefault="004F095B" w:rsidP="004F095B">
      <w:pPr>
        <w:spacing w:line="300" w:lineRule="auto"/>
        <w:jc w:val="both"/>
        <w:rPr>
          <w:rFonts w:ascii="Aptos Narrow" w:hAnsi="Aptos Narrow"/>
          <w:sz w:val="22"/>
          <w:szCs w:val="22"/>
          <w:lang w:val="es-419"/>
        </w:rPr>
      </w:pPr>
      <w:r w:rsidRPr="004F095B">
        <w:rPr>
          <w:rFonts w:ascii="Aptos Narrow" w:hAnsi="Aptos Narrow"/>
          <w:sz w:val="22"/>
          <w:szCs w:val="22"/>
          <w:lang w:val="es-419"/>
        </w:rPr>
        <w:t xml:space="preserve">Y ahora viene el resultado </w:t>
      </w:r>
      <w:proofErr w:type="gramStart"/>
      <w:r w:rsidRPr="004F095B">
        <w:rPr>
          <w:rFonts w:ascii="Aptos Narrow" w:hAnsi="Aptos Narrow"/>
          <w:sz w:val="22"/>
          <w:szCs w:val="22"/>
          <w:lang w:val="es-419"/>
        </w:rPr>
        <w:t>más contraintuitivo y más bello</w:t>
      </w:r>
      <w:proofErr w:type="gramEnd"/>
      <w:r w:rsidRPr="004F095B">
        <w:rPr>
          <w:rFonts w:ascii="Aptos Narrow" w:hAnsi="Aptos Narrow"/>
          <w:sz w:val="22"/>
          <w:szCs w:val="22"/>
          <w:lang w:val="es-419"/>
        </w:rPr>
        <w:t xml:space="preserve"> de esta teoría, el que le da todo su valor. Recuerden que en el contagio simple los atajos de largo alcance, esas conexiones que saltan a regiones lejanas de la red, eran valiosísimos, porque llevaban el contagio a territorios nuevos. Pues bien, para el contagio complejo esos mismos atajos sirven de poco, y esta es la razón: un atajo lleva una sola exposición a una región lejana, y una sola exposición no alcanza para activar un contagio complejo, que necesita varias. Lo que el contagio complejo necesita no son puentes lejanos, sino redundancia local: vecindarios densos donde mis contactos </w:t>
      </w:r>
      <w:r w:rsidRPr="004F095B">
        <w:rPr>
          <w:rFonts w:ascii="Aptos Narrow" w:hAnsi="Aptos Narrow"/>
          <w:sz w:val="22"/>
          <w:szCs w:val="22"/>
          <w:lang w:val="es-419"/>
        </w:rPr>
        <w:lastRenderedPageBreak/>
        <w:t>también son contactos entre sí, de modo que varios de ellos puedan reforzarme la misma señal. Aquí es donde reaparece, con protagonismo, el coeficiente de agrupamiento que aprendimos en la semana dos. Las regiones de alto agrupamiento, esos triángulos densos que entonces parecían un detalle, son precisamente las que permiten que un contagio complejo prenda.</w:t>
      </w:r>
    </w:p>
    <w:p w14:paraId="16EF9D84" w14:textId="77777777" w:rsidR="004F095B" w:rsidRPr="004F095B" w:rsidRDefault="004F095B" w:rsidP="004F095B">
      <w:pPr>
        <w:spacing w:line="300" w:lineRule="auto"/>
        <w:jc w:val="both"/>
        <w:rPr>
          <w:rFonts w:ascii="Aptos Narrow" w:hAnsi="Aptos Narrow"/>
          <w:sz w:val="22"/>
          <w:szCs w:val="22"/>
          <w:lang w:val="es-419"/>
        </w:rPr>
      </w:pPr>
      <w:r w:rsidRPr="004F095B">
        <w:rPr>
          <w:rFonts w:ascii="Aptos Narrow" w:hAnsi="Aptos Narrow"/>
          <w:sz w:val="22"/>
          <w:szCs w:val="22"/>
          <w:lang w:val="es-419"/>
        </w:rPr>
        <w:t>Esta idea tiene una consecuencia práctica enorme para quien quiera promover una tecnología, y conviene sacarla explícita. Si usted cree, equivocadamente, que la adopción solar es un contagio simple, su estrategia sería regar unos pocos ejemplos dispersos por toda la ciudad, un panel aquí, otro allá, confiando en que cada uno contagie a su alrededor. Y fracasaría, porque cada adoptante aislado es una sola exposición para sus vecinos, insuficiente para vencer sus umbrales. La estrategia correcta, sabiendo que es un contagio complejo, es la opuesta: concentrar los primeros adoptantes en unos pocos vecindarios, saturarlos, para que ahí cada persona vea a varios de sus contactos adoptar a la vez y se supere la masa crítica local. Un foco denso que prende es mucho más poderoso que mil chispas dispersas que se apagan. Esta es la diferencia entre una campaña de difusión que funciona y una que quema presupuesto sin resultados.</w:t>
      </w:r>
    </w:p>
    <w:p w14:paraId="017A7CCA" w14:textId="77777777" w:rsidR="004F095B" w:rsidRPr="004F095B" w:rsidRDefault="004F095B" w:rsidP="004F095B">
      <w:pPr>
        <w:pBdr>
          <w:left w:val="single" w:sz="18" w:space="12" w:color="9C6500"/>
        </w:pBdr>
        <w:spacing w:before="120"/>
        <w:rPr>
          <w:rFonts w:ascii="Aptos Narrow" w:hAnsi="Aptos Narrow"/>
          <w:sz w:val="22"/>
          <w:szCs w:val="22"/>
          <w:lang w:val="es-419"/>
        </w:rPr>
      </w:pPr>
      <w:r w:rsidRPr="004F095B">
        <w:rPr>
          <w:rFonts w:ascii="Aptos Narrow" w:hAnsi="Aptos Narrow"/>
          <w:b/>
          <w:bCs/>
          <w:color w:val="9C6500"/>
          <w:sz w:val="22"/>
          <w:szCs w:val="22"/>
          <w:lang w:val="es-419"/>
        </w:rPr>
        <w:t xml:space="preserve">[QUIZ EMBEBIDO] </w:t>
      </w:r>
      <w:r w:rsidRPr="004F095B">
        <w:rPr>
          <w:rFonts w:ascii="Aptos Narrow" w:hAnsi="Aptos Narrow"/>
          <w:i/>
          <w:iCs/>
          <w:color w:val="555555"/>
          <w:sz w:val="22"/>
          <w:szCs w:val="22"/>
          <w:lang w:val="es-419"/>
        </w:rPr>
        <w:t xml:space="preserve">Se comparan dos regiones de una red: una con muchos atajos de largo </w:t>
      </w:r>
      <w:proofErr w:type="gramStart"/>
      <w:r w:rsidRPr="004F095B">
        <w:rPr>
          <w:rFonts w:ascii="Aptos Narrow" w:hAnsi="Aptos Narrow"/>
          <w:i/>
          <w:iCs/>
          <w:color w:val="555555"/>
          <w:sz w:val="22"/>
          <w:szCs w:val="22"/>
          <w:lang w:val="es-419"/>
        </w:rPr>
        <w:t>alcance</w:t>
      </w:r>
      <w:proofErr w:type="gramEnd"/>
      <w:r w:rsidRPr="004F095B">
        <w:rPr>
          <w:rFonts w:ascii="Aptos Narrow" w:hAnsi="Aptos Narrow"/>
          <w:i/>
          <w:iCs/>
          <w:color w:val="555555"/>
          <w:sz w:val="22"/>
          <w:szCs w:val="22"/>
          <w:lang w:val="es-419"/>
        </w:rPr>
        <w:t xml:space="preserve"> pero poco agrupamiento local, y otra con vecindarios densos y alto agrupamiento. El estudiante debe indicar en cuál prosperaría mejor un contagio complejo y explicar por qué los atajos, útiles para el contagio simple, no bastan aquí.</w:t>
      </w:r>
    </w:p>
    <w:p w14:paraId="53120ED3" w14:textId="77777777" w:rsidR="004F095B" w:rsidRPr="004F095B" w:rsidRDefault="004F095B" w:rsidP="004F095B">
      <w:pPr>
        <w:spacing w:before="280" w:after="120"/>
        <w:rPr>
          <w:rFonts w:ascii="Aptos Narrow" w:hAnsi="Aptos Narrow"/>
          <w:sz w:val="22"/>
          <w:szCs w:val="22"/>
          <w:lang w:val="es-419"/>
        </w:rPr>
      </w:pPr>
      <w:r w:rsidRPr="004F095B">
        <w:rPr>
          <w:rFonts w:ascii="Aptos Narrow" w:hAnsi="Aptos Narrow"/>
          <w:b/>
          <w:bCs/>
          <w:color w:val="1F3864"/>
          <w:sz w:val="22"/>
          <w:szCs w:val="22"/>
          <w:lang w:val="es-419"/>
        </w:rPr>
        <w:t>Segmento 3 — Modelos de umbral: cuánto refuerzo hace falta</w:t>
      </w:r>
    </w:p>
    <w:p w14:paraId="76CF8C64" w14:textId="77777777" w:rsidR="004F095B" w:rsidRPr="004F095B" w:rsidRDefault="004F095B" w:rsidP="004F095B">
      <w:pPr>
        <w:spacing w:line="300" w:lineRule="auto"/>
        <w:jc w:val="both"/>
        <w:rPr>
          <w:rFonts w:ascii="Aptos Narrow" w:hAnsi="Aptos Narrow"/>
          <w:sz w:val="22"/>
          <w:szCs w:val="22"/>
          <w:lang w:val="es-419"/>
        </w:rPr>
      </w:pPr>
      <w:r w:rsidRPr="004F095B">
        <w:rPr>
          <w:rFonts w:ascii="Aptos Narrow" w:hAnsi="Aptos Narrow"/>
          <w:sz w:val="22"/>
          <w:szCs w:val="22"/>
          <w:lang w:val="es-419"/>
        </w:rPr>
        <w:t>Si un contagio complejo necesita varios vecinos activos, la pregunta natural es: ¿cuántos? Ahí entran los modelos de umbral, formalizados por Granovetter. La idea es sencilla y muy poderosa. Cada individuo tiene un umbral: el número, o la fracción, de sus contactos que deben haber adoptado antes de que él mismo adopte. Una persona con umbral bajo es un pionero: adopta apenas ve a uno o dos hacerlo, o incluso sin ver a nadie. Una persona con umbral alto es conservadora: solo adopta cuando ya casi todo su entorno lo hizo.</w:t>
      </w:r>
    </w:p>
    <w:p w14:paraId="1349D889" w14:textId="77777777" w:rsidR="004F095B" w:rsidRPr="004F095B" w:rsidRDefault="004F095B" w:rsidP="004F095B">
      <w:pPr>
        <w:spacing w:line="300" w:lineRule="auto"/>
        <w:jc w:val="both"/>
        <w:rPr>
          <w:rFonts w:ascii="Aptos Narrow" w:hAnsi="Aptos Narrow"/>
          <w:sz w:val="22"/>
          <w:szCs w:val="22"/>
          <w:lang w:val="es-419"/>
        </w:rPr>
      </w:pPr>
      <w:r w:rsidRPr="004F095B">
        <w:rPr>
          <w:rFonts w:ascii="Aptos Narrow" w:hAnsi="Aptos Narrow"/>
          <w:sz w:val="22"/>
          <w:szCs w:val="22"/>
          <w:lang w:val="es-419"/>
        </w:rPr>
        <w:t>Lo genial del modelo de Granovetter es que muestra cómo el comportamiento colectivo depende no solo del umbral promedio, sino de la distribución completa de umbrales en la población, y de cómo esas personas están conectadas. Y de ahí surge el mecanismo del despegue. Imaginen una población con una mezcla de umbrales. Al principio, actúan los pioneros de umbral cero o muy bajo, que adoptan por su cuenta. Esos pocos adoptantes son suficientes para cruzar el umbral de las personas ligeramente menos pioneras, que entonces adoptan. Y esa nueva ola de adoptantes cruza el umbral del siguiente grupo, un poco más conservador, que también adopta. Se dispara una cascada: cada grupo que adopta habilita al siguiente. Es un efecto dominó de umbrales.</w:t>
      </w:r>
    </w:p>
    <w:p w14:paraId="1304AB28" w14:textId="77777777" w:rsidR="004F095B" w:rsidRPr="004F095B" w:rsidRDefault="004F095B" w:rsidP="004F095B">
      <w:pPr>
        <w:spacing w:line="300" w:lineRule="auto"/>
        <w:jc w:val="both"/>
        <w:rPr>
          <w:rFonts w:ascii="Aptos Narrow" w:hAnsi="Aptos Narrow"/>
          <w:sz w:val="22"/>
          <w:szCs w:val="22"/>
          <w:lang w:val="es-419"/>
        </w:rPr>
      </w:pPr>
      <w:r w:rsidRPr="004F095B">
        <w:rPr>
          <w:rFonts w:ascii="Aptos Narrow" w:hAnsi="Aptos Narrow"/>
          <w:sz w:val="22"/>
          <w:szCs w:val="22"/>
          <w:lang w:val="es-419"/>
        </w:rPr>
        <w:t xml:space="preserve">Este mecanismo explica por fin la forma de la curva que nos ha acompañado toda la semana. La fase plana del comienzo es el periodo en que solo los pioneros han adoptado y todavía no son suficientes para cruzar el umbral de la mayoría. Parece que no pasa nada, pero por debajo se está acumulando masa. El despegue súbito es el momento en que se alcanza la masa crítica: el número de adoptantes cruza el umbral de un grupo grande, que adopta en cadena y arrastra a los siguientes. Y la saturación final llega cuando solo quedan los </w:t>
      </w:r>
      <w:r w:rsidRPr="004F095B">
        <w:rPr>
          <w:rFonts w:ascii="Aptos Narrow" w:hAnsi="Aptos Narrow"/>
          <w:sz w:val="22"/>
          <w:szCs w:val="22"/>
          <w:lang w:val="es-419"/>
        </w:rPr>
        <w:lastRenderedPageBreak/>
        <w:t>de umbral altísimo, los que no adoptan hasta que casi todos lo hicieron. La curva no despega porque de repente bajó el precio o cambió la ley; despega porque el sistema cruzó su masa crítica. El cambio estaba gestándose en silencio durante toda la fase plana.</w:t>
      </w:r>
    </w:p>
    <w:p w14:paraId="3526D787" w14:textId="77777777" w:rsidR="004F095B" w:rsidRPr="004F095B" w:rsidRDefault="004F095B" w:rsidP="004F095B">
      <w:pPr>
        <w:spacing w:line="300" w:lineRule="auto"/>
        <w:jc w:val="both"/>
        <w:rPr>
          <w:rFonts w:ascii="Aptos Narrow" w:hAnsi="Aptos Narrow"/>
          <w:sz w:val="22"/>
          <w:szCs w:val="22"/>
          <w:lang w:val="es-419"/>
        </w:rPr>
      </w:pPr>
      <w:r w:rsidRPr="004F095B">
        <w:rPr>
          <w:rFonts w:ascii="Aptos Narrow" w:hAnsi="Aptos Narrow"/>
          <w:sz w:val="22"/>
          <w:szCs w:val="22"/>
          <w:lang w:val="es-419"/>
        </w:rPr>
        <w:t>Hay un matiz de Granovetter que quiero resaltar porque es fácil de pasar por alto y tiene consecuencias grandes: no basta con el número de pioneros, importa dónde están ubicados en la red. Dos poblaciones con exactamente la misma distribución de umbrales pueden tener destinos opuestos según cómo estén conectados sus pioneros. Si los pioneros están dispersos, cada uno rodeado de gente conservadora, sus adopciones aisladas no logran cruzar el umbral de nadie y la cascada nunca arranca: el sistema se queda en la fase plana para siempre. Pero si esos mismos pioneros están agrupados, concentrados en un vecindario, alcanzan masa crítica local y encienden la cascada que luego se propaga. El mismo combustible, la misma gente, y sin embargo en un caso hay incendio y en el otro no, solo por cómo están dispuestos. Esta sensibilidad a la ubicación es lo que hace que predecir despegues sea tan difícil, y lo que explica por qué tecnologías parecidas prenden en unas ciudades y fracasan en otras.</w:t>
      </w:r>
    </w:p>
    <w:p w14:paraId="2E272026" w14:textId="77777777" w:rsidR="004F095B" w:rsidRPr="004F095B" w:rsidRDefault="004F095B" w:rsidP="004F095B">
      <w:pPr>
        <w:pBdr>
          <w:left w:val="single" w:sz="18" w:space="12" w:color="9C6500"/>
        </w:pBdr>
        <w:spacing w:before="120"/>
        <w:rPr>
          <w:rFonts w:ascii="Aptos Narrow" w:hAnsi="Aptos Narrow"/>
          <w:sz w:val="22"/>
          <w:szCs w:val="22"/>
          <w:lang w:val="es-419"/>
        </w:rPr>
      </w:pPr>
      <w:r w:rsidRPr="004F095B">
        <w:rPr>
          <w:rFonts w:ascii="Aptos Narrow" w:hAnsi="Aptos Narrow"/>
          <w:b/>
          <w:bCs/>
          <w:color w:val="9C6500"/>
          <w:sz w:val="22"/>
          <w:szCs w:val="22"/>
          <w:lang w:val="es-419"/>
        </w:rPr>
        <w:t xml:space="preserve">[QUIZ EMBEBIDO] </w:t>
      </w:r>
      <w:r w:rsidRPr="004F095B">
        <w:rPr>
          <w:rFonts w:ascii="Aptos Narrow" w:hAnsi="Aptos Narrow"/>
          <w:i/>
          <w:iCs/>
          <w:color w:val="555555"/>
          <w:sz w:val="22"/>
          <w:szCs w:val="22"/>
          <w:lang w:val="es-419"/>
        </w:rPr>
        <w:t>Se da una pequeña población con umbrales de adopción conocidos y una configuración inicial de pioneros. El estudiante debe simular la cascada de adopción paso a paso y determinar si el sistema alcanza la masa crítica y se propaga a toda la población o si se estanca, explicando qué determina el resultado.</w:t>
      </w:r>
    </w:p>
    <w:p w14:paraId="2E091DEF" w14:textId="77777777" w:rsidR="004F095B" w:rsidRPr="004F095B" w:rsidRDefault="004F095B" w:rsidP="004F095B">
      <w:pPr>
        <w:spacing w:before="280" w:after="120"/>
        <w:rPr>
          <w:rFonts w:ascii="Aptos Narrow" w:hAnsi="Aptos Narrow"/>
          <w:sz w:val="22"/>
          <w:szCs w:val="22"/>
          <w:lang w:val="es-419"/>
        </w:rPr>
      </w:pPr>
      <w:r w:rsidRPr="004F095B">
        <w:rPr>
          <w:rFonts w:ascii="Aptos Narrow" w:hAnsi="Aptos Narrow"/>
          <w:b/>
          <w:bCs/>
          <w:color w:val="1F3864"/>
          <w:sz w:val="22"/>
          <w:szCs w:val="22"/>
          <w:lang w:val="es-419"/>
        </w:rPr>
        <w:t>Segmento 4 — El caso de Medellín y el cierre</w:t>
      </w:r>
    </w:p>
    <w:p w14:paraId="2ECE2248" w14:textId="77777777" w:rsidR="004F095B" w:rsidRPr="004F095B" w:rsidRDefault="004F095B" w:rsidP="004F095B">
      <w:pPr>
        <w:spacing w:line="300" w:lineRule="auto"/>
        <w:jc w:val="both"/>
        <w:rPr>
          <w:rFonts w:ascii="Aptos Narrow" w:hAnsi="Aptos Narrow"/>
          <w:sz w:val="22"/>
          <w:szCs w:val="22"/>
          <w:lang w:val="es-419"/>
        </w:rPr>
      </w:pPr>
      <w:r w:rsidRPr="004F095B">
        <w:rPr>
          <w:rFonts w:ascii="Aptos Narrow" w:hAnsi="Aptos Narrow"/>
          <w:sz w:val="22"/>
          <w:szCs w:val="22"/>
          <w:lang w:val="es-419"/>
        </w:rPr>
        <w:t>Bajemos esto al caso ancla, porque no es teoría abstracta: se ha estudiado en Colombia. Investigaciones sobre la difusión de sistemas fotovoltaicos en Medellín han modelado la adopción combinando justamente estos dos ingredientes, la interacción social entre potenciales adoptantes y el efecto de las políticas de apoyo, como los subsidios y los esquemas de remuneración a la energía inyectada [verificar el detalle y los hallazgos de Radomes &amp; Arango, 2015, antes de citarlos con precisión]. La conclusión que interesa para nuestro curso es que el resultado de una política de fomento no depende solo de cuánto dinero se pone, sino de cómo ese incentivo interactúa con la estructura social de difusión y con los umbrales de la gente.</w:t>
      </w:r>
    </w:p>
    <w:p w14:paraId="3505F06F" w14:textId="77777777" w:rsidR="004F095B" w:rsidRPr="004F095B" w:rsidRDefault="004F095B" w:rsidP="004F095B">
      <w:pPr>
        <w:spacing w:line="300" w:lineRule="auto"/>
        <w:jc w:val="both"/>
        <w:rPr>
          <w:rFonts w:ascii="Aptos Narrow" w:hAnsi="Aptos Narrow"/>
          <w:sz w:val="22"/>
          <w:szCs w:val="22"/>
          <w:lang w:val="es-419"/>
        </w:rPr>
      </w:pPr>
      <w:r w:rsidRPr="004F095B">
        <w:rPr>
          <w:rFonts w:ascii="Aptos Narrow" w:hAnsi="Aptos Narrow"/>
          <w:sz w:val="22"/>
          <w:szCs w:val="22"/>
          <w:lang w:val="es-419"/>
        </w:rPr>
        <w:t xml:space="preserve">Y esto responde directamente la pregunta que sembramos en la motivación y que llevarán al foro: ¿qué acelera más la adopción solar, un incentivo económico mayor o una intervención sobre la estructura social? Ahora tienen con qué pensarla con rigor. Un incentivo económico funciona bajando los umbrales de todos: hace que la gente necesite ver menos vecinos adoptando para animarse. Una intervención sobre la estructura social funciona </w:t>
      </w:r>
      <w:proofErr w:type="gramStart"/>
      <w:r w:rsidRPr="004F095B">
        <w:rPr>
          <w:rFonts w:ascii="Aptos Narrow" w:hAnsi="Aptos Narrow"/>
          <w:sz w:val="22"/>
          <w:szCs w:val="22"/>
          <w:lang w:val="es-419"/>
        </w:rPr>
        <w:t>distinto</w:t>
      </w:r>
      <w:proofErr w:type="gramEnd"/>
      <w:r w:rsidRPr="004F095B">
        <w:rPr>
          <w:rFonts w:ascii="Aptos Narrow" w:hAnsi="Aptos Narrow"/>
          <w:sz w:val="22"/>
          <w:szCs w:val="22"/>
          <w:lang w:val="es-419"/>
        </w:rPr>
        <w:t>: en vez de bajar umbrales, concentra a los primeros adoptantes en vecindarios densos para que alcancen masa crítica localmente y desde ahí la adopción se propague sola. No son estrategias equivalentes, y cuál conviene depende de la distribución de umbrales y de la forma de la red. Un buen diseño de política probablemente combine ambas, y saber por qué es exactamente lo que este análisis les permite argumentar.</w:t>
      </w:r>
    </w:p>
    <w:p w14:paraId="3FE5A8B8" w14:textId="77777777" w:rsidR="004F095B" w:rsidRPr="004F095B" w:rsidRDefault="004F095B" w:rsidP="004F095B">
      <w:pPr>
        <w:spacing w:line="300" w:lineRule="auto"/>
        <w:jc w:val="both"/>
        <w:rPr>
          <w:rFonts w:ascii="Aptos Narrow" w:hAnsi="Aptos Narrow"/>
          <w:sz w:val="22"/>
          <w:szCs w:val="22"/>
          <w:lang w:val="es-419"/>
        </w:rPr>
      </w:pPr>
      <w:r w:rsidRPr="004F095B">
        <w:rPr>
          <w:rFonts w:ascii="Aptos Narrow" w:hAnsi="Aptos Narrow"/>
          <w:sz w:val="22"/>
          <w:szCs w:val="22"/>
          <w:lang w:val="es-419"/>
        </w:rPr>
        <w:t xml:space="preserve">Hay incluso una lección sobre el momento en que conviene gastar el incentivo, que solo se ve con esta lente. Un subsidio aplicado durante la fase plana, cuando aún no hay masa crítica, puede ser dinero en gran parte </w:t>
      </w:r>
      <w:r w:rsidRPr="004F095B">
        <w:rPr>
          <w:rFonts w:ascii="Aptos Narrow" w:hAnsi="Aptos Narrow"/>
          <w:sz w:val="22"/>
          <w:szCs w:val="22"/>
          <w:lang w:val="es-419"/>
        </w:rPr>
        <w:lastRenderedPageBreak/>
        <w:t>desperdiciado: baja los umbrales, sí, pero si no logra encender la cascada, la adopción vuelve a estancarse en cuanto se retira el apoyo. En cambio, un subsidio bien dirigido para empujar al sistema justo por encima de su masa crítica puede desencadenar una cascada que después se sostiene sola, sin necesidad de seguir pagando. Es el mismo dinero con resultados radicalmente distintos según cuándo y dónde se aplica. Esta es, dicho sea de paso, la conexión con los puntos de intervención sensibles y los tipping points que vimos en la primera semana: en un sistema con umbrales, existen momentos y lugares donde un empujón pequeño produce un cambio enorme y duradero, y el arte de la política es encontrarlos.</w:t>
      </w:r>
    </w:p>
    <w:p w14:paraId="68865EE0" w14:textId="77777777" w:rsidR="004F095B" w:rsidRPr="004F095B" w:rsidRDefault="004F095B" w:rsidP="004F095B">
      <w:pPr>
        <w:spacing w:line="300" w:lineRule="auto"/>
        <w:jc w:val="both"/>
        <w:rPr>
          <w:rFonts w:ascii="Aptos Narrow" w:hAnsi="Aptos Narrow"/>
          <w:sz w:val="22"/>
          <w:szCs w:val="22"/>
          <w:lang w:val="es-419"/>
        </w:rPr>
      </w:pPr>
      <w:r w:rsidRPr="004F095B">
        <w:rPr>
          <w:rFonts w:ascii="Aptos Narrow" w:hAnsi="Aptos Narrow"/>
          <w:sz w:val="22"/>
          <w:szCs w:val="22"/>
          <w:lang w:val="es-419"/>
        </w:rPr>
        <w:t>Recapitulemos. Hoy formalizamos por qué las decisiones costosas se propagan distinto: necesitan contagio complejo, es decir, refuerzo de múltiples vecinos, y por eso prosperan en vecindarios densos y no en atajos lejanos. Vimos los modelos de umbral de Granovetter, donde cada persona adopta al cruzar cierto número de vecinos adoptantes, y cómo de ahí emerge la cascada que produce el despegue súbito al alcanzar la masa crítica. Y conectamos todo con el caso de Medellín y con la pregunta de política de la semana. En la próxima lección cambiamos de escenario: pasamos de las redes de personas que adoptan tecnología a las redes de actores del mercado eléctrico, los generadores, comercializadores y reguladores, y veremos el mercado mayorista colombiano como un grafo. Nos vemos en la lección 3.3.</w:t>
      </w:r>
    </w:p>
    <w:p w14:paraId="05F2B4E2" w14:textId="77777777" w:rsidR="004F095B" w:rsidRPr="004F095B" w:rsidRDefault="004F095B" w:rsidP="004F095B">
      <w:pPr>
        <w:pBdr>
          <w:top w:val="single" w:sz="6" w:space="6" w:color="CCCCCC"/>
        </w:pBdr>
        <w:spacing w:before="280" w:after="120"/>
        <w:rPr>
          <w:rFonts w:ascii="Aptos Narrow" w:hAnsi="Aptos Narrow"/>
          <w:sz w:val="22"/>
          <w:szCs w:val="22"/>
          <w:lang w:val="es-419"/>
        </w:rPr>
      </w:pPr>
      <w:r w:rsidRPr="004F095B">
        <w:rPr>
          <w:rFonts w:ascii="Aptos Narrow" w:hAnsi="Aptos Narrow"/>
          <w:b/>
          <w:bCs/>
          <w:color w:val="9C6500"/>
          <w:sz w:val="22"/>
          <w:szCs w:val="22"/>
          <w:lang w:val="es-419"/>
        </w:rPr>
        <w:t>Notas de contenido</w:t>
      </w:r>
    </w:p>
    <w:p w14:paraId="4B11FF18" w14:textId="77777777" w:rsidR="004F095B" w:rsidRPr="004F095B" w:rsidRDefault="004F095B" w:rsidP="004F095B">
      <w:pPr>
        <w:spacing w:after="120"/>
        <w:rPr>
          <w:rFonts w:ascii="Aptos Narrow" w:hAnsi="Aptos Narrow"/>
          <w:sz w:val="22"/>
          <w:szCs w:val="22"/>
        </w:rPr>
      </w:pPr>
      <w:r w:rsidRPr="004F095B">
        <w:rPr>
          <w:rFonts w:ascii="Aptos Narrow" w:hAnsi="Aptos Narrow"/>
          <w:i/>
          <w:iCs/>
          <w:color w:val="555555"/>
          <w:sz w:val="22"/>
          <w:szCs w:val="22"/>
          <w:lang w:val="es-419"/>
        </w:rPr>
        <w:t xml:space="preserve">Contagio complejo apoyado en Centola &amp; Macy (2007) y umbrales en Granovetter (1978), fuentes curadas de la semana. El caso Medellín (Radomes &amp; Arango, 2015) se refiere de forma cualitativa; verificar los hallazgos específicos (variables del modelo, efecto de subsidio vs. FiT) antes de citarlos con precisión. La pregunta de política (incentivo vs. estructura social) está alineada con el foro de la semana. </w:t>
      </w:r>
      <w:r w:rsidRPr="004F095B">
        <w:rPr>
          <w:rFonts w:ascii="Aptos Narrow" w:hAnsi="Aptos Narrow"/>
          <w:i/>
          <w:iCs/>
          <w:color w:val="555555"/>
          <w:sz w:val="22"/>
          <w:szCs w:val="22"/>
        </w:rPr>
        <w:t xml:space="preserve">Sin </w:t>
      </w:r>
      <w:proofErr w:type="spellStart"/>
      <w:r w:rsidRPr="004F095B">
        <w:rPr>
          <w:rFonts w:ascii="Aptos Narrow" w:hAnsi="Aptos Narrow"/>
          <w:i/>
          <w:iCs/>
          <w:color w:val="555555"/>
          <w:sz w:val="22"/>
          <w:szCs w:val="22"/>
        </w:rPr>
        <w:t>cifras</w:t>
      </w:r>
      <w:proofErr w:type="spellEnd"/>
      <w:r w:rsidRPr="004F095B">
        <w:rPr>
          <w:rFonts w:ascii="Aptos Narrow" w:hAnsi="Aptos Narrow"/>
          <w:i/>
          <w:iCs/>
          <w:color w:val="555555"/>
          <w:sz w:val="22"/>
          <w:szCs w:val="22"/>
        </w:rPr>
        <w:t xml:space="preserve"> </w:t>
      </w:r>
      <w:proofErr w:type="spellStart"/>
      <w:r w:rsidRPr="004F095B">
        <w:rPr>
          <w:rFonts w:ascii="Aptos Narrow" w:hAnsi="Aptos Narrow"/>
          <w:i/>
          <w:iCs/>
          <w:color w:val="555555"/>
          <w:sz w:val="22"/>
          <w:szCs w:val="22"/>
        </w:rPr>
        <w:t>afirmadas</w:t>
      </w:r>
      <w:proofErr w:type="spellEnd"/>
      <w:r w:rsidRPr="004F095B">
        <w:rPr>
          <w:rFonts w:ascii="Aptos Narrow" w:hAnsi="Aptos Narrow"/>
          <w:i/>
          <w:iCs/>
          <w:color w:val="555555"/>
          <w:sz w:val="22"/>
          <w:szCs w:val="22"/>
        </w:rPr>
        <w:t>.</w:t>
      </w:r>
    </w:p>
    <w:p w14:paraId="1BEBB449" w14:textId="39A8962F" w:rsidR="00A2411E" w:rsidRPr="008727A4" w:rsidRDefault="00A2411E" w:rsidP="00154C3B">
      <w:pPr>
        <w:spacing w:before="280" w:after="120"/>
        <w:rPr>
          <w:rFonts w:ascii="Aptos Narrow" w:hAnsi="Aptos Narrow"/>
          <w:sz w:val="22"/>
          <w:szCs w:val="22"/>
          <w:lang w:val="es-419"/>
        </w:rPr>
      </w:pPr>
    </w:p>
    <w:sectPr w:rsidR="00A2411E" w:rsidRPr="008727A4">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9D65AD" w14:textId="77777777" w:rsidR="00B8153B" w:rsidRDefault="00B8153B" w:rsidP="00DC6E4E">
      <w:pPr>
        <w:spacing w:after="0" w:line="240" w:lineRule="auto"/>
      </w:pPr>
      <w:r>
        <w:separator/>
      </w:r>
    </w:p>
  </w:endnote>
  <w:endnote w:type="continuationSeparator" w:id="0">
    <w:p w14:paraId="39A4F339" w14:textId="77777777" w:rsidR="00B8153B" w:rsidRDefault="00B8153B" w:rsidP="00DC6E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Narrow">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F9A91B" w14:textId="77777777" w:rsidR="00B8153B" w:rsidRDefault="00B8153B" w:rsidP="00DC6E4E">
      <w:pPr>
        <w:spacing w:after="0" w:line="240" w:lineRule="auto"/>
      </w:pPr>
      <w:r>
        <w:separator/>
      </w:r>
    </w:p>
  </w:footnote>
  <w:footnote w:type="continuationSeparator" w:id="0">
    <w:p w14:paraId="3C90654F" w14:textId="77777777" w:rsidR="00B8153B" w:rsidRDefault="00B8153B" w:rsidP="00DC6E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6CFC3" w14:textId="18A0ADB1" w:rsidR="00DC6E4E" w:rsidRDefault="002338A3">
    <w:pPr>
      <w:pStyle w:val="Header"/>
    </w:pPr>
    <w:r w:rsidRPr="00BB53F1">
      <w:rPr>
        <w:noProof/>
      </w:rPr>
      <w:drawing>
        <wp:anchor distT="0" distB="0" distL="114300" distR="114300" simplePos="0" relativeHeight="251659264" behindDoc="0" locked="0" layoutInCell="1" allowOverlap="1" wp14:anchorId="1BA7A728" wp14:editId="5B337B58">
          <wp:simplePos x="0" y="0"/>
          <wp:positionH relativeFrom="column">
            <wp:posOffset>3090545</wp:posOffset>
          </wp:positionH>
          <wp:positionV relativeFrom="paragraph">
            <wp:posOffset>-184785</wp:posOffset>
          </wp:positionV>
          <wp:extent cx="3216275" cy="424180"/>
          <wp:effectExtent l="0" t="0" r="3175" b="0"/>
          <wp:wrapSquare wrapText="bothSides"/>
          <wp:docPr id="2102315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48248" name=""/>
                  <pic:cNvPicPr/>
                </pic:nvPicPr>
                <pic:blipFill>
                  <a:blip r:embed="rId1">
                    <a:extLst>
                      <a:ext uri="{28A0092B-C50C-407E-A947-70E740481C1C}">
                        <a14:useLocalDpi xmlns:a14="http://schemas.microsoft.com/office/drawing/2010/main" val="0"/>
                      </a:ext>
                    </a:extLst>
                  </a:blip>
                  <a:stretch>
                    <a:fillRect/>
                  </a:stretch>
                </pic:blipFill>
                <pic:spPr>
                  <a:xfrm>
                    <a:off x="0" y="0"/>
                    <a:ext cx="3216275" cy="424180"/>
                  </a:xfrm>
                  <a:prstGeom prst="rect">
                    <a:avLst/>
                  </a:prstGeom>
                </pic:spPr>
              </pic:pic>
            </a:graphicData>
          </a:graphic>
          <wp14:sizeRelH relativeFrom="page">
            <wp14:pctWidth>0</wp14:pctWidth>
          </wp14:sizeRelH>
          <wp14:sizeRelV relativeFrom="page">
            <wp14:pctHeight>0</wp14:pctHeight>
          </wp14:sizeRelV>
        </wp:anchor>
      </w:drawing>
    </w:r>
    <w:r w:rsidR="00BB53F1">
      <w:rPr>
        <w:noProof/>
      </w:rPr>
      <w:drawing>
        <wp:anchor distT="0" distB="0" distL="114300" distR="114300" simplePos="0" relativeHeight="251658240" behindDoc="0" locked="0" layoutInCell="1" allowOverlap="1" wp14:anchorId="6AE28791" wp14:editId="24795A35">
          <wp:simplePos x="0" y="0"/>
          <wp:positionH relativeFrom="page">
            <wp:posOffset>468085</wp:posOffset>
          </wp:positionH>
          <wp:positionV relativeFrom="paragraph">
            <wp:posOffset>-272687</wp:posOffset>
          </wp:positionV>
          <wp:extent cx="2743200" cy="524510"/>
          <wp:effectExtent l="0" t="0" r="0" b="8890"/>
          <wp:wrapSquare wrapText="bothSides"/>
          <wp:docPr id="1549267893" name="Picture 1" descr="Principios de ingeniería de software automatizada y ágil Programa de  Certificado MasterTrack® | Cours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incipios de ingeniería de software automatizada y ágil Programa de  Certificado MasterTrack® | Coursera"/>
                  <pic:cNvPicPr>
                    <a:picLocks noChangeAspect="1" noChangeArrowheads="1"/>
                  </pic:cNvPicPr>
                </pic:nvPicPr>
                <pic:blipFill rotWithShape="1">
                  <a:blip r:embed="rId2">
                    <a:extLst>
                      <a:ext uri="{28A0092B-C50C-407E-A947-70E740481C1C}">
                        <a14:useLocalDpi xmlns:a14="http://schemas.microsoft.com/office/drawing/2010/main" val="0"/>
                      </a:ext>
                    </a:extLst>
                  </a:blip>
                  <a:srcRect t="8961" b="25845"/>
                  <a:stretch>
                    <a:fillRect/>
                  </a:stretch>
                </pic:blipFill>
                <pic:spPr bwMode="auto">
                  <a:xfrm>
                    <a:off x="0" y="0"/>
                    <a:ext cx="2743200" cy="5245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97F41"/>
    <w:multiLevelType w:val="multilevel"/>
    <w:tmpl w:val="630E9B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380001"/>
    <w:multiLevelType w:val="hybridMultilevel"/>
    <w:tmpl w:val="87CC2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21A442A"/>
    <w:multiLevelType w:val="multilevel"/>
    <w:tmpl w:val="60E48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882375"/>
    <w:multiLevelType w:val="hybridMultilevel"/>
    <w:tmpl w:val="CC600006"/>
    <w:lvl w:ilvl="0" w:tplc="1F020A24">
      <w:start w:val="1"/>
      <w:numFmt w:val="bullet"/>
      <w:lvlText w:val="●"/>
      <w:lvlJc w:val="left"/>
      <w:pPr>
        <w:ind w:left="720" w:hanging="360"/>
      </w:pPr>
    </w:lvl>
    <w:lvl w:ilvl="1" w:tplc="6994B436">
      <w:start w:val="1"/>
      <w:numFmt w:val="bullet"/>
      <w:lvlText w:val="○"/>
      <w:lvlJc w:val="left"/>
      <w:pPr>
        <w:ind w:left="1440" w:hanging="360"/>
      </w:pPr>
    </w:lvl>
    <w:lvl w:ilvl="2" w:tplc="F45E74E4">
      <w:start w:val="1"/>
      <w:numFmt w:val="bullet"/>
      <w:lvlText w:val="■"/>
      <w:lvlJc w:val="left"/>
      <w:pPr>
        <w:ind w:left="2160" w:hanging="360"/>
      </w:pPr>
    </w:lvl>
    <w:lvl w:ilvl="3" w:tplc="A96AC7F4">
      <w:start w:val="1"/>
      <w:numFmt w:val="bullet"/>
      <w:lvlText w:val="●"/>
      <w:lvlJc w:val="left"/>
      <w:pPr>
        <w:ind w:left="2880" w:hanging="360"/>
      </w:pPr>
    </w:lvl>
    <w:lvl w:ilvl="4" w:tplc="880E0448">
      <w:start w:val="1"/>
      <w:numFmt w:val="bullet"/>
      <w:lvlText w:val="○"/>
      <w:lvlJc w:val="left"/>
      <w:pPr>
        <w:ind w:left="3600" w:hanging="360"/>
      </w:pPr>
    </w:lvl>
    <w:lvl w:ilvl="5" w:tplc="80301564">
      <w:start w:val="1"/>
      <w:numFmt w:val="bullet"/>
      <w:lvlText w:val="■"/>
      <w:lvlJc w:val="left"/>
      <w:pPr>
        <w:ind w:left="4320" w:hanging="360"/>
      </w:pPr>
    </w:lvl>
    <w:lvl w:ilvl="6" w:tplc="F8C069E6">
      <w:start w:val="1"/>
      <w:numFmt w:val="bullet"/>
      <w:lvlText w:val="●"/>
      <w:lvlJc w:val="left"/>
      <w:pPr>
        <w:ind w:left="5040" w:hanging="360"/>
      </w:pPr>
    </w:lvl>
    <w:lvl w:ilvl="7" w:tplc="F6E68CF2">
      <w:start w:val="1"/>
      <w:numFmt w:val="bullet"/>
      <w:lvlText w:val="●"/>
      <w:lvlJc w:val="left"/>
      <w:pPr>
        <w:ind w:left="5760" w:hanging="360"/>
      </w:pPr>
    </w:lvl>
    <w:lvl w:ilvl="8" w:tplc="BAACD994">
      <w:start w:val="1"/>
      <w:numFmt w:val="bullet"/>
      <w:lvlText w:val="●"/>
      <w:lvlJc w:val="left"/>
      <w:pPr>
        <w:ind w:left="6480" w:hanging="360"/>
      </w:pPr>
    </w:lvl>
  </w:abstractNum>
  <w:abstractNum w:abstractNumId="4" w15:restartNumberingAfterBreak="0">
    <w:nsid w:val="78076D51"/>
    <w:multiLevelType w:val="multilevel"/>
    <w:tmpl w:val="066E2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5998017">
    <w:abstractNumId w:val="0"/>
  </w:num>
  <w:num w:numId="2" w16cid:durableId="1987319963">
    <w:abstractNumId w:val="4"/>
  </w:num>
  <w:num w:numId="3" w16cid:durableId="1543667111">
    <w:abstractNumId w:val="2"/>
  </w:num>
  <w:num w:numId="4" w16cid:durableId="2120904733">
    <w:abstractNumId w:val="3"/>
    <w:lvlOverride w:ilvl="0">
      <w:startOverride w:val="1"/>
    </w:lvlOverride>
  </w:num>
  <w:num w:numId="5" w16cid:durableId="12829598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43DFBEE"/>
    <w:rsid w:val="00004C53"/>
    <w:rsid w:val="00020D8C"/>
    <w:rsid w:val="00063BF6"/>
    <w:rsid w:val="0007105B"/>
    <w:rsid w:val="00080A5D"/>
    <w:rsid w:val="000B724C"/>
    <w:rsid w:val="000D061B"/>
    <w:rsid w:val="00154C3B"/>
    <w:rsid w:val="00180B42"/>
    <w:rsid w:val="001928AB"/>
    <w:rsid w:val="00196827"/>
    <w:rsid w:val="001D4C6D"/>
    <w:rsid w:val="001F0BA5"/>
    <w:rsid w:val="00214F5F"/>
    <w:rsid w:val="002338A3"/>
    <w:rsid w:val="00246D8F"/>
    <w:rsid w:val="002B0F3E"/>
    <w:rsid w:val="002B2F6D"/>
    <w:rsid w:val="002B54E7"/>
    <w:rsid w:val="002C1903"/>
    <w:rsid w:val="002D2D04"/>
    <w:rsid w:val="002D3CE9"/>
    <w:rsid w:val="002F6840"/>
    <w:rsid w:val="003C4859"/>
    <w:rsid w:val="003E57AD"/>
    <w:rsid w:val="004060D2"/>
    <w:rsid w:val="00416939"/>
    <w:rsid w:val="00425546"/>
    <w:rsid w:val="00442043"/>
    <w:rsid w:val="0045781F"/>
    <w:rsid w:val="004A2836"/>
    <w:rsid w:val="004D07B2"/>
    <w:rsid w:val="004F095B"/>
    <w:rsid w:val="005067ED"/>
    <w:rsid w:val="00536AD9"/>
    <w:rsid w:val="00551E91"/>
    <w:rsid w:val="00566DB3"/>
    <w:rsid w:val="0058732A"/>
    <w:rsid w:val="005950CD"/>
    <w:rsid w:val="005A1594"/>
    <w:rsid w:val="005A3081"/>
    <w:rsid w:val="005C61BF"/>
    <w:rsid w:val="005C6777"/>
    <w:rsid w:val="005D5078"/>
    <w:rsid w:val="005F08BA"/>
    <w:rsid w:val="006006AF"/>
    <w:rsid w:val="00636DF5"/>
    <w:rsid w:val="0065441E"/>
    <w:rsid w:val="00684053"/>
    <w:rsid w:val="006A2647"/>
    <w:rsid w:val="006A403D"/>
    <w:rsid w:val="006B3AAC"/>
    <w:rsid w:val="006E4137"/>
    <w:rsid w:val="00723ADE"/>
    <w:rsid w:val="00724EB6"/>
    <w:rsid w:val="0073061D"/>
    <w:rsid w:val="007722A8"/>
    <w:rsid w:val="00774065"/>
    <w:rsid w:val="007D3681"/>
    <w:rsid w:val="007D5182"/>
    <w:rsid w:val="007E46B6"/>
    <w:rsid w:val="00812C9A"/>
    <w:rsid w:val="0082442A"/>
    <w:rsid w:val="00824BC0"/>
    <w:rsid w:val="008426B7"/>
    <w:rsid w:val="00845267"/>
    <w:rsid w:val="00852C5C"/>
    <w:rsid w:val="008641BD"/>
    <w:rsid w:val="008727A4"/>
    <w:rsid w:val="00884E06"/>
    <w:rsid w:val="00893453"/>
    <w:rsid w:val="008E2E48"/>
    <w:rsid w:val="00913FC8"/>
    <w:rsid w:val="009222D0"/>
    <w:rsid w:val="00940915"/>
    <w:rsid w:val="0094593B"/>
    <w:rsid w:val="00946A01"/>
    <w:rsid w:val="009572D0"/>
    <w:rsid w:val="00961FA9"/>
    <w:rsid w:val="009668D6"/>
    <w:rsid w:val="009B6C32"/>
    <w:rsid w:val="00A2411E"/>
    <w:rsid w:val="00A55028"/>
    <w:rsid w:val="00A56545"/>
    <w:rsid w:val="00A64527"/>
    <w:rsid w:val="00A67E34"/>
    <w:rsid w:val="00A74D29"/>
    <w:rsid w:val="00A96C6A"/>
    <w:rsid w:val="00AA62F3"/>
    <w:rsid w:val="00AB3AE4"/>
    <w:rsid w:val="00AB7F9E"/>
    <w:rsid w:val="00AC64E3"/>
    <w:rsid w:val="00B17459"/>
    <w:rsid w:val="00B77AC9"/>
    <w:rsid w:val="00B8153B"/>
    <w:rsid w:val="00B9318B"/>
    <w:rsid w:val="00BB53F1"/>
    <w:rsid w:val="00BC56C4"/>
    <w:rsid w:val="00BE20D6"/>
    <w:rsid w:val="00BF33B7"/>
    <w:rsid w:val="00C013DA"/>
    <w:rsid w:val="00C04428"/>
    <w:rsid w:val="00C04E34"/>
    <w:rsid w:val="00C2173C"/>
    <w:rsid w:val="00C25715"/>
    <w:rsid w:val="00C25FFB"/>
    <w:rsid w:val="00C74969"/>
    <w:rsid w:val="00CA7B83"/>
    <w:rsid w:val="00CC1613"/>
    <w:rsid w:val="00CE7758"/>
    <w:rsid w:val="00CF7577"/>
    <w:rsid w:val="00CF7A5D"/>
    <w:rsid w:val="00D13B8D"/>
    <w:rsid w:val="00D45F58"/>
    <w:rsid w:val="00D64E13"/>
    <w:rsid w:val="00D752A9"/>
    <w:rsid w:val="00DC52DD"/>
    <w:rsid w:val="00DC6E4E"/>
    <w:rsid w:val="00DD0613"/>
    <w:rsid w:val="00DF7938"/>
    <w:rsid w:val="00E16CAD"/>
    <w:rsid w:val="00E20D7E"/>
    <w:rsid w:val="00E27FCE"/>
    <w:rsid w:val="00E315C7"/>
    <w:rsid w:val="00E325F2"/>
    <w:rsid w:val="00E42EE7"/>
    <w:rsid w:val="00E456F7"/>
    <w:rsid w:val="00E54F8F"/>
    <w:rsid w:val="00EA748F"/>
    <w:rsid w:val="00EB7720"/>
    <w:rsid w:val="00ED1361"/>
    <w:rsid w:val="00F07D53"/>
    <w:rsid w:val="00F2295E"/>
    <w:rsid w:val="00F35346"/>
    <w:rsid w:val="00F86456"/>
    <w:rsid w:val="00F87ED4"/>
    <w:rsid w:val="00FB5012"/>
    <w:rsid w:val="00FD13F6"/>
    <w:rsid w:val="00FD1ACF"/>
    <w:rsid w:val="00FE554A"/>
    <w:rsid w:val="00FF4464"/>
    <w:rsid w:val="00FF683A"/>
    <w:rsid w:val="2AA860A7"/>
    <w:rsid w:val="36E2781D"/>
    <w:rsid w:val="407DCF26"/>
    <w:rsid w:val="5014D130"/>
    <w:rsid w:val="592C80BC"/>
    <w:rsid w:val="743DFB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182F03"/>
  <w15:chartTrackingRefBased/>
  <w15:docId w15:val="{2F30885E-0CF2-4EBA-81A8-B63E628AB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46B6"/>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link w:val="Heading2Char"/>
    <w:uiPriority w:val="9"/>
    <w:unhideWhenUsed/>
    <w:qFormat/>
    <w:rsid w:val="00080A5D"/>
    <w:pPr>
      <w:spacing w:before="240" w:after="120" w:line="240" w:lineRule="auto"/>
      <w:outlineLvl w:val="1"/>
    </w:pPr>
    <w:rPr>
      <w:rFonts w:ascii="Calibri" w:eastAsia="Calibri" w:hAnsi="Calibri" w:cs="Calibri"/>
      <w:b/>
      <w:bCs/>
      <w:color w:val="065A82"/>
      <w:sz w:val="26"/>
      <w:szCs w:val="26"/>
      <w:lang w:val="es-CO" w:eastAsia="es-MX"/>
    </w:rPr>
  </w:style>
  <w:style w:type="paragraph" w:styleId="Heading4">
    <w:name w:val="heading 4"/>
    <w:basedOn w:val="Normal"/>
    <w:next w:val="Normal"/>
    <w:link w:val="Heading4Char"/>
    <w:uiPriority w:val="9"/>
    <w:semiHidden/>
    <w:unhideWhenUsed/>
    <w:qFormat/>
    <w:rsid w:val="00D752A9"/>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C6E4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6E4E"/>
  </w:style>
  <w:style w:type="paragraph" w:styleId="Footer">
    <w:name w:val="footer"/>
    <w:basedOn w:val="Normal"/>
    <w:link w:val="FooterChar"/>
    <w:uiPriority w:val="99"/>
    <w:unhideWhenUsed/>
    <w:rsid w:val="00DC6E4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6E4E"/>
  </w:style>
  <w:style w:type="character" w:customStyle="1" w:styleId="Heading2Char">
    <w:name w:val="Heading 2 Char"/>
    <w:basedOn w:val="DefaultParagraphFont"/>
    <w:link w:val="Heading2"/>
    <w:uiPriority w:val="9"/>
    <w:rsid w:val="00080A5D"/>
    <w:rPr>
      <w:rFonts w:ascii="Calibri" w:eastAsia="Calibri" w:hAnsi="Calibri" w:cs="Calibri"/>
      <w:b/>
      <w:bCs/>
      <w:color w:val="065A82"/>
      <w:sz w:val="26"/>
      <w:szCs w:val="26"/>
      <w:lang w:val="es-CO" w:eastAsia="es-MX"/>
    </w:rPr>
  </w:style>
  <w:style w:type="character" w:customStyle="1" w:styleId="Heading1Char">
    <w:name w:val="Heading 1 Char"/>
    <w:basedOn w:val="DefaultParagraphFont"/>
    <w:link w:val="Heading1"/>
    <w:uiPriority w:val="9"/>
    <w:rsid w:val="007E46B6"/>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D752A9"/>
    <w:rPr>
      <w:rFonts w:asciiTheme="majorHAnsi" w:eastAsiaTheme="majorEastAsia" w:hAnsiTheme="majorHAnsi" w:cstheme="majorBidi"/>
      <w:i/>
      <w:iCs/>
      <w:color w:val="0F4761" w:themeColor="accent1" w:themeShade="BF"/>
    </w:rPr>
  </w:style>
  <w:style w:type="paragraph" w:styleId="ListParagraph">
    <w:name w:val="List Paragraph"/>
    <w:basedOn w:val="Normal"/>
    <w:qFormat/>
    <w:rsid w:val="0082442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912C11EBEBE7EB4F8E23E569C5262721" ma:contentTypeVersion="15" ma:contentTypeDescription="Crear nuevo documento." ma:contentTypeScope="" ma:versionID="5d2652a6a980de6c5a2891c72786eb8c">
  <xsd:schema xmlns:xsd="http://www.w3.org/2001/XMLSchema" xmlns:xs="http://www.w3.org/2001/XMLSchema" xmlns:p="http://schemas.microsoft.com/office/2006/metadata/properties" xmlns:ns3="25995af9-03e9-4980-a6bd-fc670e406370" xmlns:ns4="57827d45-79cf-4d77-bc17-c67775198c5e" targetNamespace="http://schemas.microsoft.com/office/2006/metadata/properties" ma:root="true" ma:fieldsID="e7a5a42a3962145854695b4dea9e8343" ns3:_="" ns4:_="">
    <xsd:import namespace="25995af9-03e9-4980-a6bd-fc670e406370"/>
    <xsd:import namespace="57827d45-79cf-4d77-bc17-c67775198c5e"/>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_activity" minOccurs="0"/>
                <xsd:element ref="ns3:MediaServiceObjectDetectorVersions" minOccurs="0"/>
                <xsd:element ref="ns3:MediaServiceSystemTags"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SearchPropertie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995af9-03e9-4980-a6bd-fc670e4063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7827d45-79cf-4d77-bc17-c67775198c5e"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SharingHintHash" ma:index="12"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25995af9-03e9-4980-a6bd-fc670e406370" xsi:nil="true"/>
  </documentManagement>
</p:properties>
</file>

<file path=customXml/itemProps1.xml><?xml version="1.0" encoding="utf-8"?>
<ds:datastoreItem xmlns:ds="http://schemas.openxmlformats.org/officeDocument/2006/customXml" ds:itemID="{2A4B1C61-87EC-494D-9570-84F1C743667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5995af9-03e9-4980-a6bd-fc670e406370"/>
    <ds:schemaRef ds:uri="57827d45-79cf-4d77-bc17-c67775198c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D08FF85-70EB-47A7-A109-1E6C547CE6B2}">
  <ds:schemaRefs>
    <ds:schemaRef ds:uri="http://schemas.microsoft.com/sharepoint/v3/contenttype/forms"/>
  </ds:schemaRefs>
</ds:datastoreItem>
</file>

<file path=customXml/itemProps3.xml><?xml version="1.0" encoding="utf-8"?>
<ds:datastoreItem xmlns:ds="http://schemas.openxmlformats.org/officeDocument/2006/customXml" ds:itemID="{967E97E8-CED3-4238-9FEC-7A1AC3A9F43D}">
  <ds:schemaRefs>
    <ds:schemaRef ds:uri="http://schemas.microsoft.com/office/2006/metadata/properties"/>
    <ds:schemaRef ds:uri="http://schemas.microsoft.com/office/infopath/2007/PartnerControls"/>
    <ds:schemaRef ds:uri="25995af9-03e9-4980-a6bd-fc670e406370"/>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Pages>
  <Words>2029</Words>
  <Characters>11571</Characters>
  <Application>Microsoft Office Word</Application>
  <DocSecurity>0</DocSecurity>
  <Lines>96</Lines>
  <Paragraphs>27</Paragraphs>
  <ScaleCrop>false</ScaleCrop>
  <Company/>
  <LinksUpToDate>false</LinksUpToDate>
  <CharactersWithSpaces>13573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Benavides Santacruz</dc:creator>
  <cp:keywords/>
  <dc:description/>
  <cp:lastModifiedBy>Daniel Benavides</cp:lastModifiedBy>
  <cp:revision>7</cp:revision>
  <cp:lastPrinted>2026-05-29T16:52:00Z</cp:lastPrinted>
  <dcterms:created xsi:type="dcterms:W3CDTF">2026-07-11T01:35:00Z</dcterms:created>
  <dcterms:modified xsi:type="dcterms:W3CDTF">2026-07-11T01:40:00Z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0x010100912C11EBEBE7EB4F8E23E569C5262721</vt:lpwstr>
  </property>
</Properties>
</file>