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48E8B5E1" w14:textId="77777777" w:rsidR="00CE7758" w:rsidRPr="00503A28" w:rsidRDefault="00CE7758" w:rsidP="00CE7758">
      <w:pPr>
        <w:pStyle w:val="Heading2"/>
        <w:rPr>
          <w:rFonts w:ascii="Aptos Narrow" w:hAnsi="Aptos Narrow"/>
          <w:sz w:val="22"/>
          <w:szCs w:val="22"/>
        </w:rPr>
      </w:pPr>
      <w:bookmarkStart w:id="1" w:name="_Toc228135350"/>
      <w:r w:rsidRPr="00503A28">
        <w:rPr>
          <w:rFonts w:ascii="Aptos Narrow" w:hAnsi="Aptos Narrow"/>
          <w:sz w:val="22"/>
          <w:szCs w:val="22"/>
        </w:rPr>
        <w:t>SEMANA 3: Redes II — Dinámica sobre Redes y Redes de Actores</w:t>
      </w:r>
      <w:bookmarkEnd w:id="1"/>
    </w:p>
    <w:p w14:paraId="22965128" w14:textId="77777777" w:rsidR="00CE7758" w:rsidRPr="00503A28" w:rsidRDefault="00CE7758" w:rsidP="00CE7758">
      <w:pPr>
        <w:spacing w:after="80"/>
        <w:rPr>
          <w:rFonts w:ascii="Aptos Narrow" w:hAnsi="Aptos Narrow"/>
          <w:sz w:val="22"/>
          <w:szCs w:val="22"/>
          <w:lang w:val="es-419"/>
        </w:rPr>
      </w:pPr>
      <w:r w:rsidRPr="00503A28">
        <w:rPr>
          <w:rFonts w:ascii="Aptos Narrow" w:hAnsi="Aptos Narrow"/>
          <w:i/>
          <w:iCs/>
          <w:color w:val="B85042"/>
          <w:sz w:val="22"/>
          <w:szCs w:val="22"/>
          <w:lang w:val="es-419"/>
        </w:rPr>
        <w:t>Caso ancla: Adopción de energía solar distribuida en Bogotá / Medellín</w:t>
      </w:r>
    </w:p>
    <w:p w14:paraId="7BB42BE4" w14:textId="77777777" w:rsidR="00CE7758" w:rsidRPr="00503A28" w:rsidRDefault="00CE7758" w:rsidP="00CE7758">
      <w:pPr>
        <w:pBdr>
          <w:bottom w:val="single" w:sz="8" w:space="6" w:color="1E2761"/>
        </w:pBdr>
        <w:spacing w:after="120"/>
        <w:rPr>
          <w:rFonts w:ascii="Aptos Narrow" w:hAnsi="Aptos Narrow"/>
          <w:sz w:val="22"/>
          <w:szCs w:val="22"/>
          <w:lang w:val="es-419"/>
        </w:rPr>
      </w:pPr>
      <w:r w:rsidRPr="00503A28">
        <w:rPr>
          <w:rFonts w:ascii="Aptos Narrow" w:hAnsi="Aptos Narrow"/>
          <w:b/>
          <w:bCs/>
          <w:color w:val="1E2761"/>
          <w:sz w:val="22"/>
          <w:szCs w:val="22"/>
          <w:lang w:val="es-419"/>
        </w:rPr>
        <w:t xml:space="preserve">Resultados de Aprendizaje verificados: </w:t>
      </w:r>
      <w:r w:rsidRPr="00503A28">
        <w:rPr>
          <w:rFonts w:ascii="Aptos Narrow" w:hAnsi="Aptos Narrow"/>
          <w:sz w:val="22"/>
          <w:szCs w:val="22"/>
          <w:lang w:val="es-419"/>
        </w:rPr>
        <w:t xml:space="preserve">RAC 2 (alto) · RAC 1, 4 (medio) · </w:t>
      </w:r>
      <w:proofErr w:type="spellStart"/>
      <w:r w:rsidRPr="00503A28">
        <w:rPr>
          <w:rFonts w:ascii="Aptos Narrow" w:hAnsi="Aptos Narrow"/>
          <w:sz w:val="22"/>
          <w:szCs w:val="22"/>
          <w:lang w:val="es-419"/>
        </w:rPr>
        <w:t>Checkpoint</w:t>
      </w:r>
      <w:proofErr w:type="spellEnd"/>
      <w:r w:rsidRPr="00503A28">
        <w:rPr>
          <w:rFonts w:ascii="Aptos Narrow" w:hAnsi="Aptos Narrow"/>
          <w:sz w:val="22"/>
          <w:szCs w:val="22"/>
          <w:lang w:val="es-419"/>
        </w:rPr>
        <w:t xml:space="preserve"> Avance </w:t>
      </w:r>
      <w:proofErr w:type="gramStart"/>
      <w:r w:rsidRPr="00503A28">
        <w:rPr>
          <w:rFonts w:ascii="Aptos Narrow" w:hAnsi="Aptos Narrow"/>
          <w:sz w:val="22"/>
          <w:szCs w:val="22"/>
          <w:lang w:val="es-419"/>
        </w:rPr>
        <w:t>1</w:t>
      </w:r>
      <w:r w:rsidRPr="00503A28">
        <w:rPr>
          <w:rFonts w:ascii="Aptos Narrow" w:hAnsi="Aptos Narrow"/>
          <w:color w:val="5C6478"/>
          <w:sz w:val="22"/>
          <w:szCs w:val="22"/>
          <w:lang w:val="es-419"/>
        </w:rPr>
        <w:t xml:space="preserve">  ·</w:t>
      </w:r>
      <w:proofErr w:type="gramEnd"/>
      <w:r w:rsidRPr="00503A28">
        <w:rPr>
          <w:rFonts w:ascii="Aptos Narrow" w:hAnsi="Aptos Narrow"/>
          <w:color w:val="5C6478"/>
          <w:sz w:val="22"/>
          <w:szCs w:val="22"/>
          <w:lang w:val="es-419"/>
        </w:rPr>
        <w:t xml:space="preserve">  </w:t>
      </w:r>
      <w:r w:rsidRPr="00503A28">
        <w:rPr>
          <w:rFonts w:ascii="Aptos Narrow" w:hAnsi="Aptos Narrow"/>
          <w:b/>
          <w:bCs/>
          <w:color w:val="1E2761"/>
          <w:sz w:val="22"/>
          <w:szCs w:val="22"/>
          <w:lang w:val="es-419"/>
        </w:rPr>
        <w:t xml:space="preserve">RA del programa: </w:t>
      </w:r>
      <w:r w:rsidRPr="00503A28">
        <w:rPr>
          <w:rFonts w:ascii="Aptos Narrow" w:hAnsi="Aptos Narrow"/>
          <w:sz w:val="22"/>
          <w:szCs w:val="22"/>
          <w:lang w:val="es-419"/>
        </w:rPr>
        <w:t>RA2.1, RA2.5, RA3.1, RA3.5</w:t>
      </w:r>
    </w:p>
    <w:p w14:paraId="4A04CB27" w14:textId="77777777" w:rsidR="00CE7758" w:rsidRPr="00503A28" w:rsidRDefault="00CE7758" w:rsidP="00CE7758">
      <w:pPr>
        <w:spacing w:before="60" w:after="60" w:line="300" w:lineRule="auto"/>
        <w:jc w:val="both"/>
        <w:rPr>
          <w:rFonts w:ascii="Aptos Narrow" w:hAnsi="Aptos Narrow"/>
          <w:sz w:val="22"/>
          <w:szCs w:val="22"/>
          <w:lang w:val="es-419"/>
        </w:rPr>
      </w:pPr>
      <w:r w:rsidRPr="00503A28">
        <w:rPr>
          <w:rFonts w:ascii="Aptos Narrow" w:hAnsi="Aptos Narrow"/>
          <w:sz w:val="22"/>
          <w:szCs w:val="22"/>
          <w:lang w:val="es-419"/>
        </w:rPr>
        <w:t xml:space="preserve">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t>
      </w:r>
      <w:proofErr w:type="spellStart"/>
      <w:r w:rsidRPr="00503A28">
        <w:rPr>
          <w:rFonts w:ascii="Aptos Narrow" w:hAnsi="Aptos Narrow"/>
          <w:sz w:val="22"/>
          <w:szCs w:val="22"/>
          <w:lang w:val="es-419"/>
        </w:rPr>
        <w:t>wrap</w:t>
      </w:r>
      <w:proofErr w:type="spellEnd"/>
      <w:r w:rsidRPr="00503A28">
        <w:rPr>
          <w:rFonts w:ascii="Aptos Narrow" w:hAnsi="Aptos Narrow"/>
          <w:sz w:val="22"/>
          <w:szCs w:val="22"/>
          <w:lang w:val="es-419"/>
        </w:rPr>
        <w:t>-up que incluye limitaciones del enfoque y fronteras del campo.</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 xml:space="preserve">Bloque Autónomo — 10 horas (secuencia Mo → Co → Pr → </w:t>
      </w:r>
      <w:proofErr w:type="spellStart"/>
      <w:r w:rsidRPr="00FF683A">
        <w:rPr>
          <w:rFonts w:ascii="Aptos Narrow" w:hAnsi="Aptos Narrow"/>
          <w:b/>
          <w:bCs/>
          <w:color w:val="065A82"/>
          <w:sz w:val="22"/>
          <w:szCs w:val="22"/>
          <w:lang w:val="es-419"/>
        </w:rPr>
        <w:t>Ev</w:t>
      </w:r>
      <w:proofErr w:type="spellEnd"/>
      <w:r w:rsidRPr="00FF683A">
        <w:rPr>
          <w:rFonts w:ascii="Aptos Narrow" w:hAnsi="Aptos Narrow"/>
          <w:b/>
          <w:bCs/>
          <w:color w:val="065A82"/>
          <w:sz w:val="22"/>
          <w:szCs w:val="22"/>
          <w:lang w:val="es-419"/>
        </w:rPr>
        <w:t xml:space="preserve"> → </w:t>
      </w:r>
      <w:proofErr w:type="spellStart"/>
      <w:r w:rsidRPr="00FF683A">
        <w:rPr>
          <w:rFonts w:ascii="Aptos Narrow" w:hAnsi="Aptos Narrow"/>
          <w:b/>
          <w:bCs/>
          <w:color w:val="065A82"/>
          <w:sz w:val="22"/>
          <w:szCs w:val="22"/>
          <w:lang w:val="es-419"/>
        </w:rPr>
        <w:t>Proy</w:t>
      </w:r>
      <w:proofErr w:type="spellEnd"/>
      <w:r w:rsidRPr="00FF683A">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proofErr w:type="spellStart"/>
            <w:r w:rsidRPr="00FF683A">
              <w:rPr>
                <w:rFonts w:ascii="Aptos Narrow" w:hAnsi="Aptos Narrow"/>
                <w:b/>
                <w:bCs/>
                <w:color w:val="FFFFFF"/>
                <w:sz w:val="22"/>
                <w:szCs w:val="22"/>
              </w:rPr>
              <w:t>Cód</w:t>
            </w:r>
            <w:proofErr w:type="spellEnd"/>
            <w:r w:rsidRPr="00FF683A">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proofErr w:type="spellStart"/>
            <w:r w:rsidRPr="00FF683A">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proofErr w:type="spellStart"/>
            <w:r w:rsidRPr="00FF683A">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4896D813"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Video-lecciones 3.1–3.4 (54 min): dinámica sobre redes con nodos con estado y reglas de actualización; difusión, contagio simple vs. complejo, umbrales de adopción; modelos de Bass, Watts, Granovetter; redes de actores y </w:t>
            </w:r>
            <w:proofErr w:type="spellStart"/>
            <w:r w:rsidRPr="005D5078">
              <w:rPr>
                <w:rFonts w:ascii="Aptos Narrow" w:hAnsi="Aptos Narrow"/>
                <w:sz w:val="20"/>
                <w:szCs w:val="20"/>
                <w:lang w:val="es-419"/>
              </w:rPr>
              <w:t>stakeholders</w:t>
            </w:r>
            <w:proofErr w:type="spellEnd"/>
            <w:r w:rsidRPr="005D5078">
              <w:rPr>
                <w:rFonts w:ascii="Aptos Narrow" w:hAnsi="Aptos Narrow"/>
                <w:sz w:val="20"/>
                <w:szCs w:val="20"/>
                <w:lang w:val="es-419"/>
              </w:rPr>
              <w:t xml:space="preserve">; redes bipartitas (generadores–comercializadores); el mercado mayorista colombiano como grafo; </w:t>
            </w:r>
            <w:proofErr w:type="spellStart"/>
            <w:r w:rsidRPr="005D5078">
              <w:rPr>
                <w:rFonts w:ascii="Aptos Narrow" w:hAnsi="Aptos Narrow"/>
                <w:sz w:val="20"/>
                <w:szCs w:val="20"/>
                <w:lang w:val="es-419"/>
              </w:rPr>
              <w:t>wrap</w:t>
            </w:r>
            <w:proofErr w:type="spellEnd"/>
            <w:r w:rsidRPr="005D5078">
              <w:rPr>
                <w:rFonts w:ascii="Aptos Narrow" w:hAnsi="Aptos Narrow"/>
                <w:sz w:val="20"/>
                <w:szCs w:val="20"/>
                <w:lang w:val="es-419"/>
              </w:rPr>
              <w:t xml:space="preserve">-up del módulo de redes y horizonte ABM (Mesa). </w:t>
            </w:r>
          </w:p>
          <w:p w14:paraId="5DEC2BA4"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Lectura: </w:t>
            </w:r>
            <w:proofErr w:type="spellStart"/>
            <w:r w:rsidRPr="005D5078">
              <w:rPr>
                <w:rFonts w:ascii="Aptos Narrow" w:hAnsi="Aptos Narrow"/>
                <w:sz w:val="20"/>
                <w:szCs w:val="20"/>
                <w:lang w:val="es-419"/>
              </w:rPr>
              <w:t>Barabási</w:t>
            </w:r>
            <w:proofErr w:type="spellEnd"/>
            <w:r w:rsidRPr="005D5078">
              <w:rPr>
                <w:rFonts w:ascii="Aptos Narrow" w:hAnsi="Aptos Narrow"/>
                <w:sz w:val="20"/>
                <w:szCs w:val="20"/>
                <w:lang w:val="es-419"/>
              </w:rPr>
              <w:t xml:space="preserve"> Cap. 5–6 y 10; Watts (2002) </w:t>
            </w:r>
          </w:p>
          <w:p w14:paraId="2AD857F3" w14:textId="48530B25" w:rsidR="00724EB6" w:rsidRPr="00FF683A" w:rsidRDefault="005D5078" w:rsidP="005D5078">
            <w:pPr>
              <w:spacing w:after="0"/>
              <w:jc w:val="both"/>
              <w:rPr>
                <w:rFonts w:ascii="Aptos Narrow" w:eastAsia="Aptos Narrow" w:hAnsi="Aptos Narrow" w:cs="Aptos Narrow"/>
                <w:sz w:val="20"/>
                <w:szCs w:val="20"/>
                <w:lang w:val="es-419"/>
              </w:rPr>
            </w:pPr>
            <w:r w:rsidRPr="005D5078">
              <w:rPr>
                <w:rFonts w:ascii="Aptos Narrow" w:hAnsi="Aptos Narrow"/>
                <w:sz w:val="20"/>
                <w:szCs w:val="20"/>
              </w:rPr>
              <w:t xml:space="preserve">PNAS; </w:t>
            </w:r>
            <w:proofErr w:type="spellStart"/>
            <w:r w:rsidRPr="005D5078">
              <w:rPr>
                <w:rFonts w:ascii="Aptos Narrow" w:hAnsi="Aptos Narrow"/>
                <w:sz w:val="20"/>
                <w:szCs w:val="20"/>
              </w:rPr>
              <w:t>documento</w:t>
            </w:r>
            <w:proofErr w:type="spellEnd"/>
            <w:r w:rsidRPr="005D5078">
              <w:rPr>
                <w:rFonts w:ascii="Aptos Narrow" w:hAnsi="Aptos Narrow"/>
                <w:sz w:val="20"/>
                <w:szCs w:val="20"/>
              </w:rPr>
              <w:t xml:space="preserve"> </w:t>
            </w:r>
            <w:proofErr w:type="spellStart"/>
            <w:r w:rsidRPr="005D5078">
              <w:rPr>
                <w:rFonts w:ascii="Aptos Narrow" w:hAnsi="Aptos Narrow"/>
                <w:sz w:val="20"/>
                <w:szCs w:val="20"/>
              </w:rPr>
              <w:t>técnico</w:t>
            </w:r>
            <w:proofErr w:type="spellEnd"/>
            <w:r w:rsidRPr="005D5078">
              <w:rPr>
                <w:rFonts w:ascii="Aptos Narrow" w:hAnsi="Aptos Narrow"/>
                <w:sz w:val="20"/>
                <w:szCs w:val="20"/>
              </w:rPr>
              <w:t xml:space="preserve"> XM.</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730A4D7B" w:rsidR="00723ADE" w:rsidRPr="00906562" w:rsidRDefault="00CF7577" w:rsidP="00723ADE">
      <w:pPr>
        <w:spacing w:after="60"/>
        <w:rPr>
          <w:rFonts w:ascii="Aptos Narrow" w:hAnsi="Aptos Narrow"/>
          <w:sz w:val="22"/>
          <w:szCs w:val="22"/>
          <w:lang w:val="es-419"/>
        </w:rPr>
      </w:pPr>
      <w:r w:rsidRPr="00906562">
        <w:rPr>
          <w:rFonts w:ascii="Aptos Narrow" w:hAnsi="Aptos Narrow"/>
          <w:b/>
          <w:bCs/>
          <w:color w:val="1F3864"/>
          <w:sz w:val="22"/>
          <w:szCs w:val="22"/>
          <w:lang w:val="es-419"/>
        </w:rPr>
        <w:t xml:space="preserve">Alcance de </w:t>
      </w:r>
      <w:r w:rsidR="005D5078" w:rsidRPr="00906562">
        <w:rPr>
          <w:rFonts w:ascii="Aptos Narrow" w:hAnsi="Aptos Narrow"/>
          <w:b/>
          <w:bCs/>
          <w:color w:val="1F3864"/>
          <w:sz w:val="22"/>
          <w:szCs w:val="22"/>
          <w:lang w:val="es-419"/>
        </w:rPr>
        <w:t>3.</w:t>
      </w:r>
      <w:r w:rsidR="004F54A8" w:rsidRPr="00906562">
        <w:rPr>
          <w:rFonts w:ascii="Aptos Narrow" w:hAnsi="Aptos Narrow"/>
          <w:b/>
          <w:bCs/>
          <w:color w:val="1F3864"/>
          <w:sz w:val="22"/>
          <w:szCs w:val="22"/>
          <w:lang w:val="es-419"/>
        </w:rPr>
        <w:t>3</w:t>
      </w:r>
      <w:r w:rsidRPr="00906562">
        <w:rPr>
          <w:rFonts w:ascii="Aptos Narrow" w:hAnsi="Aptos Narrow"/>
          <w:b/>
          <w:bCs/>
          <w:color w:val="1F3864"/>
          <w:sz w:val="22"/>
          <w:szCs w:val="22"/>
          <w:lang w:val="es-419"/>
        </w:rPr>
        <w:t xml:space="preserve">: </w:t>
      </w:r>
      <w:r w:rsidR="00C20D6B" w:rsidRPr="00906562">
        <w:rPr>
          <w:rFonts w:ascii="Aptos Narrow" w:hAnsi="Aptos Narrow"/>
          <w:sz w:val="22"/>
          <w:szCs w:val="22"/>
          <w:lang w:val="es-419"/>
        </w:rPr>
        <w:t xml:space="preserve">Redes de actores y </w:t>
      </w:r>
      <w:proofErr w:type="spellStart"/>
      <w:r w:rsidR="00C20D6B" w:rsidRPr="00906562">
        <w:rPr>
          <w:rFonts w:ascii="Aptos Narrow" w:hAnsi="Aptos Narrow"/>
          <w:sz w:val="22"/>
          <w:szCs w:val="22"/>
          <w:lang w:val="es-419"/>
        </w:rPr>
        <w:t>stakeholders</w:t>
      </w:r>
      <w:proofErr w:type="spellEnd"/>
      <w:r w:rsidR="00C20D6B" w:rsidRPr="00906562">
        <w:rPr>
          <w:rFonts w:ascii="Aptos Narrow" w:hAnsi="Aptos Narrow"/>
          <w:sz w:val="22"/>
          <w:szCs w:val="22"/>
          <w:lang w:val="es-419"/>
        </w:rPr>
        <w:t>; redes bipartitas (generadores–comercializadores); el mercado mayorista colombiano como grafo; centralidad y comunidades aplicadas a actores</w:t>
      </w:r>
    </w:p>
    <w:p w14:paraId="36D7E3A7" w14:textId="77777777" w:rsidR="00906562" w:rsidRPr="00906562" w:rsidRDefault="00906562" w:rsidP="00906562">
      <w:pPr>
        <w:spacing w:before="280" w:after="120"/>
        <w:rPr>
          <w:rFonts w:ascii="Aptos Narrow" w:hAnsi="Aptos Narrow"/>
          <w:sz w:val="22"/>
          <w:szCs w:val="22"/>
          <w:lang w:val="es-419"/>
        </w:rPr>
      </w:pPr>
      <w:r w:rsidRPr="00906562">
        <w:rPr>
          <w:rFonts w:ascii="Aptos Narrow" w:hAnsi="Aptos Narrow"/>
          <w:b/>
          <w:bCs/>
          <w:color w:val="1F3864"/>
          <w:sz w:val="22"/>
          <w:szCs w:val="22"/>
          <w:lang w:val="es-419"/>
        </w:rPr>
        <w:t>Segmento 1 — Del cable a la relación</w:t>
      </w:r>
    </w:p>
    <w:p w14:paraId="13454C0C"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Hasta ahora, en este módulo de redes, los nodos han sido cosas bastante concretas. En la semana dos eran subestaciones y las aristas eran líneas de transmisión físicas. En las dos lecciones anteriores de esta semana, los nodos eran personas y las aristas eran relaciones sociales por las que se propagaba la adopción. Hoy damos un giro que amplía enormemente el alcance de la herramienta: vamos a modelar como redes las relaciones entre los actores del sector eléctrico.</w:t>
      </w:r>
    </w:p>
    <w:p w14:paraId="64831BAF"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 xml:space="preserve">La idea de fondo es que la energía no fluye solamente por cables. Fluye también por contratos, por transacciones comerciales, por relaciones de influencia y de poder, por canales de decisión regulatoria. Y todas esas relaciones tienen estructura, una estructura que podemos representar como un grafo y analizar con exactamente las mismas métricas que aprendimos: grado, centralidad, comunidades. Un generador, un comercializador, un regulador como la CREG, un operador como XM, una comunidad afectada por un proyecto: todos son nodos. Y las relaciones entre ellos, quién le vende a quién, quién regula a quién, quién se alía con quién, son las aristas. Esto se llama análisis de redes de actores, o análisis de </w:t>
      </w:r>
      <w:proofErr w:type="spellStart"/>
      <w:r w:rsidRPr="00906562">
        <w:rPr>
          <w:rFonts w:ascii="Aptos Narrow" w:hAnsi="Aptos Narrow"/>
          <w:sz w:val="22"/>
          <w:szCs w:val="22"/>
          <w:lang w:val="es-419"/>
        </w:rPr>
        <w:t>stakeholders</w:t>
      </w:r>
      <w:proofErr w:type="spellEnd"/>
      <w:r w:rsidRPr="00906562">
        <w:rPr>
          <w:rFonts w:ascii="Aptos Narrow" w:hAnsi="Aptos Narrow"/>
          <w:sz w:val="22"/>
          <w:szCs w:val="22"/>
          <w:lang w:val="es-419"/>
        </w:rPr>
        <w:t>, y es una de las herramientas más útiles que se llevarán del curso, porque sirve para casi cualquier proyecto energético que analicen en su vida profesional.</w:t>
      </w:r>
    </w:p>
    <w:p w14:paraId="14C9F2AD"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Fíjense en la potencia de la abstracción que trabajamos en la semana dos. A la teoría de grafos no le importa si los nodos son subestaciones de acero o empresas con intereses. Las mismas herramientas que usamos para encontrar la subestación crítica de la red física nos van a servir ahora para encontrar el actor crítico de la red de mercado. La estructura se analiza igual; lo que cambia es la interpretación de lo que significan los resultados.</w:t>
      </w:r>
    </w:p>
    <w:p w14:paraId="226F921E" w14:textId="77777777" w:rsidR="00906562" w:rsidRPr="00906562" w:rsidRDefault="00906562" w:rsidP="00906562">
      <w:pPr>
        <w:spacing w:before="280" w:after="120"/>
        <w:rPr>
          <w:rFonts w:ascii="Aptos Narrow" w:hAnsi="Aptos Narrow"/>
          <w:sz w:val="22"/>
          <w:szCs w:val="22"/>
          <w:lang w:val="es-419"/>
        </w:rPr>
      </w:pPr>
      <w:r w:rsidRPr="00906562">
        <w:rPr>
          <w:rFonts w:ascii="Aptos Narrow" w:hAnsi="Aptos Narrow"/>
          <w:b/>
          <w:bCs/>
          <w:color w:val="1F3864"/>
          <w:sz w:val="22"/>
          <w:szCs w:val="22"/>
          <w:lang w:val="es-419"/>
        </w:rPr>
        <w:t>Segmento 2 — Redes bipartitas: el mercado como dos tipos de nodo</w:t>
      </w:r>
    </w:p>
    <w:p w14:paraId="2D455660"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Empecemos con una estructura particular, muy común cuando modelamos mercados, que se llama red bipartita. Una red bipartita es aquella donde hay dos tipos distintos de nodos, y las conexiones solo ocurren entre tipos distintos, nunca dentro del mismo tipo. El ejemplo clásico en nuestro sector es la relación entre generadores y comercializadores. Los generadores producen la energía; los comercializadores la compran para venderla a los usuarios finales. Un contrato conecta a un generador con un comercializador, es decir, une nodos de tipos distintos. Dos generadores no se conectan entre sí en esta red, ni dos comercializadores; las aristas solo cruzan de un lado al otro.</w:t>
      </w:r>
    </w:p>
    <w:p w14:paraId="580F73AB"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 xml:space="preserve">Esta estructura bipartita aparece por todas partes una vez que uno aprende a verla: médicos y pacientes, autores y artículos, bancos y empresas que financian. Y modelar el mercado mayorista así nos permite hacer preguntas muy concretas. ¿Qué comercializador depende de un solo generador para casi toda su energía, y por tanto es vulnerable si ese generador falla o sube precios? ¿Qué generador concentra los contratos de </w:t>
      </w:r>
      <w:r w:rsidRPr="00906562">
        <w:rPr>
          <w:rFonts w:ascii="Aptos Narrow" w:hAnsi="Aptos Narrow"/>
          <w:sz w:val="22"/>
          <w:szCs w:val="22"/>
          <w:lang w:val="es-419"/>
        </w:rPr>
        <w:lastRenderedPageBreak/>
        <w:t xml:space="preserve">muchos comercializadores, y por tanto tiene una posición de mercado dominante? El grado de un nodo en esta red bipartita ya nos dice mucho: un generador con grado alto </w:t>
      </w:r>
      <w:proofErr w:type="gramStart"/>
      <w:r w:rsidRPr="00906562">
        <w:rPr>
          <w:rFonts w:ascii="Aptos Narrow" w:hAnsi="Aptos Narrow"/>
          <w:sz w:val="22"/>
          <w:szCs w:val="22"/>
          <w:lang w:val="es-419"/>
        </w:rPr>
        <w:t>le</w:t>
      </w:r>
      <w:proofErr w:type="gramEnd"/>
      <w:r w:rsidRPr="00906562">
        <w:rPr>
          <w:rFonts w:ascii="Aptos Narrow" w:hAnsi="Aptos Narrow"/>
          <w:sz w:val="22"/>
          <w:szCs w:val="22"/>
          <w:lang w:val="es-419"/>
        </w:rPr>
        <w:t xml:space="preserve"> vende a muchos, un comercializador con grado bajo tiene pocos proveedores y está expuesto.</w:t>
      </w:r>
    </w:p>
    <w:p w14:paraId="63D55C4F"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De una red bipartita se pueden derivar dos redes proyectadas, y esto abre un análisis muy revelador. Podemos proyectar sobre los generadores: dos generadores quedan conectados si comparten al menos un comercializador como cliente, lo que revela quiénes compiten por los mismos clientes. O podemos proyectar sobre los comercializadores: dos comercializadores quedan conectados si compran al mismo generador, lo que revela dependencias compartidas y vulnerabilidades comunes. Estas proyecciones convierten una simple lista de contratos en un mapa de competencia y de dependencia estratégica del mercado.</w:t>
      </w:r>
    </w:p>
    <w:p w14:paraId="0B431FD7" w14:textId="77777777" w:rsidR="00906562" w:rsidRPr="00906562" w:rsidRDefault="00906562" w:rsidP="00906562">
      <w:pPr>
        <w:pBdr>
          <w:left w:val="single" w:sz="18" w:space="12" w:color="9C6500"/>
        </w:pBdr>
        <w:spacing w:before="120"/>
        <w:rPr>
          <w:rFonts w:ascii="Aptos Narrow" w:hAnsi="Aptos Narrow"/>
          <w:sz w:val="22"/>
          <w:szCs w:val="22"/>
          <w:lang w:val="es-419"/>
        </w:rPr>
      </w:pPr>
      <w:r w:rsidRPr="00906562">
        <w:rPr>
          <w:rFonts w:ascii="Aptos Narrow" w:hAnsi="Aptos Narrow"/>
          <w:b/>
          <w:bCs/>
          <w:color w:val="9C6500"/>
          <w:sz w:val="22"/>
          <w:szCs w:val="22"/>
          <w:lang w:val="es-419"/>
        </w:rPr>
        <w:t xml:space="preserve">[QUIZ EMBEBIDO] </w:t>
      </w:r>
      <w:r w:rsidRPr="00906562">
        <w:rPr>
          <w:rFonts w:ascii="Aptos Narrow" w:hAnsi="Aptos Narrow"/>
          <w:i/>
          <w:iCs/>
          <w:color w:val="555555"/>
          <w:sz w:val="22"/>
          <w:szCs w:val="22"/>
          <w:lang w:val="es-419"/>
        </w:rPr>
        <w:t>Se presenta una red bipartita pequeña de generadores y comercializadores con sus contratos. El estudiante debe identificar el generador con mayor poder de mercado según su grado, señalar qué comercializador está más expuesto por depender de un solo proveedor, y explicar qué revelaría la proyección sobre los comercializadores.</w:t>
      </w:r>
    </w:p>
    <w:p w14:paraId="2929261E" w14:textId="77777777" w:rsidR="00906562" w:rsidRPr="00906562" w:rsidRDefault="00906562" w:rsidP="00906562">
      <w:pPr>
        <w:spacing w:before="280" w:after="120"/>
        <w:rPr>
          <w:rFonts w:ascii="Aptos Narrow" w:hAnsi="Aptos Narrow"/>
          <w:sz w:val="22"/>
          <w:szCs w:val="22"/>
          <w:lang w:val="es-419"/>
        </w:rPr>
      </w:pPr>
      <w:r w:rsidRPr="00906562">
        <w:rPr>
          <w:rFonts w:ascii="Aptos Narrow" w:hAnsi="Aptos Narrow"/>
          <w:b/>
          <w:bCs/>
          <w:color w:val="1F3864"/>
          <w:sz w:val="22"/>
          <w:szCs w:val="22"/>
          <w:lang w:val="es-419"/>
        </w:rPr>
        <w:t>Segmento 3 — Centralidad y comunidades en la red de actores</w:t>
      </w:r>
    </w:p>
    <w:p w14:paraId="2AA80A6B"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Ahora apliquemos a la red de actores las métricas que ya dominamos, reinterpretando qué significan en este contexto social y de mercado. En la red física, un nodo de alta centralidad de intermediación era un cuello de botella cuya caída fragmentaba el sistema. En una red de actores, un nodo de alta intermediación es un intermediario de poder: alguien por quien pasan las relaciones entre grupos que de otro modo no se comunicarían. Puede ser un regulador que media entre generadores y comunidades, o un actor que conecta el mundo financiero con el técnico. Ese actor tiene una influencia desproporcionada, no porque tenga muchas conexiones, sino por su posición de puente. Identificarlo es clave en cualquier estrategia de negociación o de política.</w:t>
      </w:r>
    </w:p>
    <w:p w14:paraId="0BA46338"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La centralidad de grado, en la red de actores, se interpreta como influencia directa o poder de mercado: cuántas relaciones controla un actor. Y la cercanía se interpreta como qué tan rápido un actor puede hacer llegar su influencia, o su información, al resto del sistema. Las mismas métricas de la semana dos, ahora leídas en clave de poder, dependencia e influencia. Esta es la belleza de haber construido una base sólida: no aprendemos herramientas nuevas, extendemos el significado de las que ya tenemos.</w:t>
      </w:r>
    </w:p>
    <w:p w14:paraId="3C7F2599"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Y hay una métrica que cobra especial protagonismo aquí: la detección de comunidades. Una comunidad, en una red, es un grupo de nodos densamente conectados entre sí y débilmente conectados con el resto. En una red de actores del sector eléctrico, las comunidades revelan bloques o coaliciones: grupos de empresas fuertemente entrelazadas por propiedad cruzada, alianzas o contratos, que tienden a actuar de forma alineada. Detectar estas comunidades, con métodos que miden la llamada modularidad de la red, permite ver más allá de las empresas individuales y descubrir los verdaderos bloques de poder que estructuran el mercado. En el laboratorio de esta semana van a construir la red de actores del mercado mayorista colombiano y a calcular justamente sus centralidades y sus comunidades.</w:t>
      </w:r>
    </w:p>
    <w:p w14:paraId="74D238A5"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lastRenderedPageBreak/>
        <w:t>Vale la pena ver por qué las comunidades importan tanto para el análisis. Dos empresas que sobre el papel son competidoras independientes pueden, en realidad, pertenecer a un mismo grupo económico, compartir dueños, o estar unidas por una maraña de contratos que las hace moverse juntas. Vistas una por una, cada empresa parece un actor modesto; vistas como comunidad, forman un bloque con poder de mercado considerable. Un análisis que solo mira nodos individuales no vería esa concentración oculta; un análisis de comunidades sí. Para un regulador que vigila la competencia, o para un consultor que evalúa el poder de negociación en un mercado, esta capacidad de detectar coaliciones que no son evidentes a simple vista es enormemente valiosa, y es una de las cosas que el análisis de redes hace que casi ninguna otra herramienta ofrece.</w:t>
      </w:r>
    </w:p>
    <w:p w14:paraId="3FD3F885" w14:textId="77777777" w:rsidR="00906562" w:rsidRPr="00906562" w:rsidRDefault="00906562" w:rsidP="00906562">
      <w:pPr>
        <w:pBdr>
          <w:left w:val="single" w:sz="18" w:space="12" w:color="9C6500"/>
        </w:pBdr>
        <w:spacing w:before="120"/>
        <w:rPr>
          <w:rFonts w:ascii="Aptos Narrow" w:hAnsi="Aptos Narrow"/>
          <w:sz w:val="22"/>
          <w:szCs w:val="22"/>
          <w:lang w:val="es-419"/>
        </w:rPr>
      </w:pPr>
      <w:r w:rsidRPr="00906562">
        <w:rPr>
          <w:rFonts w:ascii="Aptos Narrow" w:hAnsi="Aptos Narrow"/>
          <w:b/>
          <w:bCs/>
          <w:color w:val="9C6500"/>
          <w:sz w:val="22"/>
          <w:szCs w:val="22"/>
          <w:lang w:val="es-419"/>
        </w:rPr>
        <w:t xml:space="preserve">[QUIZ EMBEBIDO] </w:t>
      </w:r>
      <w:r w:rsidRPr="00906562">
        <w:rPr>
          <w:rFonts w:ascii="Aptos Narrow" w:hAnsi="Aptos Narrow"/>
          <w:i/>
          <w:iCs/>
          <w:color w:val="555555"/>
          <w:sz w:val="22"/>
          <w:szCs w:val="22"/>
          <w:lang w:val="es-419"/>
        </w:rPr>
        <w:t>Se describe un actor del sector con grado modesto pero que es el único puente entre el bloque de generadores y el bloque de comunidades y reguladores. El estudiante debe explicar por qué su alta intermediación le da una influencia mayor que la que sugiere su grado, y qué implicaría para una estrategia de negociación.</w:t>
      </w:r>
    </w:p>
    <w:p w14:paraId="41F1D36B" w14:textId="77777777" w:rsidR="00906562" w:rsidRPr="00906562" w:rsidRDefault="00906562" w:rsidP="00906562">
      <w:pPr>
        <w:spacing w:before="280" w:after="120"/>
        <w:rPr>
          <w:rFonts w:ascii="Aptos Narrow" w:hAnsi="Aptos Narrow"/>
          <w:sz w:val="22"/>
          <w:szCs w:val="22"/>
          <w:lang w:val="es-419"/>
        </w:rPr>
      </w:pPr>
      <w:r w:rsidRPr="00906562">
        <w:rPr>
          <w:rFonts w:ascii="Aptos Narrow" w:hAnsi="Aptos Narrow"/>
          <w:b/>
          <w:bCs/>
          <w:color w:val="1F3864"/>
          <w:sz w:val="22"/>
          <w:szCs w:val="22"/>
          <w:lang w:val="es-419"/>
        </w:rPr>
        <w:t>Segmento 4 — Concentración, riesgo sistémico y cierre</w:t>
      </w:r>
    </w:p>
    <w:p w14:paraId="75488630"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 xml:space="preserve">Todo esto aterriza en una pregunta de fondo que es la del foro de esta semana: ¿es la concentración del mercado mayorista colombiano un riesgo sistémico? Y aquí se cierra un círculo hermoso con lo que aprendimos sobre topología. Recuerden que en la semana dos vimos las redes libres de escala, con sus pocos concentradores gigantes, y su paradoja: robustas ante fallas aleatorias pero frágiles ante la caída de un </w:t>
      </w:r>
      <w:proofErr w:type="spellStart"/>
      <w:proofErr w:type="gramStart"/>
      <w:r w:rsidRPr="00906562">
        <w:rPr>
          <w:rFonts w:ascii="Aptos Narrow" w:hAnsi="Aptos Narrow"/>
          <w:sz w:val="22"/>
          <w:szCs w:val="22"/>
          <w:lang w:val="es-419"/>
        </w:rPr>
        <w:t>hub</w:t>
      </w:r>
      <w:proofErr w:type="spellEnd"/>
      <w:proofErr w:type="gramEnd"/>
      <w:r w:rsidRPr="00906562">
        <w:rPr>
          <w:rFonts w:ascii="Aptos Narrow" w:hAnsi="Aptos Narrow"/>
          <w:sz w:val="22"/>
          <w:szCs w:val="22"/>
          <w:lang w:val="es-419"/>
        </w:rPr>
        <w:t>. Pues bien, un mercado muy concentrado, donde unos pocos actores dominan la generación, tiene exactamente esa estructura. Es la misma matemática de la fragilidad, ahora en el plano económico y no en el físico.</w:t>
      </w:r>
    </w:p>
    <w:p w14:paraId="7A50C2DD"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 xml:space="preserve">La analogía es precisa y poderosa. Si el mercado tiene unos pocos generadores que son </w:t>
      </w:r>
      <w:proofErr w:type="spellStart"/>
      <w:r w:rsidRPr="00906562">
        <w:rPr>
          <w:rFonts w:ascii="Aptos Narrow" w:hAnsi="Aptos Narrow"/>
          <w:sz w:val="22"/>
          <w:szCs w:val="22"/>
          <w:lang w:val="es-419"/>
        </w:rPr>
        <w:t>hubs</w:t>
      </w:r>
      <w:proofErr w:type="spellEnd"/>
      <w:r w:rsidRPr="00906562">
        <w:rPr>
          <w:rFonts w:ascii="Aptos Narrow" w:hAnsi="Aptos Narrow"/>
          <w:sz w:val="22"/>
          <w:szCs w:val="22"/>
          <w:lang w:val="es-419"/>
        </w:rPr>
        <w:t xml:space="preserve">, con enorme grado y centralidad, entonces el sistema es vulnerable a lo que </w:t>
      </w:r>
      <w:proofErr w:type="gramStart"/>
      <w:r w:rsidRPr="00906562">
        <w:rPr>
          <w:rFonts w:ascii="Aptos Narrow" w:hAnsi="Aptos Narrow"/>
          <w:sz w:val="22"/>
          <w:szCs w:val="22"/>
          <w:lang w:val="es-419"/>
        </w:rPr>
        <w:t>le</w:t>
      </w:r>
      <w:proofErr w:type="gramEnd"/>
      <w:r w:rsidRPr="00906562">
        <w:rPr>
          <w:rFonts w:ascii="Aptos Narrow" w:hAnsi="Aptos Narrow"/>
          <w:sz w:val="22"/>
          <w:szCs w:val="22"/>
          <w:lang w:val="es-419"/>
        </w:rPr>
        <w:t xml:space="preserve"> pase a esos actores: su salida por una falla, una decisión estratégica de retener capacidad, o una posición de poder de mercado que les permita influir en los precios. La concentración que en tiempos normales puede parecer eficiente se convierte, ante un choque, en un punto único de falla económico. Analizar la red de actores con métricas de centralidad permite cuantificar esa concentración y señalar, con evidencia y no con opinión, dónde está el riesgo sistémico del mercado y qué actores merecen mayor vigilancia regulatoria. Ese es exactamente el tipo de argumento, estructural y respaldado en datos, que llevarán al foro y que un buen consultor sistémico aporta.</w:t>
      </w:r>
    </w:p>
    <w:p w14:paraId="075099FD"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 xml:space="preserve">Ahora bien, seamos justos con el otro lado del argumento, porque un buen analista no cae en conclusiones fáciles. La concentración no es automáticamente mala. Los grandes generadores suelen ser también los que aportan la mayor capacidad firme, los que respaldan al sistema en las sequías, los que tienen espaldas financieras para invertir en nueva generación. Una fragmentación excesiva del mercado tendría sus propios problemas de coordinación y de escala. Así que la pregunta del foro no tiene una respuesta de blanco o negro, y ahí está su riqueza. Lo que el análisis de redes aporta no es un veredicto simplista de que la concentración es buena o mala, sino una medición precisa de cuánta concentración hay, dónde está, y qué tan expuesto </w:t>
      </w:r>
      <w:r w:rsidRPr="00906562">
        <w:rPr>
          <w:rFonts w:ascii="Aptos Narrow" w:hAnsi="Aptos Narrow"/>
          <w:sz w:val="22"/>
          <w:szCs w:val="22"/>
          <w:lang w:val="es-419"/>
        </w:rPr>
        <w:lastRenderedPageBreak/>
        <w:t>queda el sistema si uno de esos actores falla o abusa de su posición. Con esa medición sobre la mesa, la discusión sobre cuánto poder de mercado es tolerable pasa de ser una opinión a ser un debate informado, y esa es precisamente la contribución del pensamiento sistémico a la política pública.</w:t>
      </w:r>
    </w:p>
    <w:p w14:paraId="3A304292" w14:textId="77777777" w:rsidR="00906562" w:rsidRPr="00906562" w:rsidRDefault="00906562" w:rsidP="00906562">
      <w:pPr>
        <w:spacing w:line="300" w:lineRule="auto"/>
        <w:jc w:val="both"/>
        <w:rPr>
          <w:rFonts w:ascii="Aptos Narrow" w:hAnsi="Aptos Narrow"/>
          <w:sz w:val="22"/>
          <w:szCs w:val="22"/>
          <w:lang w:val="es-419"/>
        </w:rPr>
      </w:pPr>
      <w:r w:rsidRPr="00906562">
        <w:rPr>
          <w:rFonts w:ascii="Aptos Narrow" w:hAnsi="Aptos Narrow"/>
          <w:sz w:val="22"/>
          <w:szCs w:val="22"/>
          <w:lang w:val="es-419"/>
        </w:rPr>
        <w:t>Recapitulemos. Hoy extendimos las redes del mundo físico al mundo de los actores. Aprendimos a modelar el mercado como una red bipartita de generadores y comercializadores, a proyectarla para revelar competencia y dependencia, a reinterpretar las centralidades en clave de poder e influencia, y a detectar comunidades que exponen los bloques de poder. Y conectamos la concentración del mercado con la fragilidad de las redes libres de escala, para pensar el riesgo sistémico con rigor. Con esto tenemos ya casi todo el módulo de redes. En la última lección de la semana haremos el cierre: recogeremos lo aprendido en las dos semanas de redes, seremos honestos sobre las limitaciones del enfoque, y asomaremos al horizonte de hacia dónde sigue el campo. Nos vemos en la lección 3.4.</w:t>
      </w:r>
    </w:p>
    <w:p w14:paraId="6876B5B3" w14:textId="77777777" w:rsidR="00906562" w:rsidRPr="00906562" w:rsidRDefault="00906562" w:rsidP="00906562">
      <w:pPr>
        <w:pBdr>
          <w:top w:val="single" w:sz="6" w:space="6" w:color="CCCCCC"/>
        </w:pBdr>
        <w:spacing w:before="280" w:after="120"/>
        <w:rPr>
          <w:rFonts w:ascii="Aptos Narrow" w:hAnsi="Aptos Narrow"/>
          <w:sz w:val="22"/>
          <w:szCs w:val="22"/>
          <w:lang w:val="es-419"/>
        </w:rPr>
      </w:pPr>
      <w:r w:rsidRPr="00906562">
        <w:rPr>
          <w:rFonts w:ascii="Aptos Narrow" w:hAnsi="Aptos Narrow"/>
          <w:b/>
          <w:bCs/>
          <w:color w:val="9C6500"/>
          <w:sz w:val="22"/>
          <w:szCs w:val="22"/>
          <w:lang w:val="es-419"/>
        </w:rPr>
        <w:t>Notas de contenido</w:t>
      </w:r>
    </w:p>
    <w:p w14:paraId="2D258BFD" w14:textId="77777777" w:rsidR="00906562" w:rsidRPr="00906562" w:rsidRDefault="00906562" w:rsidP="00906562">
      <w:pPr>
        <w:spacing w:after="120"/>
        <w:rPr>
          <w:rFonts w:ascii="Aptos Narrow" w:hAnsi="Aptos Narrow"/>
          <w:sz w:val="22"/>
          <w:szCs w:val="22"/>
          <w:lang w:val="es-419"/>
        </w:rPr>
      </w:pPr>
      <w:r w:rsidRPr="00906562">
        <w:rPr>
          <w:rFonts w:ascii="Aptos Narrow" w:hAnsi="Aptos Narrow"/>
          <w:i/>
          <w:iCs/>
          <w:color w:val="555555"/>
          <w:sz w:val="22"/>
          <w:szCs w:val="22"/>
          <w:lang w:val="es-419"/>
        </w:rPr>
        <w:t>Guion conceptual, sin cifras del mercado. La pregunta de concentración como riesgo sistémico está alineada con el foro de la semana. La caracterización de generadores/comercializadores es genérica; si se decide nombrar actores reales del mercado colombiano o mostrar niveles de concentración (p. ej. índices HHI), verificar con datos de XM/CREG antes de grabar y evitar afirmaciones sobre empresas específicas sin sustento. El mercado mayorista como grafo se apoya en el documento técnico de XM listado en el syllabus.</w:t>
      </w:r>
    </w:p>
    <w:p w14:paraId="353FCBD7" w14:textId="77777777" w:rsidR="00C20D6B" w:rsidRPr="00C20D6B" w:rsidRDefault="00C20D6B" w:rsidP="00723ADE">
      <w:pPr>
        <w:spacing w:after="60"/>
        <w:rPr>
          <w:rFonts w:ascii="Aptos Narrow" w:hAnsi="Aptos Narrow"/>
          <w:sz w:val="22"/>
          <w:szCs w:val="22"/>
          <w:lang w:val="es-419"/>
        </w:rPr>
      </w:pPr>
    </w:p>
    <w:sectPr w:rsidR="00C20D6B" w:rsidRPr="00C20D6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BA3E" w14:textId="77777777" w:rsidR="00E5444B" w:rsidRDefault="00E5444B" w:rsidP="00DC6E4E">
      <w:pPr>
        <w:spacing w:after="0" w:line="240" w:lineRule="auto"/>
      </w:pPr>
      <w:r>
        <w:separator/>
      </w:r>
    </w:p>
  </w:endnote>
  <w:endnote w:type="continuationSeparator" w:id="0">
    <w:p w14:paraId="1876119B" w14:textId="77777777" w:rsidR="00E5444B" w:rsidRDefault="00E5444B"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3777" w14:textId="77777777" w:rsidR="00E5444B" w:rsidRDefault="00E5444B" w:rsidP="00DC6E4E">
      <w:pPr>
        <w:spacing w:after="0" w:line="240" w:lineRule="auto"/>
      </w:pPr>
      <w:r>
        <w:separator/>
      </w:r>
    </w:p>
  </w:footnote>
  <w:footnote w:type="continuationSeparator" w:id="0">
    <w:p w14:paraId="55644730" w14:textId="77777777" w:rsidR="00E5444B" w:rsidRDefault="00E5444B"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54C3B"/>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C4859"/>
    <w:rsid w:val="003E57AD"/>
    <w:rsid w:val="004060D2"/>
    <w:rsid w:val="00416939"/>
    <w:rsid w:val="00425546"/>
    <w:rsid w:val="00442043"/>
    <w:rsid w:val="0045781F"/>
    <w:rsid w:val="004A2836"/>
    <w:rsid w:val="004D07B2"/>
    <w:rsid w:val="004F095B"/>
    <w:rsid w:val="004F54A8"/>
    <w:rsid w:val="005067ED"/>
    <w:rsid w:val="00536AD9"/>
    <w:rsid w:val="00551E91"/>
    <w:rsid w:val="00566DB3"/>
    <w:rsid w:val="0058732A"/>
    <w:rsid w:val="005950CD"/>
    <w:rsid w:val="005A1594"/>
    <w:rsid w:val="005A3081"/>
    <w:rsid w:val="005C61BF"/>
    <w:rsid w:val="005C6777"/>
    <w:rsid w:val="005D5078"/>
    <w:rsid w:val="005F08BA"/>
    <w:rsid w:val="006006AF"/>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93453"/>
    <w:rsid w:val="008E2E48"/>
    <w:rsid w:val="00906562"/>
    <w:rsid w:val="00913FC8"/>
    <w:rsid w:val="009222D0"/>
    <w:rsid w:val="00940915"/>
    <w:rsid w:val="0094593B"/>
    <w:rsid w:val="00946A01"/>
    <w:rsid w:val="009572D0"/>
    <w:rsid w:val="00961FA9"/>
    <w:rsid w:val="009668D6"/>
    <w:rsid w:val="009B6C32"/>
    <w:rsid w:val="00A2411E"/>
    <w:rsid w:val="00A55028"/>
    <w:rsid w:val="00A56545"/>
    <w:rsid w:val="00A64527"/>
    <w:rsid w:val="00A67E34"/>
    <w:rsid w:val="00A74D29"/>
    <w:rsid w:val="00A96C6A"/>
    <w:rsid w:val="00AA62F3"/>
    <w:rsid w:val="00AB3AE4"/>
    <w:rsid w:val="00AB7F9E"/>
    <w:rsid w:val="00AC64E3"/>
    <w:rsid w:val="00B17459"/>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45F58"/>
    <w:rsid w:val="00D64E13"/>
    <w:rsid w:val="00D752A9"/>
    <w:rsid w:val="00DC52DD"/>
    <w:rsid w:val="00DC6E4E"/>
    <w:rsid w:val="00DD0613"/>
    <w:rsid w:val="00DF7938"/>
    <w:rsid w:val="00E16CAD"/>
    <w:rsid w:val="00E20D7E"/>
    <w:rsid w:val="00E27FCE"/>
    <w:rsid w:val="00E315C7"/>
    <w:rsid w:val="00E325F2"/>
    <w:rsid w:val="00E42EE7"/>
    <w:rsid w:val="00E456F7"/>
    <w:rsid w:val="00E5444B"/>
    <w:rsid w:val="00E54F8F"/>
    <w:rsid w:val="00EA748F"/>
    <w:rsid w:val="00EB7720"/>
    <w:rsid w:val="00ED1361"/>
    <w:rsid w:val="00F07D53"/>
    <w:rsid w:val="00F2295E"/>
    <w:rsid w:val="00F35346"/>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1953</Words>
  <Characters>11133</Characters>
  <Application>Microsoft Office Word</Application>
  <DocSecurity>0</DocSecurity>
  <Lines>92</Lines>
  <Paragraphs>26</Paragraphs>
  <ScaleCrop>false</ScaleCrop>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5</cp:revision>
  <cp:lastPrinted>2026-05-29T16:52:00Z</cp:lastPrinted>
  <dcterms:created xsi:type="dcterms:W3CDTF">2026-07-11T01:40:00Z</dcterms:created>
  <dcterms:modified xsi:type="dcterms:W3CDTF">2026-07-11T01:42:00Z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