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8641BD" w:rsidRDefault="00E325F2" w:rsidP="00477C9E">
      <w:pPr>
        <w:pStyle w:val="Heading1"/>
        <w:jc w:val="center"/>
        <w:rPr>
          <w:rFonts w:ascii="Aptos Narrow" w:hAnsi="Aptos Narrow"/>
          <w:b/>
          <w:bCs/>
          <w:lang w:val="es-419"/>
        </w:rPr>
      </w:pPr>
      <w:bookmarkStart w:id="0" w:name="_Toc228135348"/>
      <w:r w:rsidRPr="6E466B20">
        <w:rPr>
          <w:rFonts w:ascii="Aptos Narrow" w:hAnsi="Aptos Narrow"/>
          <w:b/>
          <w:bCs/>
          <w:lang w:val="es-419"/>
        </w:rPr>
        <w:t>SCRIPT</w:t>
      </w:r>
      <w:r w:rsidR="00CA7B83" w:rsidRPr="6E466B20">
        <w:rPr>
          <w:rFonts w:ascii="Aptos Narrow" w:hAnsi="Aptos Narrow"/>
          <w:b/>
          <w:bCs/>
          <w:lang w:val="es-419"/>
        </w:rPr>
        <w:t xml:space="preserve"> SUGERIDO</w:t>
      </w:r>
      <w:bookmarkEnd w:id="0"/>
    </w:p>
    <w:p w14:paraId="0429B74F" w14:textId="77777777" w:rsidR="00690B44" w:rsidRPr="00503A28" w:rsidRDefault="00690B44" w:rsidP="00690B44">
      <w:pPr>
        <w:pStyle w:val="Heading2"/>
        <w:rPr>
          <w:rFonts w:ascii="Aptos Narrow" w:hAnsi="Aptos Narrow"/>
          <w:sz w:val="22"/>
          <w:szCs w:val="22"/>
        </w:rPr>
      </w:pPr>
      <w:bookmarkStart w:id="1" w:name="_Toc228135350"/>
      <w:r w:rsidRPr="00503A28">
        <w:rPr>
          <w:rFonts w:ascii="Aptos Narrow" w:hAnsi="Aptos Narrow"/>
          <w:sz w:val="22"/>
          <w:szCs w:val="22"/>
        </w:rPr>
        <w:t>SEMANA 3: Redes II — Dinámica sobre Redes y Redes de Actores</w:t>
      </w:r>
      <w:bookmarkEnd w:id="1"/>
    </w:p>
    <w:p w14:paraId="4F69F79D" w14:textId="77777777" w:rsidR="00690B44" w:rsidRPr="00503A28" w:rsidRDefault="00690B44" w:rsidP="00690B44">
      <w:pPr>
        <w:spacing w:after="80"/>
        <w:rPr>
          <w:rFonts w:ascii="Aptos Narrow" w:hAnsi="Aptos Narrow"/>
          <w:sz w:val="22"/>
          <w:szCs w:val="22"/>
          <w:lang w:val="es-419"/>
        </w:rPr>
      </w:pPr>
      <w:r w:rsidRPr="00503A28">
        <w:rPr>
          <w:rFonts w:ascii="Aptos Narrow" w:hAnsi="Aptos Narrow"/>
          <w:i/>
          <w:iCs/>
          <w:color w:val="B85042"/>
          <w:sz w:val="22"/>
          <w:szCs w:val="22"/>
          <w:lang w:val="es-419"/>
        </w:rPr>
        <w:t>Caso ancla: Adopción de energía solar distribuida en Bogotá / Medellín</w:t>
      </w:r>
    </w:p>
    <w:p w14:paraId="2F4D186E" w14:textId="77777777" w:rsidR="00690B44" w:rsidRPr="00503A28" w:rsidRDefault="00690B44" w:rsidP="00690B44">
      <w:pPr>
        <w:pBdr>
          <w:bottom w:val="single" w:sz="8" w:space="6" w:color="1E2761"/>
        </w:pBdr>
        <w:spacing w:after="120"/>
        <w:rPr>
          <w:rFonts w:ascii="Aptos Narrow" w:hAnsi="Aptos Narrow"/>
          <w:sz w:val="22"/>
          <w:szCs w:val="22"/>
          <w:lang w:val="es-419"/>
        </w:rPr>
      </w:pPr>
      <w:r w:rsidRPr="00503A28">
        <w:rPr>
          <w:rFonts w:ascii="Aptos Narrow" w:hAnsi="Aptos Narrow"/>
          <w:b/>
          <w:bCs/>
          <w:color w:val="1E2761"/>
          <w:sz w:val="22"/>
          <w:szCs w:val="22"/>
          <w:lang w:val="es-419"/>
        </w:rPr>
        <w:t xml:space="preserve">Resultados de Aprendizaje verificados: </w:t>
      </w:r>
      <w:r w:rsidRPr="00503A28">
        <w:rPr>
          <w:rFonts w:ascii="Aptos Narrow" w:hAnsi="Aptos Narrow"/>
          <w:sz w:val="22"/>
          <w:szCs w:val="22"/>
          <w:lang w:val="es-419"/>
        </w:rPr>
        <w:t xml:space="preserve">RAC 2 (alto) · RAC 1, 4 (medio) · </w:t>
      </w:r>
      <w:proofErr w:type="spellStart"/>
      <w:r w:rsidRPr="00503A28">
        <w:rPr>
          <w:rFonts w:ascii="Aptos Narrow" w:hAnsi="Aptos Narrow"/>
          <w:sz w:val="22"/>
          <w:szCs w:val="22"/>
          <w:lang w:val="es-419"/>
        </w:rPr>
        <w:t>Checkpoint</w:t>
      </w:r>
      <w:proofErr w:type="spellEnd"/>
      <w:r w:rsidRPr="00503A28">
        <w:rPr>
          <w:rFonts w:ascii="Aptos Narrow" w:hAnsi="Aptos Narrow"/>
          <w:sz w:val="22"/>
          <w:szCs w:val="22"/>
          <w:lang w:val="es-419"/>
        </w:rPr>
        <w:t xml:space="preserve"> Avance </w:t>
      </w:r>
      <w:proofErr w:type="gramStart"/>
      <w:r w:rsidRPr="00503A28">
        <w:rPr>
          <w:rFonts w:ascii="Aptos Narrow" w:hAnsi="Aptos Narrow"/>
          <w:sz w:val="22"/>
          <w:szCs w:val="22"/>
          <w:lang w:val="es-419"/>
        </w:rPr>
        <w:t>1</w:t>
      </w:r>
      <w:r w:rsidRPr="00503A28">
        <w:rPr>
          <w:rFonts w:ascii="Aptos Narrow" w:hAnsi="Aptos Narrow"/>
          <w:color w:val="5C6478"/>
          <w:sz w:val="22"/>
          <w:szCs w:val="22"/>
          <w:lang w:val="es-419"/>
        </w:rPr>
        <w:t xml:space="preserve">  ·</w:t>
      </w:r>
      <w:proofErr w:type="gramEnd"/>
      <w:r w:rsidRPr="00503A28">
        <w:rPr>
          <w:rFonts w:ascii="Aptos Narrow" w:hAnsi="Aptos Narrow"/>
          <w:color w:val="5C6478"/>
          <w:sz w:val="22"/>
          <w:szCs w:val="22"/>
          <w:lang w:val="es-419"/>
        </w:rPr>
        <w:t xml:space="preserve">  </w:t>
      </w:r>
      <w:r w:rsidRPr="00503A28">
        <w:rPr>
          <w:rFonts w:ascii="Aptos Narrow" w:hAnsi="Aptos Narrow"/>
          <w:b/>
          <w:bCs/>
          <w:color w:val="1E2761"/>
          <w:sz w:val="22"/>
          <w:szCs w:val="22"/>
          <w:lang w:val="es-419"/>
        </w:rPr>
        <w:t xml:space="preserve">RA del programa: </w:t>
      </w:r>
      <w:r w:rsidRPr="00503A28">
        <w:rPr>
          <w:rFonts w:ascii="Aptos Narrow" w:hAnsi="Aptos Narrow"/>
          <w:sz w:val="22"/>
          <w:szCs w:val="22"/>
          <w:lang w:val="es-419"/>
        </w:rPr>
        <w:t>RA2.1, RA2.5, RA3.1, RA3.5</w:t>
      </w:r>
    </w:p>
    <w:p w14:paraId="3BAEF7FF" w14:textId="77777777" w:rsidR="00690B44" w:rsidRPr="00503A28" w:rsidRDefault="00690B44" w:rsidP="00690B44">
      <w:pPr>
        <w:spacing w:before="60" w:after="60" w:line="300" w:lineRule="auto"/>
        <w:jc w:val="both"/>
        <w:rPr>
          <w:rFonts w:ascii="Aptos Narrow" w:hAnsi="Aptos Narrow"/>
          <w:sz w:val="22"/>
          <w:szCs w:val="22"/>
          <w:lang w:val="es-419"/>
        </w:rPr>
      </w:pPr>
      <w:r w:rsidRPr="00503A28">
        <w:rPr>
          <w:rFonts w:ascii="Aptos Narrow" w:hAnsi="Aptos Narrow"/>
          <w:sz w:val="22"/>
          <w:szCs w:val="22"/>
          <w:lang w:val="es-419"/>
        </w:rPr>
        <w:t xml:space="preserve">Se extiende el análisis de redes en dos direcciones complementarias. Primero, al dominio dinámico: los estados de los nodos cambian en el tiempo en función de sus vecinos. Se estudian modelos canónicos de difusión y adopción (contagio simple y complejo, modelos con umbral) aplicados a la adopción de tecnologías renovables. Segundo, al dominio social e institucional: las redes modelan relaciones entre actores (reguladores, generadores, comunidades, inversionistas), flujos comerciales en el mercado eléctrico, y redes de influencia. Esta semana cierra el módulo de redes con un </w:t>
      </w:r>
      <w:proofErr w:type="spellStart"/>
      <w:r w:rsidRPr="00503A28">
        <w:rPr>
          <w:rFonts w:ascii="Aptos Narrow" w:hAnsi="Aptos Narrow"/>
          <w:sz w:val="22"/>
          <w:szCs w:val="22"/>
          <w:lang w:val="es-419"/>
        </w:rPr>
        <w:t>wrap</w:t>
      </w:r>
      <w:proofErr w:type="spellEnd"/>
      <w:r w:rsidRPr="00503A28">
        <w:rPr>
          <w:rFonts w:ascii="Aptos Narrow" w:hAnsi="Aptos Narrow"/>
          <w:sz w:val="22"/>
          <w:szCs w:val="22"/>
          <w:lang w:val="es-419"/>
        </w:rPr>
        <w:t>-up que incluye limitaciones del enfoque y fronteras del campo.</w:t>
      </w:r>
    </w:p>
    <w:p w14:paraId="2DF010CF" w14:textId="77777777" w:rsidR="00684053" w:rsidRPr="00684053" w:rsidRDefault="00684053" w:rsidP="00684053">
      <w:pPr>
        <w:spacing w:before="200" w:after="100"/>
        <w:rPr>
          <w:rFonts w:ascii="Aptos Narrow" w:hAnsi="Aptos Narrow"/>
          <w:sz w:val="22"/>
          <w:szCs w:val="22"/>
          <w:lang w:val="es-419"/>
        </w:rPr>
      </w:pPr>
      <w:r w:rsidRPr="00684053">
        <w:rPr>
          <w:rFonts w:ascii="Aptos Narrow" w:hAnsi="Aptos Narrow"/>
          <w:b/>
          <w:bCs/>
          <w:color w:val="065A82"/>
          <w:sz w:val="22"/>
          <w:szCs w:val="22"/>
          <w:lang w:val="es-419"/>
        </w:rPr>
        <w:t xml:space="preserve">Bloque Autónomo — 10 horas (secuencia Mo → Co → Pr → </w:t>
      </w:r>
      <w:proofErr w:type="spellStart"/>
      <w:r w:rsidRPr="00684053">
        <w:rPr>
          <w:rFonts w:ascii="Aptos Narrow" w:hAnsi="Aptos Narrow"/>
          <w:b/>
          <w:bCs/>
          <w:color w:val="065A82"/>
          <w:sz w:val="22"/>
          <w:szCs w:val="22"/>
          <w:lang w:val="es-419"/>
        </w:rPr>
        <w:t>Ev</w:t>
      </w:r>
      <w:proofErr w:type="spellEnd"/>
      <w:r w:rsidRPr="00684053">
        <w:rPr>
          <w:rFonts w:ascii="Aptos Narrow" w:hAnsi="Aptos Narrow"/>
          <w:b/>
          <w:bCs/>
          <w:color w:val="065A82"/>
          <w:sz w:val="22"/>
          <w:szCs w:val="22"/>
          <w:lang w:val="es-419"/>
        </w:rPr>
        <w:t xml:space="preserve"> → </w:t>
      </w:r>
      <w:proofErr w:type="spellStart"/>
      <w:r w:rsidRPr="00684053">
        <w:rPr>
          <w:rFonts w:ascii="Aptos Narrow" w:hAnsi="Aptos Narrow"/>
          <w:b/>
          <w:bCs/>
          <w:color w:val="065A82"/>
          <w:sz w:val="22"/>
          <w:szCs w:val="22"/>
          <w:lang w:val="es-419"/>
        </w:rPr>
        <w:t>Proy</w:t>
      </w:r>
      <w:proofErr w:type="spellEnd"/>
      <w:r w:rsidRPr="00684053">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C25715" w:rsidRPr="002C1903" w14:paraId="4D7CA148" w14:textId="77777777" w:rsidTr="003D38F0">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6B6B80B2" w14:textId="77777777" w:rsidR="00C25715" w:rsidRPr="002C1903" w:rsidRDefault="00C25715" w:rsidP="003D38F0">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6352DFE" w14:textId="537E42FA" w:rsidR="00C25715" w:rsidRPr="002C1903" w:rsidRDefault="00B77AC9" w:rsidP="003D38F0">
            <w:pPr>
              <w:jc w:val="center"/>
              <w:rPr>
                <w:rFonts w:ascii="Aptos Narrow" w:hAnsi="Aptos Narrow"/>
                <w:b/>
                <w:bCs/>
                <w:sz w:val="22"/>
                <w:szCs w:val="22"/>
              </w:rPr>
            </w:pPr>
            <w:proofErr w:type="spellStart"/>
            <w:r>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1323089" w14:textId="77777777" w:rsidR="00C25715" w:rsidRPr="002C1903" w:rsidRDefault="00C25715" w:rsidP="003D38F0">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r>
      <w:tr w:rsidR="00A56AB4" w:rsidRPr="00A56AB4" w14:paraId="09D29222" w14:textId="77777777" w:rsidTr="003D38F0">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414412C2" w14:textId="35CE98BB" w:rsidR="00A56AB4" w:rsidRPr="002C1903" w:rsidRDefault="00A56AB4" w:rsidP="00A56AB4">
            <w:pPr>
              <w:spacing w:after="0"/>
              <w:jc w:val="center"/>
              <w:rPr>
                <w:rFonts w:ascii="Aptos Narrow" w:hAnsi="Aptos Narrow"/>
                <w:sz w:val="20"/>
                <w:szCs w:val="20"/>
              </w:rPr>
            </w:pPr>
            <w:r>
              <w:rPr>
                <w:rFonts w:ascii="Aptos Narrow" w:hAnsi="Aptos Narrow"/>
                <w:b/>
                <w:bCs/>
                <w:color w:val="1E2761"/>
                <w:sz w:val="20"/>
                <w:szCs w:val="20"/>
              </w:rPr>
              <w:t>Mo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6B9080E1" w14:textId="37803E5F" w:rsidR="00A56AB4" w:rsidRPr="002C1903" w:rsidRDefault="00A56AB4" w:rsidP="00A56AB4">
            <w:pPr>
              <w:spacing w:after="0"/>
              <w:jc w:val="center"/>
              <w:rPr>
                <w:rFonts w:ascii="Aptos Narrow" w:hAnsi="Aptos Narrow"/>
                <w:sz w:val="20"/>
                <w:szCs w:val="20"/>
              </w:rPr>
            </w:pPr>
            <w:proofErr w:type="spellStart"/>
            <w:r>
              <w:rPr>
                <w:rFonts w:ascii="Aptos Narrow" w:hAnsi="Aptos Narrow"/>
                <w:b/>
                <w:bCs/>
                <w:color w:val="1E2761"/>
                <w:sz w:val="20"/>
                <w:szCs w:val="20"/>
              </w:rPr>
              <w:t>Motivación</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1AD20DD" w14:textId="0B70BE12" w:rsidR="00A56AB4" w:rsidRPr="00A56AB4" w:rsidRDefault="00A56AB4" w:rsidP="00A56AB4">
            <w:pPr>
              <w:spacing w:after="0"/>
              <w:jc w:val="both"/>
              <w:rPr>
                <w:rFonts w:ascii="Aptos Narrow" w:hAnsi="Aptos Narrow"/>
                <w:sz w:val="20"/>
                <w:szCs w:val="20"/>
                <w:lang w:val="es-419"/>
              </w:rPr>
            </w:pPr>
            <w:r w:rsidRPr="00A56AB4">
              <w:rPr>
                <w:rFonts w:ascii="Aptos Narrow" w:hAnsi="Aptos Narrow"/>
                <w:sz w:val="20"/>
                <w:szCs w:val="20"/>
                <w:lang w:val="es-419"/>
              </w:rPr>
              <w:t>Visualización: curva de adopción de techos solares en Colombia 2017–2024. Pregunta detonadora: si el subsidio explica solo parte, ¿qué explica el resto? Introducción al concepto de contagio social aplicado a tecnologías energéticas.</w:t>
            </w:r>
          </w:p>
        </w:tc>
      </w:tr>
    </w:tbl>
    <w:p w14:paraId="11607A62" w14:textId="77777777" w:rsidR="006A2647" w:rsidRDefault="006A2647" w:rsidP="006A2647">
      <w:pPr>
        <w:rPr>
          <w:rFonts w:ascii="Aptos Narrow" w:hAnsi="Aptos Narrow"/>
          <w:sz w:val="22"/>
          <w:szCs w:val="22"/>
          <w:lang w:val="es-419"/>
        </w:rPr>
      </w:pPr>
      <w:r>
        <w:rPr>
          <w:rFonts w:ascii="Aptos Narrow" w:hAnsi="Aptos Narrow"/>
          <w:sz w:val="22"/>
          <w:szCs w:val="22"/>
          <w:lang w:val="es-419"/>
        </w:rPr>
        <w:br w:type="page"/>
      </w:r>
    </w:p>
    <w:p w14:paraId="31A0717A" w14:textId="5EB7FF1A" w:rsidR="006A2647" w:rsidRDefault="006A2647" w:rsidP="006A2647">
      <w:pPr>
        <w:pStyle w:val="Heading2"/>
        <w:rPr>
          <w:rFonts w:ascii="Aptos Narrow" w:hAnsi="Aptos Narrow"/>
          <w:sz w:val="22"/>
          <w:szCs w:val="22"/>
          <w:lang w:val="en-US"/>
        </w:rPr>
      </w:pPr>
      <w:r w:rsidRPr="00263F53">
        <w:rPr>
          <w:rFonts w:ascii="Aptos Narrow" w:hAnsi="Aptos Narrow"/>
          <w:sz w:val="22"/>
          <w:szCs w:val="22"/>
        </w:rPr>
        <w:lastRenderedPageBreak/>
        <w:t xml:space="preserve">SCRIPT </w:t>
      </w:r>
      <w:r w:rsidRPr="00263F53">
        <w:rPr>
          <w:rFonts w:ascii="Aptos Narrow" w:hAnsi="Aptos Narrow"/>
          <w:sz w:val="22"/>
          <w:szCs w:val="22"/>
          <w:lang w:val="en-US"/>
        </w:rPr>
        <w:t>~ 5 min</w:t>
      </w:r>
    </w:p>
    <w:p w14:paraId="0214505C" w14:textId="77777777" w:rsidR="00190B63" w:rsidRPr="00190B63" w:rsidRDefault="00190B63" w:rsidP="00190B63">
      <w:pPr>
        <w:spacing w:before="280" w:after="120"/>
        <w:rPr>
          <w:rFonts w:ascii="Aptos Narrow" w:hAnsi="Aptos Narrow"/>
          <w:sz w:val="22"/>
          <w:szCs w:val="22"/>
          <w:lang w:val="es-419"/>
        </w:rPr>
      </w:pPr>
      <w:r w:rsidRPr="00190B63">
        <w:rPr>
          <w:rFonts w:ascii="Aptos Narrow" w:hAnsi="Aptos Narrow"/>
          <w:b/>
          <w:bCs/>
          <w:color w:val="1F3864"/>
          <w:sz w:val="22"/>
          <w:szCs w:val="22"/>
          <w:lang w:val="es-419"/>
        </w:rPr>
        <w:t>Segmento 1 — Gancho</w:t>
      </w:r>
    </w:p>
    <w:p w14:paraId="605B83D4"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Miren esta curva. Es el número de techos solares instalados en Colombia entre 2017 y 2024 [verificar la serie y la fuente de los datos que se muestren]. Durante los primeros años apenas se mueve, pega al piso: unos pocos pioneros, casi nada. Y en algún momento la línea empieza a doblarse hacia arriba, cada vez más rápido, hasta dispararse. No creció de forma pareja, año con año lo mismo. Estuvo dormida y de pronto despegó. Esa forma, la de una ese alargada, aparece una y otra vez cuando una tecnología nueva se abre paso en una sociedad, y detrás de ella hay una historia que este curso nos permite contar.</w:t>
      </w:r>
    </w:p>
    <w:p w14:paraId="31DD54E1" w14:textId="77777777" w:rsidR="00190B63" w:rsidRPr="00190B63" w:rsidRDefault="00190B63" w:rsidP="00190B63">
      <w:pPr>
        <w:spacing w:before="280" w:after="120"/>
        <w:rPr>
          <w:rFonts w:ascii="Aptos Narrow" w:hAnsi="Aptos Narrow"/>
          <w:sz w:val="22"/>
          <w:szCs w:val="22"/>
          <w:lang w:val="es-419"/>
        </w:rPr>
      </w:pPr>
      <w:r w:rsidRPr="00190B63">
        <w:rPr>
          <w:rFonts w:ascii="Aptos Narrow" w:hAnsi="Aptos Narrow"/>
          <w:b/>
          <w:bCs/>
          <w:color w:val="1F3864"/>
          <w:sz w:val="22"/>
          <w:szCs w:val="22"/>
          <w:lang w:val="es-419"/>
        </w:rPr>
        <w:t>Segmento 2 — La explicación fácil y su límite</w:t>
      </w:r>
    </w:p>
    <w:p w14:paraId="130E05B2"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 xml:space="preserve">La explicación más común de por qué la gente pone paneles solares es económica: bajó el precio de los paneles y hay incentivos, como los de la Ley 1715 para la autogeneración. Y es verdad, eso importa. Pero fíjense en un detalle que la explicación económica no cuadra del todo. El precio de los paneles bajó de forma más o menos gradual, y los incentivos llevaban años disponibles. Si la adopción dependiera solo del bolsillo, esperaríamos una curva que sube suave, acompañando la caída del precio. En </w:t>
      </w:r>
      <w:proofErr w:type="gramStart"/>
      <w:r w:rsidRPr="00190B63">
        <w:rPr>
          <w:rFonts w:ascii="Aptos Narrow" w:hAnsi="Aptos Narrow"/>
          <w:sz w:val="22"/>
          <w:szCs w:val="22"/>
          <w:lang w:val="es-419"/>
        </w:rPr>
        <w:t>cambio</w:t>
      </w:r>
      <w:proofErr w:type="gramEnd"/>
      <w:r w:rsidRPr="00190B63">
        <w:rPr>
          <w:rFonts w:ascii="Aptos Narrow" w:hAnsi="Aptos Narrow"/>
          <w:sz w:val="22"/>
          <w:szCs w:val="22"/>
          <w:lang w:val="es-419"/>
        </w:rPr>
        <w:t xml:space="preserve"> vemos una curva que estuvo casi plana y de repente estalló. Algo más, además del subsidio, tuvo que empujar ese despegue.</w:t>
      </w:r>
    </w:p>
    <w:p w14:paraId="1BFD3BDB"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Y aquí es donde quiero sembrar la pregunta de la semana. ¿Qué pasa cuando su vecino instala paneles? Usted lo ve. Le pregunta cuánto le costó, si de verdad le bajó la factura, si fue complicado. Ve que funciona, en un techo igual al suyo, en un barrio como el suyo. De repente esa tecnología que parecía cosa de expertos se vuelve cercana, probada, normal. La decisión de adoptar no la toma cada persona aislada mirando solo una hoja de cálculo: la toma inmersa en una red social, mirando lo que hacen los que tiene alrededor.</w:t>
      </w:r>
    </w:p>
    <w:p w14:paraId="5CEE1141" w14:textId="77777777" w:rsidR="00190B63" w:rsidRPr="00190B63" w:rsidRDefault="00190B63" w:rsidP="00190B63">
      <w:pPr>
        <w:spacing w:before="280" w:after="120"/>
        <w:rPr>
          <w:rFonts w:ascii="Aptos Narrow" w:hAnsi="Aptos Narrow"/>
          <w:sz w:val="22"/>
          <w:szCs w:val="22"/>
          <w:lang w:val="es-419"/>
        </w:rPr>
      </w:pPr>
      <w:r w:rsidRPr="00190B63">
        <w:rPr>
          <w:rFonts w:ascii="Aptos Narrow" w:hAnsi="Aptos Narrow"/>
          <w:b/>
          <w:bCs/>
          <w:color w:val="1F3864"/>
          <w:sz w:val="22"/>
          <w:szCs w:val="22"/>
          <w:lang w:val="es-419"/>
        </w:rPr>
        <w:t>Segmento 3 — De la red estática a la red viva</w:t>
      </w:r>
    </w:p>
    <w:p w14:paraId="3418DC81"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Y esto conecta directamente con el módulo que venimos trabajando. La semana pasada aprendimos a ver el sistema eléctrico como una red y a medir su estructura. Pero tratamos esa red como algo fijo, un mapa de conexiones que no cambia. Esta semana la red cobra vida. Los nodos, que antes eran subestaciones quietas, ahora son personas, hogares, empresas que tienen un estado, adoptó o no adoptó, y que cambian ese estado en el tiempo según lo que hacen sus vecinos. Vamos a estudiar cómo se propaga algo por una red: una tecnología, una idea, un comportamiento. Y vamos a descubrir que no todo se contagia igual, y que la estructura de la red decide si algo se difunde por todo el sistema o se apaga antes de arrancar.</w:t>
      </w:r>
    </w:p>
    <w:p w14:paraId="38D01E4D"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Ese mismo lente, el de la difusión sobre redes, nos servirá para algo más que los techos solares. También vamos a mirar a los actores del sector eléctrico, los generadores, los comercializadores, los reguladores, las comunidades, como una red de relaciones e influencias, y a ver el mercado mayorista colombiano como un grafo. Porque la energía no solo fluye por cables: fluye por contratos, por decisiones y por relaciones de poder, y todo eso también tiene una estructura de red que podemos analizar.</w:t>
      </w:r>
    </w:p>
    <w:p w14:paraId="232736DB" w14:textId="77777777" w:rsidR="00190B63" w:rsidRPr="00190B63" w:rsidRDefault="00190B63" w:rsidP="00190B63">
      <w:pPr>
        <w:spacing w:before="280" w:after="120"/>
        <w:rPr>
          <w:rFonts w:ascii="Aptos Narrow" w:hAnsi="Aptos Narrow"/>
          <w:sz w:val="22"/>
          <w:szCs w:val="22"/>
          <w:lang w:val="es-419"/>
        </w:rPr>
      </w:pPr>
      <w:r w:rsidRPr="00190B63">
        <w:rPr>
          <w:rFonts w:ascii="Aptos Narrow" w:hAnsi="Aptos Narrow"/>
          <w:b/>
          <w:bCs/>
          <w:color w:val="1F3864"/>
          <w:sz w:val="22"/>
          <w:szCs w:val="22"/>
          <w:lang w:val="es-419"/>
        </w:rPr>
        <w:lastRenderedPageBreak/>
        <w:t>Segmento 4 — Pregunta orientadora y cierre</w:t>
      </w:r>
    </w:p>
    <w:p w14:paraId="327042F4"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Así que esta es la pregunta que quiero que lleven al foro y que tengan presente toda la semana. Si la adopción de energía solar en Bogotá y Medellín depende no solo del precio, sino de un contagio social entre vecinos, ¿qué palanca la aceleraría más: un incentivo económico todavía mayor, o una intervención sobre la estructura social por la que se difunde? Escriban su hipótesis inicial con sus propias palabras. Al final de la semana la van a poder responder con modelos, no con intuición.</w:t>
      </w:r>
    </w:p>
    <w:p w14:paraId="17C56ADA" w14:textId="77777777" w:rsidR="00190B63" w:rsidRPr="00190B63" w:rsidRDefault="00190B63" w:rsidP="00190B63">
      <w:pPr>
        <w:spacing w:line="300" w:lineRule="auto"/>
        <w:jc w:val="both"/>
        <w:rPr>
          <w:rFonts w:ascii="Aptos Narrow" w:hAnsi="Aptos Narrow"/>
          <w:sz w:val="22"/>
          <w:szCs w:val="22"/>
          <w:lang w:val="es-419"/>
        </w:rPr>
      </w:pPr>
      <w:r w:rsidRPr="00190B63">
        <w:rPr>
          <w:rFonts w:ascii="Aptos Narrow" w:hAnsi="Aptos Narrow"/>
          <w:sz w:val="22"/>
          <w:szCs w:val="22"/>
          <w:lang w:val="es-419"/>
        </w:rPr>
        <w:t>En las próximas lecciones vamos a darle nombre y estructura a esta intuición del contagio: veremos por qué unas cosas se difunden como un chisme y otras necesitan que varios vecinos las confirmen, estudiaremos los modelos de umbral que explican los despegues súbitos, y extenderemos las redes al mundo de los actores del mercado eléctrico. Empecemos a ver las redes como sistemas vivos.</w:t>
      </w:r>
    </w:p>
    <w:p w14:paraId="0BA0E95E" w14:textId="77777777" w:rsidR="00190B63" w:rsidRPr="00190B63" w:rsidRDefault="00190B63" w:rsidP="00190B63">
      <w:pPr>
        <w:pBdr>
          <w:top w:val="single" w:sz="6" w:space="6" w:color="CCCCCC"/>
        </w:pBdr>
        <w:spacing w:before="280" w:after="120"/>
        <w:rPr>
          <w:rFonts w:ascii="Aptos Narrow" w:hAnsi="Aptos Narrow"/>
          <w:sz w:val="22"/>
          <w:szCs w:val="22"/>
          <w:lang w:val="es-419"/>
        </w:rPr>
      </w:pPr>
      <w:r w:rsidRPr="00190B63">
        <w:rPr>
          <w:rFonts w:ascii="Aptos Narrow" w:hAnsi="Aptos Narrow"/>
          <w:b/>
          <w:bCs/>
          <w:color w:val="9C6500"/>
          <w:sz w:val="22"/>
          <w:szCs w:val="22"/>
          <w:lang w:val="es-419"/>
        </w:rPr>
        <w:t>Datos por verificar antes de grabar</w:t>
      </w:r>
    </w:p>
    <w:p w14:paraId="37256928" w14:textId="4943C9B9" w:rsidR="00190B63" w:rsidRPr="00190B63" w:rsidRDefault="00190B63" w:rsidP="00190B63">
      <w:pPr>
        <w:spacing w:after="120"/>
        <w:rPr>
          <w:rFonts w:ascii="Aptos Narrow" w:hAnsi="Aptos Narrow"/>
          <w:sz w:val="22"/>
          <w:szCs w:val="22"/>
          <w:lang w:val="es-419"/>
        </w:rPr>
      </w:pPr>
      <w:r w:rsidRPr="00190B63">
        <w:rPr>
          <w:rFonts w:ascii="Aptos Narrow" w:hAnsi="Aptos Narrow"/>
          <w:i/>
          <w:iCs/>
          <w:color w:val="555555"/>
          <w:sz w:val="22"/>
          <w:szCs w:val="22"/>
          <w:lang w:val="es-419"/>
        </w:rPr>
        <w:t>Confirmar la serie y la fuente de la curva de adopción de solar distribuida / techos solares en Colombia 2017–2024 que se muestre en pantalla (p. ej. registros de autogeneración y generación distribuida; UPME/XM/CREG). El guion no afirma cifras: describe la forma cualitativa de la curva (</w:t>
      </w:r>
      <w:r w:rsidR="00EB4998" w:rsidRPr="00190B63">
        <w:rPr>
          <w:rFonts w:ascii="Aptos Narrow" w:hAnsi="Aptos Narrow"/>
          <w:i/>
          <w:iCs/>
          <w:color w:val="555555"/>
          <w:sz w:val="22"/>
          <w:szCs w:val="22"/>
          <w:lang w:val="es-419"/>
        </w:rPr>
        <w:t>esa alargada</w:t>
      </w:r>
      <w:r w:rsidRPr="00190B63">
        <w:rPr>
          <w:rFonts w:ascii="Aptos Narrow" w:hAnsi="Aptos Narrow"/>
          <w:i/>
          <w:iCs/>
          <w:color w:val="555555"/>
          <w:sz w:val="22"/>
          <w:szCs w:val="22"/>
          <w:lang w:val="es-419"/>
        </w:rPr>
        <w:t>). La referencia a la Ley 1715 se usa solo como marco de incentivos; verificar vigencia y alcance frente a normas posteriores. La distinción contagio simple vs. complejo y los modelos de umbral se formalizan en las lecciones 3.1–3.2.</w:t>
      </w:r>
    </w:p>
    <w:p w14:paraId="106CCAB0" w14:textId="5B811520" w:rsidR="00653F28" w:rsidRPr="00190B63" w:rsidRDefault="00653F28" w:rsidP="006A2647">
      <w:pPr>
        <w:pStyle w:val="Heading2"/>
        <w:rPr>
          <w:rFonts w:ascii="Aptos Narrow" w:hAnsi="Aptos Narrow"/>
          <w:b w:val="0"/>
          <w:bCs w:val="0"/>
          <w:color w:val="auto"/>
          <w:sz w:val="22"/>
          <w:szCs w:val="22"/>
          <w:lang w:val="es-419"/>
        </w:rPr>
      </w:pPr>
    </w:p>
    <w:sectPr w:rsidR="00653F28" w:rsidRPr="00190B6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3BE4" w14:textId="77777777" w:rsidR="00A82BB6" w:rsidRDefault="00A82BB6" w:rsidP="00DC6E4E">
      <w:pPr>
        <w:spacing w:after="0" w:line="240" w:lineRule="auto"/>
      </w:pPr>
      <w:r>
        <w:separator/>
      </w:r>
    </w:p>
  </w:endnote>
  <w:endnote w:type="continuationSeparator" w:id="0">
    <w:p w14:paraId="75C691E1" w14:textId="77777777" w:rsidR="00A82BB6" w:rsidRDefault="00A82BB6"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75874" w14:textId="77777777" w:rsidR="00A82BB6" w:rsidRDefault="00A82BB6" w:rsidP="00DC6E4E">
      <w:pPr>
        <w:spacing w:after="0" w:line="240" w:lineRule="auto"/>
      </w:pPr>
      <w:r>
        <w:separator/>
      </w:r>
    </w:p>
  </w:footnote>
  <w:footnote w:type="continuationSeparator" w:id="0">
    <w:p w14:paraId="175EDBE1" w14:textId="77777777" w:rsidR="00A82BB6" w:rsidRDefault="00A82BB6"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30204"/>
    <w:rsid w:val="00063BF6"/>
    <w:rsid w:val="0007105B"/>
    <w:rsid w:val="00080A5D"/>
    <w:rsid w:val="000C147F"/>
    <w:rsid w:val="000D061B"/>
    <w:rsid w:val="00190B63"/>
    <w:rsid w:val="001928AB"/>
    <w:rsid w:val="001D4C6D"/>
    <w:rsid w:val="002338A3"/>
    <w:rsid w:val="00263F53"/>
    <w:rsid w:val="002B0F3E"/>
    <w:rsid w:val="002B2F6D"/>
    <w:rsid w:val="002B54E7"/>
    <w:rsid w:val="002C1903"/>
    <w:rsid w:val="002D2D04"/>
    <w:rsid w:val="002D3CE9"/>
    <w:rsid w:val="002E43EE"/>
    <w:rsid w:val="003C4859"/>
    <w:rsid w:val="003E57AD"/>
    <w:rsid w:val="00406455"/>
    <w:rsid w:val="00416939"/>
    <w:rsid w:val="00442043"/>
    <w:rsid w:val="0045781F"/>
    <w:rsid w:val="00477C9E"/>
    <w:rsid w:val="004D07B2"/>
    <w:rsid w:val="00566DB3"/>
    <w:rsid w:val="005950CD"/>
    <w:rsid w:val="005C61BF"/>
    <w:rsid w:val="005C6777"/>
    <w:rsid w:val="006006AF"/>
    <w:rsid w:val="00636DF5"/>
    <w:rsid w:val="00653F28"/>
    <w:rsid w:val="00684053"/>
    <w:rsid w:val="00690B44"/>
    <w:rsid w:val="006A2647"/>
    <w:rsid w:val="006A403D"/>
    <w:rsid w:val="006B3AAC"/>
    <w:rsid w:val="0073061D"/>
    <w:rsid w:val="007722A8"/>
    <w:rsid w:val="00774065"/>
    <w:rsid w:val="007D3681"/>
    <w:rsid w:val="007D5182"/>
    <w:rsid w:val="007E46B6"/>
    <w:rsid w:val="00812C9A"/>
    <w:rsid w:val="00814EC7"/>
    <w:rsid w:val="0082442A"/>
    <w:rsid w:val="00824BC0"/>
    <w:rsid w:val="00845267"/>
    <w:rsid w:val="008641BD"/>
    <w:rsid w:val="008E2E48"/>
    <w:rsid w:val="009222D0"/>
    <w:rsid w:val="0094593B"/>
    <w:rsid w:val="009572D0"/>
    <w:rsid w:val="00961FA9"/>
    <w:rsid w:val="009668D6"/>
    <w:rsid w:val="009B6C32"/>
    <w:rsid w:val="00A56AB4"/>
    <w:rsid w:val="00A64527"/>
    <w:rsid w:val="00A67E34"/>
    <w:rsid w:val="00A82BB6"/>
    <w:rsid w:val="00A96C6A"/>
    <w:rsid w:val="00AB3AE4"/>
    <w:rsid w:val="00AB7F9E"/>
    <w:rsid w:val="00B17459"/>
    <w:rsid w:val="00B77AC9"/>
    <w:rsid w:val="00BB53F1"/>
    <w:rsid w:val="00BC56C4"/>
    <w:rsid w:val="00C04E34"/>
    <w:rsid w:val="00C25715"/>
    <w:rsid w:val="00C74969"/>
    <w:rsid w:val="00CA7B83"/>
    <w:rsid w:val="00CC1613"/>
    <w:rsid w:val="00CF7A5D"/>
    <w:rsid w:val="00D13B8D"/>
    <w:rsid w:val="00D45F58"/>
    <w:rsid w:val="00D64E13"/>
    <w:rsid w:val="00D752A9"/>
    <w:rsid w:val="00DC52DD"/>
    <w:rsid w:val="00DC6E4E"/>
    <w:rsid w:val="00DD0613"/>
    <w:rsid w:val="00E20D7E"/>
    <w:rsid w:val="00E27FCE"/>
    <w:rsid w:val="00E315C7"/>
    <w:rsid w:val="00E325F2"/>
    <w:rsid w:val="00E54F8F"/>
    <w:rsid w:val="00EA748F"/>
    <w:rsid w:val="00EB4998"/>
    <w:rsid w:val="00EB7720"/>
    <w:rsid w:val="00F07D53"/>
    <w:rsid w:val="00F2295E"/>
    <w:rsid w:val="00F34652"/>
    <w:rsid w:val="00F86456"/>
    <w:rsid w:val="00F87ED4"/>
    <w:rsid w:val="00FB5012"/>
    <w:rsid w:val="00FD13F6"/>
    <w:rsid w:val="00FE554A"/>
    <w:rsid w:val="2AA860A7"/>
    <w:rsid w:val="3DC34E97"/>
    <w:rsid w:val="407DCF26"/>
    <w:rsid w:val="6E466B20"/>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24</cp:revision>
  <cp:lastPrinted>2026-05-29T16:52:00Z</cp:lastPrinted>
  <dcterms:created xsi:type="dcterms:W3CDTF">2026-07-08T00:06:00Z</dcterms:created>
  <dcterms:modified xsi:type="dcterms:W3CDTF">2026-07-11T01:30:00Z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