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DB274C" w:rsidRDefault="00E325F2" w:rsidP="00214F5F">
      <w:pPr>
        <w:pStyle w:val="Heading1"/>
        <w:jc w:val="center"/>
        <w:rPr>
          <w:rFonts w:ascii="Aptos Narrow" w:hAnsi="Aptos Narrow"/>
          <w:b/>
          <w:bCs/>
          <w:lang w:val="es-419"/>
        </w:rPr>
      </w:pPr>
      <w:bookmarkStart w:id="0" w:name="_Toc228135348"/>
      <w:r w:rsidRPr="00DB274C">
        <w:rPr>
          <w:rFonts w:ascii="Aptos Narrow" w:hAnsi="Aptos Narrow"/>
          <w:b/>
          <w:bCs/>
          <w:lang w:val="es-419"/>
        </w:rPr>
        <w:t>SCRIPT</w:t>
      </w:r>
      <w:r w:rsidR="00CA7B83" w:rsidRPr="00DB274C">
        <w:rPr>
          <w:rFonts w:ascii="Aptos Narrow" w:hAnsi="Aptos Narrow"/>
          <w:b/>
          <w:bCs/>
          <w:lang w:val="es-419"/>
        </w:rPr>
        <w:t xml:space="preserve"> SUGERIDO</w:t>
      </w:r>
      <w:bookmarkEnd w:id="0"/>
    </w:p>
    <w:p w14:paraId="4E953FA4" w14:textId="77777777" w:rsidR="00FD309D" w:rsidRPr="00DB274C" w:rsidRDefault="00FD309D" w:rsidP="00FD309D">
      <w:pPr>
        <w:pStyle w:val="Heading2"/>
        <w:rPr>
          <w:rFonts w:ascii="Aptos Narrow" w:hAnsi="Aptos Narrow"/>
          <w:sz w:val="22"/>
          <w:szCs w:val="22"/>
        </w:rPr>
      </w:pPr>
      <w:bookmarkStart w:id="1" w:name="_Toc228135349"/>
      <w:r w:rsidRPr="00DB274C">
        <w:rPr>
          <w:rFonts w:ascii="Aptos Narrow" w:hAnsi="Aptos Narrow"/>
          <w:sz w:val="22"/>
          <w:szCs w:val="22"/>
        </w:rPr>
        <w:t xml:space="preserve">SEMANA 4: </w:t>
      </w:r>
      <w:bookmarkEnd w:id="1"/>
      <w:r w:rsidRPr="00DB274C">
        <w:rPr>
          <w:rFonts w:ascii="Aptos Narrow" w:hAnsi="Aptos Narrow"/>
          <w:sz w:val="22"/>
          <w:szCs w:val="22"/>
        </w:rPr>
        <w:t>Dinámica de Sistemas I — Pensamiento Sistémico, Stocks y Flujos</w:t>
      </w:r>
    </w:p>
    <w:p w14:paraId="4EB75536" w14:textId="77777777" w:rsidR="00FD309D" w:rsidRPr="00DB274C" w:rsidRDefault="00FD309D" w:rsidP="00FD309D">
      <w:pPr>
        <w:spacing w:after="80"/>
        <w:rPr>
          <w:rFonts w:ascii="Aptos Narrow" w:hAnsi="Aptos Narrow"/>
          <w:sz w:val="22"/>
          <w:szCs w:val="22"/>
          <w:lang w:val="es-419"/>
        </w:rPr>
      </w:pPr>
      <w:r w:rsidRPr="00DB274C">
        <w:rPr>
          <w:rFonts w:ascii="Aptos Narrow" w:hAnsi="Aptos Narrow"/>
          <w:i/>
          <w:iCs/>
          <w:color w:val="B85042"/>
          <w:sz w:val="22"/>
          <w:szCs w:val="22"/>
          <w:lang w:val="es-419"/>
        </w:rPr>
        <w:t>Caso ancla: El ciclo de inversión-capacidad en generación eléctrica colombiana</w:t>
      </w:r>
    </w:p>
    <w:p w14:paraId="6A4CE244" w14:textId="77777777" w:rsidR="00FD309D" w:rsidRPr="00DB274C" w:rsidRDefault="00FD309D" w:rsidP="00FD309D">
      <w:pPr>
        <w:pBdr>
          <w:bottom w:val="single" w:sz="8" w:space="6" w:color="1E2761"/>
        </w:pBdr>
        <w:spacing w:after="120"/>
        <w:rPr>
          <w:rFonts w:ascii="Aptos Narrow" w:hAnsi="Aptos Narrow"/>
          <w:sz w:val="22"/>
          <w:szCs w:val="22"/>
          <w:lang w:val="es-419"/>
        </w:rPr>
      </w:pPr>
      <w:r w:rsidRPr="00DB274C">
        <w:rPr>
          <w:rFonts w:ascii="Aptos Narrow" w:hAnsi="Aptos Narrow"/>
          <w:b/>
          <w:bCs/>
          <w:color w:val="1E2761"/>
          <w:sz w:val="22"/>
          <w:szCs w:val="22"/>
          <w:lang w:val="es-419"/>
        </w:rPr>
        <w:t xml:space="preserve">Resultados de Aprendizaje verificados: </w:t>
      </w:r>
      <w:r w:rsidRPr="00DB274C">
        <w:rPr>
          <w:rFonts w:ascii="Aptos Narrow" w:hAnsi="Aptos Narrow"/>
          <w:sz w:val="22"/>
          <w:szCs w:val="22"/>
          <w:lang w:val="es-419"/>
        </w:rPr>
        <w:t>RAC 3 (alto) · RAC 1 (</w:t>
      </w:r>
      <w:proofErr w:type="gramStart"/>
      <w:r w:rsidRPr="00DB274C">
        <w:rPr>
          <w:rFonts w:ascii="Aptos Narrow" w:hAnsi="Aptos Narrow"/>
          <w:sz w:val="22"/>
          <w:szCs w:val="22"/>
          <w:lang w:val="es-419"/>
        </w:rPr>
        <w:t>medio)</w:t>
      </w:r>
      <w:r w:rsidRPr="00DB274C">
        <w:rPr>
          <w:rFonts w:ascii="Aptos Narrow" w:hAnsi="Aptos Narrow"/>
          <w:color w:val="5C6478"/>
          <w:sz w:val="22"/>
          <w:szCs w:val="22"/>
          <w:lang w:val="es-419"/>
        </w:rPr>
        <w:t xml:space="preserve">  ·</w:t>
      </w:r>
      <w:proofErr w:type="gramEnd"/>
      <w:r w:rsidRPr="00DB274C">
        <w:rPr>
          <w:rFonts w:ascii="Aptos Narrow" w:hAnsi="Aptos Narrow"/>
          <w:color w:val="5C6478"/>
          <w:sz w:val="22"/>
          <w:szCs w:val="22"/>
          <w:lang w:val="es-419"/>
        </w:rPr>
        <w:t xml:space="preserve">  </w:t>
      </w:r>
      <w:r w:rsidRPr="00DB274C">
        <w:rPr>
          <w:rFonts w:ascii="Aptos Narrow" w:hAnsi="Aptos Narrow"/>
          <w:b/>
          <w:bCs/>
          <w:color w:val="1E2761"/>
          <w:sz w:val="22"/>
          <w:szCs w:val="22"/>
          <w:lang w:val="es-419"/>
        </w:rPr>
        <w:t xml:space="preserve">RA del programa: </w:t>
      </w:r>
      <w:r w:rsidRPr="00DB274C">
        <w:rPr>
          <w:rFonts w:ascii="Aptos Narrow" w:hAnsi="Aptos Narrow"/>
          <w:sz w:val="22"/>
          <w:szCs w:val="22"/>
          <w:lang w:val="es-419"/>
        </w:rPr>
        <w:t>RA1.2, RA1.3, RA3.2</w:t>
      </w:r>
    </w:p>
    <w:p w14:paraId="229128E4" w14:textId="77777777" w:rsidR="00FD309D" w:rsidRPr="00DB274C" w:rsidRDefault="00FD309D" w:rsidP="00FD309D">
      <w:pPr>
        <w:spacing w:before="60" w:after="60" w:line="300" w:lineRule="auto"/>
        <w:jc w:val="both"/>
        <w:rPr>
          <w:rFonts w:ascii="Aptos Narrow" w:hAnsi="Aptos Narrow"/>
          <w:sz w:val="22"/>
          <w:szCs w:val="22"/>
          <w:lang w:val="es-419"/>
        </w:rPr>
      </w:pPr>
      <w:r w:rsidRPr="00DB274C">
        <w:rPr>
          <w:rFonts w:ascii="Aptos Narrow" w:hAnsi="Aptos Narrow"/>
          <w:sz w:val="22"/>
          <w:szCs w:val="22"/>
          <w:lang w:val="es-419"/>
        </w:rPr>
        <w:t xml:space="preserve">Se introduce la dinámica de sistemas como extensión cuantitativa del pensamiento sistémico. El estudiante aprende la distinción fundamental entre stocks (acumuladores) y flujos (tasas), construye sus primeros modelos </w:t>
      </w:r>
      <w:proofErr w:type="spellStart"/>
      <w:r w:rsidRPr="00DB274C">
        <w:rPr>
          <w:rFonts w:ascii="Aptos Narrow" w:hAnsi="Aptos Narrow"/>
          <w:sz w:val="22"/>
          <w:szCs w:val="22"/>
          <w:lang w:val="es-419"/>
        </w:rPr>
        <w:t>simulables</w:t>
      </w:r>
      <w:proofErr w:type="spellEnd"/>
      <w:r w:rsidRPr="00DB274C">
        <w:rPr>
          <w:rFonts w:ascii="Aptos Narrow" w:hAnsi="Aptos Narrow"/>
          <w:sz w:val="22"/>
          <w:szCs w:val="22"/>
          <w:lang w:val="es-419"/>
        </w:rPr>
        <w:t xml:space="preserve"> en Python (utilizando </w:t>
      </w:r>
      <w:proofErr w:type="spellStart"/>
      <w:proofErr w:type="gramStart"/>
      <w:r w:rsidRPr="00DB274C">
        <w:rPr>
          <w:rFonts w:ascii="Aptos Narrow" w:hAnsi="Aptos Narrow"/>
          <w:sz w:val="22"/>
          <w:szCs w:val="22"/>
          <w:lang w:val="es-419"/>
        </w:rPr>
        <w:t>scipy.integrate</w:t>
      </w:r>
      <w:proofErr w:type="spellEnd"/>
      <w:proofErr w:type="gramEnd"/>
      <w:r w:rsidRPr="00DB274C">
        <w:rPr>
          <w:rFonts w:ascii="Aptos Narrow" w:hAnsi="Aptos Narrow"/>
          <w:sz w:val="22"/>
          <w:szCs w:val="22"/>
          <w:lang w:val="es-419"/>
        </w:rPr>
        <w:t xml:space="preserve"> y los módulos propios del curso), y practica la notación formal de diagramas de stocks y flujos. El caso del ciclo inversión-capacidad en generación eléctrica —la dinámica que explica por qué el sector oscila entre sobreinversión y escasez— se modela con datos históricos del SIN.</w:t>
      </w:r>
    </w:p>
    <w:p w14:paraId="3DA5A7DB" w14:textId="5D26B2F0" w:rsidR="004A2836" w:rsidRPr="00DB274C" w:rsidRDefault="00684053" w:rsidP="00724EB6">
      <w:pPr>
        <w:spacing w:before="200" w:after="100"/>
        <w:rPr>
          <w:rFonts w:ascii="Aptos Narrow" w:hAnsi="Aptos Narrow"/>
          <w:b/>
          <w:bCs/>
          <w:color w:val="065A82"/>
          <w:sz w:val="22"/>
          <w:szCs w:val="22"/>
          <w:lang w:val="es-419"/>
        </w:rPr>
      </w:pPr>
      <w:r w:rsidRPr="00DB274C">
        <w:rPr>
          <w:rFonts w:ascii="Aptos Narrow" w:hAnsi="Aptos Narrow"/>
          <w:b/>
          <w:bCs/>
          <w:color w:val="065A82"/>
          <w:sz w:val="22"/>
          <w:szCs w:val="22"/>
          <w:lang w:val="es-419"/>
        </w:rPr>
        <w:t xml:space="preserve">Bloque Autónomo — 10 horas (secuencia Mo → Co → Pr → </w:t>
      </w:r>
      <w:proofErr w:type="spellStart"/>
      <w:r w:rsidRPr="00DB274C">
        <w:rPr>
          <w:rFonts w:ascii="Aptos Narrow" w:hAnsi="Aptos Narrow"/>
          <w:b/>
          <w:bCs/>
          <w:color w:val="065A82"/>
          <w:sz w:val="22"/>
          <w:szCs w:val="22"/>
          <w:lang w:val="es-419"/>
        </w:rPr>
        <w:t>Ev</w:t>
      </w:r>
      <w:proofErr w:type="spellEnd"/>
      <w:r w:rsidRPr="00DB274C">
        <w:rPr>
          <w:rFonts w:ascii="Aptos Narrow" w:hAnsi="Aptos Narrow"/>
          <w:b/>
          <w:bCs/>
          <w:color w:val="065A82"/>
          <w:sz w:val="22"/>
          <w:szCs w:val="22"/>
          <w:lang w:val="es-419"/>
        </w:rPr>
        <w:t xml:space="preserve"> → </w:t>
      </w:r>
      <w:proofErr w:type="spellStart"/>
      <w:r w:rsidRPr="00DB274C">
        <w:rPr>
          <w:rFonts w:ascii="Aptos Narrow" w:hAnsi="Aptos Narrow"/>
          <w:b/>
          <w:bCs/>
          <w:color w:val="065A82"/>
          <w:sz w:val="22"/>
          <w:szCs w:val="22"/>
          <w:lang w:val="es-419"/>
        </w:rPr>
        <w:t>Proy</w:t>
      </w:r>
      <w:proofErr w:type="spellEnd"/>
      <w:r w:rsidRPr="00DB274C">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DB274C" w14:paraId="74BA0B68" w14:textId="77777777" w:rsidTr="592C80BC">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DB274C" w:rsidRDefault="00724EB6" w:rsidP="00724EB6">
            <w:pPr>
              <w:jc w:val="center"/>
              <w:rPr>
                <w:rFonts w:ascii="Aptos Narrow" w:hAnsi="Aptos Narrow"/>
                <w:sz w:val="22"/>
                <w:szCs w:val="22"/>
              </w:rPr>
            </w:pPr>
            <w:proofErr w:type="spellStart"/>
            <w:r w:rsidRPr="00DB274C">
              <w:rPr>
                <w:rFonts w:ascii="Aptos Narrow" w:hAnsi="Aptos Narrow"/>
                <w:b/>
                <w:bCs/>
                <w:color w:val="FFFFFF"/>
                <w:sz w:val="22"/>
                <w:szCs w:val="22"/>
              </w:rPr>
              <w:t>Cód</w:t>
            </w:r>
            <w:proofErr w:type="spellEnd"/>
            <w:r w:rsidRPr="00DB274C">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DB274C" w:rsidRDefault="00724EB6" w:rsidP="00724EB6">
            <w:pPr>
              <w:jc w:val="center"/>
              <w:rPr>
                <w:rFonts w:ascii="Aptos Narrow" w:hAnsi="Aptos Narrow"/>
                <w:b/>
                <w:bCs/>
                <w:sz w:val="22"/>
                <w:szCs w:val="22"/>
              </w:rPr>
            </w:pPr>
            <w:proofErr w:type="spellStart"/>
            <w:r w:rsidRPr="00DB274C">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DB274C" w:rsidRDefault="00724EB6" w:rsidP="00724EB6">
            <w:pPr>
              <w:jc w:val="center"/>
              <w:rPr>
                <w:rFonts w:ascii="Aptos Narrow" w:hAnsi="Aptos Narrow"/>
                <w:sz w:val="22"/>
                <w:szCs w:val="22"/>
                <w:lang w:val="es-419"/>
              </w:rPr>
            </w:pPr>
            <w:r w:rsidRPr="00DB274C">
              <w:rPr>
                <w:rFonts w:ascii="Aptos Narrow" w:hAnsi="Aptos Narrow"/>
                <w:b/>
                <w:bCs/>
                <w:color w:val="FFFFFF"/>
                <w:sz w:val="22"/>
                <w:szCs w:val="22"/>
                <w:lang w:val="es-419"/>
              </w:rPr>
              <w:t>Descripción</w:t>
            </w:r>
          </w:p>
        </w:tc>
      </w:tr>
      <w:tr w:rsidR="004F6622" w:rsidRPr="00DB274C" w14:paraId="48B2D932" w14:textId="77777777" w:rsidTr="592C80BC">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4F6622" w:rsidRPr="00DB274C" w:rsidRDefault="004F6622" w:rsidP="004F6622">
            <w:pPr>
              <w:spacing w:after="0"/>
              <w:jc w:val="center"/>
              <w:rPr>
                <w:rFonts w:ascii="Aptos Narrow" w:hAnsi="Aptos Narrow"/>
                <w:sz w:val="20"/>
                <w:szCs w:val="20"/>
              </w:rPr>
            </w:pPr>
            <w:proofErr w:type="spellStart"/>
            <w:r w:rsidRPr="00DB274C">
              <w:rPr>
                <w:rFonts w:ascii="Aptos Narrow" w:hAnsi="Aptos Narrow"/>
                <w:b/>
                <w:bCs/>
                <w:color w:val="1E2761"/>
                <w:sz w:val="20"/>
                <w:szCs w:val="20"/>
              </w:rPr>
              <w:t>Contenidos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2AD857F3" w14:textId="6CBEE2C9" w:rsidR="004F6622" w:rsidRPr="00DB274C" w:rsidRDefault="004F6622" w:rsidP="004F6622">
            <w:pPr>
              <w:spacing w:after="0"/>
              <w:jc w:val="both"/>
              <w:rPr>
                <w:rFonts w:ascii="Aptos Narrow" w:eastAsia="Aptos Narrow" w:hAnsi="Aptos Narrow" w:cs="Aptos Narrow"/>
                <w:sz w:val="20"/>
                <w:szCs w:val="20"/>
                <w:lang w:val="es-419"/>
              </w:rPr>
            </w:pPr>
            <w:r w:rsidRPr="00DB274C">
              <w:rPr>
                <w:rFonts w:ascii="Aptos Narrow" w:hAnsi="Aptos Narrow"/>
                <w:sz w:val="20"/>
                <w:szCs w:val="20"/>
                <w:lang w:val="es-419"/>
              </w:rPr>
              <w:t xml:space="preserve">Video-lecciones 4.1–4.4 (60 min): del CLD al modelo cuantitativo (la </w:t>
            </w:r>
            <w:proofErr w:type="spellStart"/>
            <w:r w:rsidRPr="00DB274C">
              <w:rPr>
                <w:rFonts w:ascii="Aptos Narrow" w:hAnsi="Aptos Narrow"/>
                <w:sz w:val="20"/>
                <w:szCs w:val="20"/>
                <w:lang w:val="es-419"/>
              </w:rPr>
              <w:t>bathtub</w:t>
            </w:r>
            <w:proofErr w:type="spellEnd"/>
            <w:r w:rsidRPr="00DB274C">
              <w:rPr>
                <w:rFonts w:ascii="Aptos Narrow" w:hAnsi="Aptos Narrow"/>
                <w:sz w:val="20"/>
                <w:szCs w:val="20"/>
                <w:lang w:val="es-419"/>
              </w:rPr>
              <w:t xml:space="preserve"> </w:t>
            </w:r>
            <w:proofErr w:type="spellStart"/>
            <w:r w:rsidRPr="00DB274C">
              <w:rPr>
                <w:rFonts w:ascii="Aptos Narrow" w:hAnsi="Aptos Narrow"/>
                <w:sz w:val="20"/>
                <w:szCs w:val="20"/>
                <w:lang w:val="es-419"/>
              </w:rPr>
              <w:t>metaphor</w:t>
            </w:r>
            <w:proofErr w:type="spellEnd"/>
            <w:r w:rsidRPr="00DB274C">
              <w:rPr>
                <w:rFonts w:ascii="Aptos Narrow" w:hAnsi="Aptos Narrow"/>
                <w:sz w:val="20"/>
                <w:szCs w:val="20"/>
                <w:lang w:val="es-419"/>
              </w:rPr>
              <w:t xml:space="preserve"> de Sterman); bloques de construcción (stocks, flujos, auxiliares, constantes, retardos); formalismo </w:t>
            </w:r>
            <w:proofErr w:type="spellStart"/>
            <w:r w:rsidRPr="00DB274C">
              <w:rPr>
                <w:rFonts w:ascii="Aptos Narrow" w:hAnsi="Aptos Narrow"/>
                <w:sz w:val="20"/>
                <w:szCs w:val="20"/>
                <w:lang w:val="es-419"/>
              </w:rPr>
              <w:t>dS</w:t>
            </w:r>
            <w:proofErr w:type="spellEnd"/>
            <w:r w:rsidRPr="00DB274C">
              <w:rPr>
                <w:rFonts w:ascii="Aptos Narrow" w:hAnsi="Aptos Narrow"/>
                <w:sz w:val="20"/>
                <w:szCs w:val="20"/>
                <w:lang w:val="es-419"/>
              </w:rPr>
              <w:t>/</w:t>
            </w:r>
            <w:proofErr w:type="spellStart"/>
            <w:r w:rsidRPr="00DB274C">
              <w:rPr>
                <w:rFonts w:ascii="Aptos Narrow" w:hAnsi="Aptos Narrow"/>
                <w:sz w:val="20"/>
                <w:szCs w:val="20"/>
                <w:lang w:val="es-419"/>
              </w:rPr>
              <w:t>dt</w:t>
            </w:r>
            <w:proofErr w:type="spellEnd"/>
            <w:r w:rsidRPr="00DB274C">
              <w:rPr>
                <w:rFonts w:ascii="Aptos Narrow" w:hAnsi="Aptos Narrow"/>
                <w:sz w:val="20"/>
                <w:szCs w:val="20"/>
                <w:lang w:val="es-419"/>
              </w:rPr>
              <w:t xml:space="preserve"> = </w:t>
            </w:r>
            <w:proofErr w:type="spellStart"/>
            <w:r w:rsidRPr="00DB274C">
              <w:rPr>
                <w:rFonts w:ascii="Aptos Narrow" w:hAnsi="Aptos Narrow"/>
                <w:sz w:val="20"/>
                <w:szCs w:val="20"/>
                <w:lang w:val="es-419"/>
              </w:rPr>
              <w:t>Inflow</w:t>
            </w:r>
            <w:proofErr w:type="spellEnd"/>
            <w:r w:rsidRPr="00DB274C">
              <w:rPr>
                <w:rFonts w:ascii="Aptos Narrow" w:hAnsi="Aptos Narrow"/>
                <w:sz w:val="20"/>
                <w:szCs w:val="20"/>
                <w:lang w:val="es-419"/>
              </w:rPr>
              <w:t xml:space="preserve"> − </w:t>
            </w:r>
            <w:proofErr w:type="spellStart"/>
            <w:r w:rsidRPr="00DB274C">
              <w:rPr>
                <w:rFonts w:ascii="Aptos Narrow" w:hAnsi="Aptos Narrow"/>
                <w:sz w:val="20"/>
                <w:szCs w:val="20"/>
                <w:lang w:val="es-419"/>
              </w:rPr>
              <w:t>Outflow</w:t>
            </w:r>
            <w:proofErr w:type="spellEnd"/>
            <w:r w:rsidRPr="00DB274C">
              <w:rPr>
                <w:rFonts w:ascii="Aptos Narrow" w:hAnsi="Aptos Narrow"/>
                <w:sz w:val="20"/>
                <w:szCs w:val="20"/>
                <w:lang w:val="es-419"/>
              </w:rPr>
              <w:t xml:space="preserve">; polaridad y lazos R/B; introducción al módulo </w:t>
            </w:r>
            <w:proofErr w:type="spellStart"/>
            <w:r w:rsidRPr="00DB274C">
              <w:rPr>
                <w:rFonts w:ascii="Aptos Narrow" w:hAnsi="Aptos Narrow"/>
                <w:sz w:val="20"/>
                <w:szCs w:val="20"/>
                <w:lang w:val="es-419"/>
              </w:rPr>
              <w:t>mise_sd</w:t>
            </w:r>
            <w:proofErr w:type="spellEnd"/>
            <w:r w:rsidRPr="00DB274C">
              <w:rPr>
                <w:rFonts w:ascii="Aptos Narrow" w:hAnsi="Aptos Narrow"/>
                <w:sz w:val="20"/>
                <w:szCs w:val="20"/>
                <w:lang w:val="es-419"/>
              </w:rPr>
              <w:t xml:space="preserve">; demo embalse; caso del ciclo inversión-capacidad colombiano (3 stocks: </w:t>
            </w:r>
            <w:proofErr w:type="spellStart"/>
            <w:r w:rsidRPr="00DB274C">
              <w:rPr>
                <w:rFonts w:ascii="Aptos Narrow" w:hAnsi="Aptos Narrow"/>
                <w:sz w:val="20"/>
                <w:szCs w:val="20"/>
                <w:lang w:val="es-419"/>
              </w:rPr>
              <w:t>Capacidad_Instalada</w:t>
            </w:r>
            <w:proofErr w:type="spellEnd"/>
            <w:r w:rsidRPr="00DB274C">
              <w:rPr>
                <w:rFonts w:ascii="Aptos Narrow" w:hAnsi="Aptos Narrow"/>
                <w:sz w:val="20"/>
                <w:szCs w:val="20"/>
                <w:lang w:val="es-419"/>
              </w:rPr>
              <w:t xml:space="preserve">, </w:t>
            </w:r>
            <w:proofErr w:type="spellStart"/>
            <w:r w:rsidRPr="00DB274C">
              <w:rPr>
                <w:rFonts w:ascii="Aptos Narrow" w:hAnsi="Aptos Narrow"/>
                <w:sz w:val="20"/>
                <w:szCs w:val="20"/>
                <w:lang w:val="es-419"/>
              </w:rPr>
              <w:t>Proyectos_en_Construcción</w:t>
            </w:r>
            <w:proofErr w:type="spellEnd"/>
            <w:r w:rsidRPr="00DB274C">
              <w:rPr>
                <w:rFonts w:ascii="Aptos Narrow" w:hAnsi="Aptos Narrow"/>
                <w:sz w:val="20"/>
                <w:szCs w:val="20"/>
                <w:lang w:val="es-419"/>
              </w:rPr>
              <w:t xml:space="preserve">, Demanda; retardo constructor de 3–5 años como clave). </w:t>
            </w:r>
            <w:r w:rsidRPr="00DB274C">
              <w:rPr>
                <w:rFonts w:ascii="Aptos Narrow" w:hAnsi="Aptos Narrow"/>
                <w:sz w:val="20"/>
                <w:szCs w:val="20"/>
              </w:rPr>
              <w:t>Lectura: Sterman Business Dynamics Cap. 1–3; Meadows Cap. 3 (</w:t>
            </w:r>
            <w:proofErr w:type="spellStart"/>
            <w:r w:rsidRPr="00DB274C">
              <w:rPr>
                <w:rFonts w:ascii="Aptos Narrow" w:hAnsi="Aptos Narrow"/>
                <w:sz w:val="20"/>
                <w:szCs w:val="20"/>
              </w:rPr>
              <w:t>arquetipos</w:t>
            </w:r>
            <w:proofErr w:type="spellEnd"/>
            <w:r w:rsidRPr="00DB274C">
              <w:rPr>
                <w:rFonts w:ascii="Aptos Narrow" w:hAnsi="Aptos Narrow"/>
                <w:sz w:val="20"/>
                <w:szCs w:val="20"/>
              </w:rPr>
              <w:t>).</w:t>
            </w:r>
          </w:p>
        </w:tc>
      </w:tr>
    </w:tbl>
    <w:p w14:paraId="3F81575C" w14:textId="77777777" w:rsidR="00724EB6" w:rsidRPr="00DB274C" w:rsidRDefault="00724EB6" w:rsidP="006A2647">
      <w:pPr>
        <w:pStyle w:val="Heading2"/>
        <w:rPr>
          <w:rFonts w:ascii="Aptos Narrow" w:hAnsi="Aptos Narrow"/>
          <w:sz w:val="22"/>
          <w:szCs w:val="22"/>
        </w:rPr>
      </w:pPr>
    </w:p>
    <w:p w14:paraId="29CA0D02" w14:textId="77777777" w:rsidR="00724EB6" w:rsidRPr="00DB274C" w:rsidRDefault="00724EB6">
      <w:pPr>
        <w:rPr>
          <w:rFonts w:ascii="Aptos Narrow" w:eastAsia="Calibri" w:hAnsi="Aptos Narrow" w:cs="Calibri"/>
          <w:b/>
          <w:bCs/>
          <w:color w:val="065A82"/>
          <w:sz w:val="22"/>
          <w:szCs w:val="22"/>
          <w:lang w:val="es-CO" w:eastAsia="es-MX"/>
        </w:rPr>
      </w:pPr>
      <w:r w:rsidRPr="00DB274C">
        <w:rPr>
          <w:rFonts w:ascii="Aptos Narrow" w:hAnsi="Aptos Narrow"/>
          <w:sz w:val="22"/>
          <w:szCs w:val="22"/>
          <w:lang w:val="es-419"/>
        </w:rPr>
        <w:br w:type="page"/>
      </w:r>
    </w:p>
    <w:p w14:paraId="31A0717A" w14:textId="777663C2" w:rsidR="006A2647" w:rsidRPr="00DB274C" w:rsidRDefault="006A2647" w:rsidP="006A2647">
      <w:pPr>
        <w:pStyle w:val="Heading2"/>
        <w:rPr>
          <w:rFonts w:ascii="Aptos Narrow" w:hAnsi="Aptos Narrow"/>
          <w:sz w:val="22"/>
          <w:szCs w:val="22"/>
          <w:lang w:val="es-419"/>
        </w:rPr>
      </w:pPr>
      <w:r w:rsidRPr="00DB274C">
        <w:rPr>
          <w:rFonts w:ascii="Aptos Narrow" w:hAnsi="Aptos Narrow"/>
          <w:sz w:val="22"/>
          <w:szCs w:val="22"/>
        </w:rPr>
        <w:lastRenderedPageBreak/>
        <w:t xml:space="preserve">SCRIPT </w:t>
      </w:r>
      <w:r w:rsidRPr="00DB274C">
        <w:rPr>
          <w:rFonts w:ascii="Aptos Narrow" w:hAnsi="Aptos Narrow"/>
          <w:sz w:val="22"/>
          <w:szCs w:val="22"/>
          <w:lang w:val="es-419"/>
        </w:rPr>
        <w:t xml:space="preserve">~ </w:t>
      </w:r>
      <w:r w:rsidR="001F0BA5" w:rsidRPr="00DB274C">
        <w:rPr>
          <w:rFonts w:ascii="Aptos Narrow" w:hAnsi="Aptos Narrow"/>
          <w:sz w:val="22"/>
          <w:szCs w:val="22"/>
          <w:lang w:val="es-419"/>
        </w:rPr>
        <w:t>1</w:t>
      </w:r>
      <w:r w:rsidRPr="00DB274C">
        <w:rPr>
          <w:rFonts w:ascii="Aptos Narrow" w:hAnsi="Aptos Narrow"/>
          <w:sz w:val="22"/>
          <w:szCs w:val="22"/>
          <w:lang w:val="es-419"/>
        </w:rPr>
        <w:t>5 min</w:t>
      </w:r>
    </w:p>
    <w:p w14:paraId="1B8682C2" w14:textId="77777777" w:rsidR="00B0625D" w:rsidRPr="00B0625D" w:rsidRDefault="00CF7577" w:rsidP="00B0625D">
      <w:pPr>
        <w:spacing w:after="60"/>
        <w:rPr>
          <w:rFonts w:ascii="Aptos Narrow" w:hAnsi="Aptos Narrow"/>
          <w:sz w:val="22"/>
          <w:szCs w:val="22"/>
          <w:lang w:val="es-419"/>
        </w:rPr>
      </w:pPr>
      <w:r w:rsidRPr="00B0625D">
        <w:rPr>
          <w:rFonts w:ascii="Aptos Narrow" w:hAnsi="Aptos Narrow"/>
          <w:b/>
          <w:bCs/>
          <w:color w:val="1F3864"/>
          <w:sz w:val="22"/>
          <w:szCs w:val="22"/>
          <w:lang w:val="es-419"/>
        </w:rPr>
        <w:t xml:space="preserve">Alcance de </w:t>
      </w:r>
      <w:r w:rsidR="004F6622" w:rsidRPr="00B0625D">
        <w:rPr>
          <w:rFonts w:ascii="Aptos Narrow" w:hAnsi="Aptos Narrow"/>
          <w:b/>
          <w:bCs/>
          <w:color w:val="1F3864"/>
          <w:sz w:val="22"/>
          <w:szCs w:val="22"/>
          <w:lang w:val="es-419"/>
        </w:rPr>
        <w:t>4.</w:t>
      </w:r>
      <w:r w:rsidR="00D346ED" w:rsidRPr="00B0625D">
        <w:rPr>
          <w:rFonts w:ascii="Aptos Narrow" w:hAnsi="Aptos Narrow"/>
          <w:b/>
          <w:bCs/>
          <w:color w:val="1F3864"/>
          <w:sz w:val="22"/>
          <w:szCs w:val="22"/>
          <w:lang w:val="es-419"/>
        </w:rPr>
        <w:t>4</w:t>
      </w:r>
      <w:r w:rsidR="00114DF8" w:rsidRPr="00B0625D">
        <w:rPr>
          <w:rFonts w:ascii="Aptos Narrow" w:hAnsi="Aptos Narrow"/>
          <w:b/>
          <w:bCs/>
          <w:color w:val="1F3864"/>
          <w:sz w:val="22"/>
          <w:szCs w:val="22"/>
          <w:lang w:val="es-419"/>
        </w:rPr>
        <w:t xml:space="preserve">: </w:t>
      </w:r>
      <w:r w:rsidR="00B0625D" w:rsidRPr="00B0625D">
        <w:rPr>
          <w:rFonts w:ascii="Aptos Narrow" w:hAnsi="Aptos Narrow"/>
          <w:sz w:val="22"/>
          <w:szCs w:val="22"/>
          <w:lang w:val="es-419"/>
        </w:rPr>
        <w:t>Los tres stocks y sus flujos; el pipeline invisible; el retardo constructor como motor de la oscilación; intervenciones posibles; puente a S5</w:t>
      </w:r>
    </w:p>
    <w:p w14:paraId="17C72792" w14:textId="77777777" w:rsidR="00B0625D" w:rsidRPr="00B0625D" w:rsidRDefault="00B0625D" w:rsidP="00B0625D">
      <w:pPr>
        <w:spacing w:before="280" w:after="120"/>
        <w:rPr>
          <w:rFonts w:ascii="Aptos Narrow" w:hAnsi="Aptos Narrow"/>
          <w:sz w:val="22"/>
          <w:szCs w:val="22"/>
          <w:lang w:val="es-419"/>
        </w:rPr>
      </w:pPr>
      <w:r w:rsidRPr="00B0625D">
        <w:rPr>
          <w:rFonts w:ascii="Aptos Narrow" w:hAnsi="Aptos Narrow"/>
          <w:b/>
          <w:bCs/>
          <w:color w:val="1F3864"/>
          <w:sz w:val="22"/>
          <w:szCs w:val="22"/>
          <w:lang w:val="es-419"/>
        </w:rPr>
        <w:t>Segmento 1 — Juntar todo en el caso que abrió la semana</w:t>
      </w:r>
    </w:p>
    <w:p w14:paraId="4E45CA4E"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Llegamos a la última lección de la semana, y es donde todo lo que construimos se pone al servicio de una sola pregunta, la que abrió el módulo en la motivación: ¿por qué el sector eléctrico oscila entre sobreinversión y escasez, en lugar de estabilizarse? Ya tenemos todas las herramientas para responderla con rigor. Vamos a construir el modelo del ciclo de inversión y capacidad de la generación colombiana, y a ver la oscilación emerger de su estructura.</w:t>
      </w:r>
    </w:p>
    <w:p w14:paraId="666EEA00"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Este es también el modelo que ustedes van a construir y calibrar en el laboratorio de esta semana, así que consideren esta lección el mapa conceptual del Lab. Vamos a armarlo pieza por pieza, con el vocabulario que ya dominan: identificaremos los stocks, sus flujos, los auxiliares que los conectan, y sobre todo el retardo que resulta ser la clave de todo. Y verán que, con lo aprendido, ya pueden anticipar el comportamiento antes de simular, que es la señal de que uno de verdad entendió la estructura.</w:t>
      </w:r>
    </w:p>
    <w:p w14:paraId="4813EFC5" w14:textId="77777777" w:rsidR="00B0625D" w:rsidRPr="00B0625D" w:rsidRDefault="00B0625D" w:rsidP="00B0625D">
      <w:pPr>
        <w:spacing w:before="280" w:after="120"/>
        <w:rPr>
          <w:rFonts w:ascii="Aptos Narrow" w:hAnsi="Aptos Narrow"/>
          <w:sz w:val="22"/>
          <w:szCs w:val="22"/>
          <w:lang w:val="es-419"/>
        </w:rPr>
      </w:pPr>
      <w:r w:rsidRPr="00B0625D">
        <w:rPr>
          <w:rFonts w:ascii="Aptos Narrow" w:hAnsi="Aptos Narrow"/>
          <w:b/>
          <w:bCs/>
          <w:color w:val="1F3864"/>
          <w:sz w:val="22"/>
          <w:szCs w:val="22"/>
          <w:lang w:val="es-419"/>
        </w:rPr>
        <w:t>Segmento 2 — Los tres stocks y sus flujos</w:t>
      </w:r>
    </w:p>
    <w:p w14:paraId="3FE23661"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El modelo del ciclo inversión-capacidad se organiza alrededor de tres stocks. El primero es la capacidad instalada: los megavatios de generación que están operando hoy en el país. El segundo es la capacidad en construcción, a veces llamada el pipeline: los proyectos que ya se decidieron y se están construyendo, pero que todavía no generan. El tercero es la demanda: el consumo que el sistema debe atender, que crece con el tiempo. Estos tres stocks, con sus niveles en cada momento, describen el estado del sistema.</w:t>
      </w:r>
    </w:p>
    <w:p w14:paraId="644CEA99"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 xml:space="preserve">Ahora conectemos los stocks con flujos, y fíjense cómo la capacidad fluye de un stock al siguiente. Cuando alguien decide invertir, arranca un flujo que llamamos inicio de proyectos, que alimenta el stock de capacidad en construcción. Cuando esos proyectos terminan, un segundo flujo, la puesta en servicio, </w:t>
      </w:r>
      <w:proofErr w:type="gramStart"/>
      <w:r w:rsidRPr="00B0625D">
        <w:rPr>
          <w:rFonts w:ascii="Aptos Narrow" w:hAnsi="Aptos Narrow"/>
          <w:sz w:val="22"/>
          <w:szCs w:val="22"/>
          <w:lang w:val="es-419"/>
        </w:rPr>
        <w:t>los saca</w:t>
      </w:r>
      <w:proofErr w:type="gramEnd"/>
      <w:r w:rsidRPr="00B0625D">
        <w:rPr>
          <w:rFonts w:ascii="Aptos Narrow" w:hAnsi="Aptos Narrow"/>
          <w:sz w:val="22"/>
          <w:szCs w:val="22"/>
          <w:lang w:val="es-419"/>
        </w:rPr>
        <w:t xml:space="preserve"> del pipeline y los suma a la capacidad instalada. Y un tercer flujo, el retiro, va sacando plantas viejas de la capacidad instalada. La demanda, por su parte, tiene su propio flujo de crecimiento. Fíjense en la cadena: la capacidad no aparece de la nada en operación; primero pasa años en el stock de construcción antes de volverse capacidad instalada. Recuerden lo que vimos en la lección 4.2: poner un stock en el camino entre una decisión y su efecto es exactamente cómo se representa un retardo. Esa cadena de stocks es donde vive la demora.</w:t>
      </w:r>
    </w:p>
    <w:p w14:paraId="75D0D4BB"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 xml:space="preserve">¿Y qué gobierna el flujo de inicio de proyectos, la decisión de invertir? Aquí entran los auxiliares. La brecha entre la capacidad disponible y la demanda determina qué tan ajustado está el sistema; esa holgura o escasez se refleja en un precio; y el precio, comparado con el costo de construir, determina qué tan atractivo es invertir, lo que gobierna el flujo de inicio de proyectos. Ahí está el lazo completo: la escasez sube el precio, el precio alto anima a invertir, la inversión eventualmente aumenta la capacidad, y más capacidad reduce la </w:t>
      </w:r>
      <w:r w:rsidRPr="00B0625D">
        <w:rPr>
          <w:rFonts w:ascii="Aptos Narrow" w:hAnsi="Aptos Narrow"/>
          <w:sz w:val="22"/>
          <w:szCs w:val="22"/>
          <w:lang w:val="es-419"/>
        </w:rPr>
        <w:lastRenderedPageBreak/>
        <w:t>escasez. Es un lazo de balance: el sistema trata de corregir sus propios desbalances. En teoría, debería llevar al equilibrio.</w:t>
      </w:r>
    </w:p>
    <w:p w14:paraId="677E1260"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Quiero resaltar por qué tener la capacidad en construcción como un stock separado es tan importante, porque es una sutileza que distingue un buen modelo de uno ingenuo. Ese stock, el pipeline, representa capacidad que ya está decidida y en camino, pero que todavía no genera y, sobre todo, que muchos actores no ven cuando toman sus propias decisiones de invertir. Es capacidad invisible para el mercado. Si cada inversionista pudiera ver claramente todo lo que ya se está construyendo, moderaría su propia decisión y el ciclo se suavizaría. Pero como el pipeline es opaco, cada uno decide mirando el precio actual, que refleja la capacidad ya instalada y no la que viene. Modelar el pipeline como un stock explícito nos permite capturar esa ceguera colectiva, que es una de las raíces profundas de la oscilación. Sin ese stock, el modelo no podría explicar por qué todos invierten a la vez y luego se arrepienten a la vez.</w:t>
      </w:r>
    </w:p>
    <w:p w14:paraId="6A93E43C" w14:textId="77777777" w:rsidR="00B0625D" w:rsidRPr="00B0625D" w:rsidRDefault="00B0625D" w:rsidP="00B0625D">
      <w:pPr>
        <w:pBdr>
          <w:left w:val="single" w:sz="18" w:space="12" w:color="9C6500"/>
        </w:pBdr>
        <w:spacing w:before="120"/>
        <w:rPr>
          <w:rFonts w:ascii="Aptos Narrow" w:hAnsi="Aptos Narrow"/>
          <w:sz w:val="22"/>
          <w:szCs w:val="22"/>
          <w:lang w:val="es-419"/>
        </w:rPr>
      </w:pPr>
      <w:r w:rsidRPr="00B0625D">
        <w:rPr>
          <w:rFonts w:ascii="Aptos Narrow" w:hAnsi="Aptos Narrow"/>
          <w:b/>
          <w:bCs/>
          <w:color w:val="9C6500"/>
          <w:sz w:val="22"/>
          <w:szCs w:val="22"/>
          <w:lang w:val="es-419"/>
        </w:rPr>
        <w:t xml:space="preserve">[QUIZ EMBEBIDO] </w:t>
      </w:r>
      <w:r w:rsidRPr="00B0625D">
        <w:rPr>
          <w:rFonts w:ascii="Aptos Narrow" w:hAnsi="Aptos Narrow"/>
          <w:i/>
          <w:iCs/>
          <w:color w:val="555555"/>
          <w:sz w:val="22"/>
          <w:szCs w:val="22"/>
          <w:lang w:val="es-419"/>
        </w:rPr>
        <w:t>Se presenta la estructura del modelo con los tres stocks (capacidad instalada, capacidad en construcción, demanda). El estudiante debe identificar por cuáles flujos se mueve la capacidad desde la decisión de invertir hasta entrar en operación, y ubicar el auxiliar que traduce la brecha oferta-demanda en decisión de inversión.</w:t>
      </w:r>
    </w:p>
    <w:p w14:paraId="46A7B933" w14:textId="77777777" w:rsidR="00B0625D" w:rsidRPr="00B0625D" w:rsidRDefault="00B0625D" w:rsidP="00B0625D">
      <w:pPr>
        <w:spacing w:before="280" w:after="120"/>
        <w:rPr>
          <w:rFonts w:ascii="Aptos Narrow" w:hAnsi="Aptos Narrow"/>
          <w:sz w:val="22"/>
          <w:szCs w:val="22"/>
          <w:lang w:val="es-419"/>
        </w:rPr>
      </w:pPr>
      <w:r w:rsidRPr="00B0625D">
        <w:rPr>
          <w:rFonts w:ascii="Aptos Narrow" w:hAnsi="Aptos Narrow"/>
          <w:b/>
          <w:bCs/>
          <w:color w:val="1F3864"/>
          <w:sz w:val="22"/>
          <w:szCs w:val="22"/>
          <w:lang w:val="es-419"/>
        </w:rPr>
        <w:t>Segmento 3 — El retardo constructor: la clave de la oscilación</w:t>
      </w:r>
    </w:p>
    <w:p w14:paraId="2B78A67B"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Si el lazo es de balance y busca el equilibrio, ¿por qué el sistema no se estabiliza, sino que oscila? Aquí está la respuesta, y es el corazón de toda la semana: el retardo constructor. Construir una central de generación toma años, típicamente entre tres y cinco para las plantas grandes [verificar el rango de retardo constructor apropiado para el caso colombiano con datos de UPME/XM]. Ese retardo largo entre la decisión de invertir y la entrada en operación es lo que convierte al lazo de balance en un generador de oscilaciones.</w:t>
      </w:r>
    </w:p>
    <w:p w14:paraId="4E978510"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Sigamos la historia con el retardo puesto. El sistema entra en escasez, el precio sube, y muchos inversionistas deciden construir. Pero durante los años que tardan las obras, la capacidad no aumenta: la escasez persiste, el precio sigue alto, y como la señal no se ha corregido, se deciden todavía más proyectos, sin que nadie vea aún la enorme cantidad de capacidad que ya viene en camino dentro del pipeline. Cuando por fin todos esos proyectos entran en operación, entran casi juntos, y de golpe la capacidad instalada da un salto que supera con creces la demanda. Ahora hay sobreoferta, el precio se desploma, y la inversión se detiene por completo. Pasan años sin construir, mientras la demanda sigue creciendo lentamente, hasta que alcanza a esa capacidad y vuelve la escasez. Y el ciclo recomienza.</w:t>
      </w:r>
    </w:p>
    <w:p w14:paraId="25D8A27D"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 xml:space="preserve">Lo notable de esta explicación es que nadie se equivoca. Cada inversionista, individualmente, tomó una decisión racional: vio un precio alto y un negocio atractivo, y construyó. El problema no está en las decisiones individuales sino en la estructura que las coordina mal, porque todos responden a una señal, el precio, que llega tarde por culpa del retardo y que no incorpora la capacidad que ya viene en camino. Es una falla de coordinación producida por la arquitectura del sistema, no una falla de juicio de sus participantes. Y esto es una lección profunda del pensamiento sistémico: buena parte de los malos resultados colectivos no se </w:t>
      </w:r>
      <w:r w:rsidRPr="00B0625D">
        <w:rPr>
          <w:rFonts w:ascii="Aptos Narrow" w:hAnsi="Aptos Narrow"/>
          <w:sz w:val="22"/>
          <w:szCs w:val="22"/>
          <w:lang w:val="es-419"/>
        </w:rPr>
        <w:lastRenderedPageBreak/>
        <w:t>explican por gente incompetente, sino por estructuras que hacen que decisiones sensatas produzcan un desastre agregado.</w:t>
      </w:r>
    </w:p>
    <w:p w14:paraId="02DE4990"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Este es uno de los aprendizajes más importantes del curso, así que lo subrayo. La oscilación no viene de afuera, no es una sequía ni un choque externo: emerge de la estructura interna del sistema, de la combinación de un lazo de balance con un retardo largo. Cambiar el clima no arregla esto; solo cambiar la estructura, o la forma en que los actores anticipan, puede amortiguar la oscilación. Por eso entender la estructura es tan poderoso: revela que el problema no es la mala suerte, sino el diseño, y lo que se diseña se puede rediseñar.</w:t>
      </w:r>
    </w:p>
    <w:p w14:paraId="24B8DCFA"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Y aquí se produce una conexión reveladora con la primera semana del curso. El sistema eléctrico colombiano tiene, en realidad, dos fuentes de vaivén superpuestas. Por un lado, esta oscilación estructural, lenta, del ciclo inversión-capacidad, que se despliega a lo largo de años. Por otro, las oscilaciones hidrológicas de El Niño y La Niña, que vienen de afuera y golpean con su propio ritmo. Cuando ambas coinciden mal, cuando un fenómeno de El Niño llega justo en un momento en que el ciclo de inversión tiene al sistema en su fase de menor holgura, el resultado es una crisis amplificada como la de 2015 y 2016. La dinámica de sistemas nos permite ver que esa crisis no fue solo una sequía: fue una sequía que cayó sobre un sistema que su propia estructura ya había dejado vulnerable. Separar la parte estructural, que podemos rediseñar, de la parte climática, que solo podemos gestionar, es una de las contribuciones más finas que este análisis aporta a la política energética del país.</w:t>
      </w:r>
    </w:p>
    <w:p w14:paraId="6302171F" w14:textId="77777777" w:rsidR="00B0625D" w:rsidRPr="00B0625D" w:rsidRDefault="00B0625D" w:rsidP="00B0625D">
      <w:pPr>
        <w:pBdr>
          <w:left w:val="single" w:sz="18" w:space="12" w:color="9C6500"/>
        </w:pBdr>
        <w:spacing w:before="120"/>
        <w:rPr>
          <w:rFonts w:ascii="Aptos Narrow" w:hAnsi="Aptos Narrow"/>
          <w:sz w:val="22"/>
          <w:szCs w:val="22"/>
          <w:lang w:val="es-419"/>
        </w:rPr>
      </w:pPr>
      <w:r w:rsidRPr="00B0625D">
        <w:rPr>
          <w:rFonts w:ascii="Aptos Narrow" w:hAnsi="Aptos Narrow"/>
          <w:b/>
          <w:bCs/>
          <w:color w:val="9C6500"/>
          <w:sz w:val="22"/>
          <w:szCs w:val="22"/>
          <w:lang w:val="es-419"/>
        </w:rPr>
        <w:t xml:space="preserve">[QUIZ EMBEBIDO] </w:t>
      </w:r>
      <w:r w:rsidRPr="00B0625D">
        <w:rPr>
          <w:rFonts w:ascii="Aptos Narrow" w:hAnsi="Aptos Narrow"/>
          <w:i/>
          <w:iCs/>
          <w:color w:val="555555"/>
          <w:sz w:val="22"/>
          <w:szCs w:val="22"/>
          <w:lang w:val="es-419"/>
        </w:rPr>
        <w:t>Se pide comparar dos versiones del modelo, una con retardo constructor corto y otra con retardo largo. El estudiante debe predecir cuál oscila más y por qué, explicando el papel del retardo en convertir un lazo de balance estabilizador en una fuente de oscilaciones.</w:t>
      </w:r>
    </w:p>
    <w:p w14:paraId="623DE8DC" w14:textId="77777777" w:rsidR="00B0625D" w:rsidRPr="00B0625D" w:rsidRDefault="00B0625D" w:rsidP="00B0625D">
      <w:pPr>
        <w:spacing w:before="280" w:after="120"/>
        <w:rPr>
          <w:rFonts w:ascii="Aptos Narrow" w:hAnsi="Aptos Narrow"/>
          <w:sz w:val="22"/>
          <w:szCs w:val="22"/>
          <w:lang w:val="es-419"/>
        </w:rPr>
      </w:pPr>
      <w:r w:rsidRPr="00B0625D">
        <w:rPr>
          <w:rFonts w:ascii="Aptos Narrow" w:hAnsi="Aptos Narrow"/>
          <w:b/>
          <w:bCs/>
          <w:color w:val="1F3864"/>
          <w:sz w:val="22"/>
          <w:szCs w:val="22"/>
          <w:lang w:val="es-419"/>
        </w:rPr>
        <w:t>Segmento 4 — Lo que revela simular, y qué se puede hacer</w:t>
      </w:r>
    </w:p>
    <w:p w14:paraId="7C1B2FA3"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 xml:space="preserve">En el laboratorio de esta semana ustedes van a construir este modelo, calibrarlo con datos históricos del sistema colombiano y simularlo para ver la oscilación con sus propios ojos. Y van a hacer un experimento revelador que quiero anticipar, porque enseña más que cualquier explicación: van a tomar el modelo, duplicar el retardo de construcción, y volver a simular. Verán que la oscilación se hace </w:t>
      </w:r>
      <w:proofErr w:type="gramStart"/>
      <w:r w:rsidRPr="00B0625D">
        <w:rPr>
          <w:rFonts w:ascii="Aptos Narrow" w:hAnsi="Aptos Narrow"/>
          <w:sz w:val="22"/>
          <w:szCs w:val="22"/>
          <w:lang w:val="es-419"/>
        </w:rPr>
        <w:t>más amplia y más lenta</w:t>
      </w:r>
      <w:proofErr w:type="gramEnd"/>
      <w:r w:rsidRPr="00B0625D">
        <w:rPr>
          <w:rFonts w:ascii="Aptos Narrow" w:hAnsi="Aptos Narrow"/>
          <w:sz w:val="22"/>
          <w:szCs w:val="22"/>
          <w:lang w:val="es-419"/>
        </w:rPr>
        <w:t>. Ese solo experimento demuestra, de forma incontrovertible, que el retardo es el motor de la oscilación, algo que ninguna cantidad de razonamiento verbal deja tan claro como verlo en la gráfica.</w:t>
      </w:r>
    </w:p>
    <w:p w14:paraId="39FF79C0"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 xml:space="preserve">Pensemos entonces en qué tipo de intervenciones sugiere el modelo, porque ahí es donde el análisis se vuelve recomendación. Si el problema es un retardo largo, una intervención es acortarlo: agilizar permisos, licenciamiento y conexión para que las plantas entren más rápido. Si el problema es la ceguera al pipeline, una intervención es hacer visible la capacidad en construcción: publicar información confiable sobre qué se está construyendo, para que los inversionistas no decidan a ciegas. Y si el problema es que el mercado de corto plazo no da señales adecuadas para inversiones de largo plazo, una intervención es crear un </w:t>
      </w:r>
      <w:r w:rsidRPr="00B0625D">
        <w:rPr>
          <w:rFonts w:ascii="Aptos Narrow" w:hAnsi="Aptos Narrow"/>
          <w:sz w:val="22"/>
          <w:szCs w:val="22"/>
          <w:lang w:val="es-419"/>
        </w:rPr>
        <w:lastRenderedPageBreak/>
        <w:t>mecanismo que remunere de forma anticipada la disponibilidad futura, que es justamente la idea detrás de los cargos por confiabilidad y las subastas de capacidad.</w:t>
      </w:r>
    </w:p>
    <w:p w14:paraId="18EE8635"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 xml:space="preserve">Fíjense en lo valioso de esto: el mismo modelo que explica por qué el sistema oscila nos entrega un menú de palancas para amortiguar la oscilación, cada una atacando una raíz distinta del problema. Y también nos permite evaluarlas antes de aplicarlas, corriendo cada intervención en el modelo y comparando las trayectorias resultantes. Eso es pasar del diagnóstico a la recomendación con evidencia, que es exactamente lo que se espera de un consultor sistémico y lo que van a tener que hacer en su proyecto final. El Cargo por Confiabilidad colombiano es precisamente uno de esos intentos de intervenir sobre este ciclo, y lo estudiaremos a fondo la próxima semana con el modelo en la mano, para preguntarnos si funciona, </w:t>
      </w:r>
      <w:proofErr w:type="gramStart"/>
      <w:r w:rsidRPr="00B0625D">
        <w:rPr>
          <w:rFonts w:ascii="Aptos Narrow" w:hAnsi="Aptos Narrow"/>
          <w:sz w:val="22"/>
          <w:szCs w:val="22"/>
          <w:lang w:val="es-419"/>
        </w:rPr>
        <w:t>bajo qué condiciones</w:t>
      </w:r>
      <w:proofErr w:type="gramEnd"/>
      <w:r w:rsidRPr="00B0625D">
        <w:rPr>
          <w:rFonts w:ascii="Aptos Narrow" w:hAnsi="Aptos Narrow"/>
          <w:sz w:val="22"/>
          <w:szCs w:val="22"/>
          <w:lang w:val="es-419"/>
        </w:rPr>
        <w:t>, y qué efectos secundarios podría tener.</w:t>
      </w:r>
    </w:p>
    <w:p w14:paraId="119F4F5C" w14:textId="77777777" w:rsidR="00B0625D" w:rsidRPr="00B0625D" w:rsidRDefault="00B0625D" w:rsidP="00B0625D">
      <w:pPr>
        <w:spacing w:before="280" w:after="120"/>
        <w:rPr>
          <w:rFonts w:ascii="Aptos Narrow" w:hAnsi="Aptos Narrow"/>
          <w:sz w:val="22"/>
          <w:szCs w:val="22"/>
          <w:lang w:val="es-419"/>
        </w:rPr>
      </w:pPr>
      <w:r w:rsidRPr="00B0625D">
        <w:rPr>
          <w:rFonts w:ascii="Aptos Narrow" w:hAnsi="Aptos Narrow"/>
          <w:b/>
          <w:bCs/>
          <w:color w:val="1F3864"/>
          <w:sz w:val="22"/>
          <w:szCs w:val="22"/>
          <w:lang w:val="es-419"/>
        </w:rPr>
        <w:t>Segmento 5 — Cierre del módulo y puente a S5</w:t>
      </w:r>
    </w:p>
    <w:p w14:paraId="27B4476D"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Recapitulemos la semana entera. Empezamos distinguiendo stocks de flujos con la metáfora de la bañera, entendiendo que los stocks dan memoria e inercia al sistema y que no podemos cambiarlos directamente, solo a través de sus flujos. Completamos el vocabulario con auxiliares y constantes, escribimos la ecuación fundamental, y reencontramos los lazos de refuerzo y balance con precisión, aprendiendo que un lazo de balance con retardo largo es una máquina de oscilaciones. Aprendimos a simular integrando paso a paso, con la demo del embalse y la advertencia sobre validar con honestidad. Y hoy juntamos todo en el modelo del ciclo inversión-capacidad colombiano, viendo cómo la oscilación entre sobreinversión y escasez emerge de la estructura, sin que nadie se equivoque.</w:t>
      </w:r>
    </w:p>
    <w:p w14:paraId="4A24F39E"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Con esto respondimos la pregunta que abrió la semana: el sector oscila por su estructura, no por mala suerte. Pero fíjense que hasta ahora hemos modelado el sistema tal como es, para entender por qué se comporta así. La pregunta natural que sigue es la del ingeniero y la del formulador de política: ¿qué hacemos al respecto? ¿Cómo intervenir sobre este sistema para amortiguar sus oscilaciones? Y una pregunta aún más difícil: ¿cómo decidir cuando el futuro es profundamente incierto, cuando no sabemos si el gas será caro o barato, si la demanda crecerá rápido o lento, si los Niños serán más frecuentes?</w:t>
      </w:r>
    </w:p>
    <w:p w14:paraId="06A2D822" w14:textId="77777777" w:rsidR="00B0625D" w:rsidRPr="00B0625D" w:rsidRDefault="00B0625D" w:rsidP="00B0625D">
      <w:pPr>
        <w:spacing w:line="300" w:lineRule="auto"/>
        <w:jc w:val="both"/>
        <w:rPr>
          <w:rFonts w:ascii="Aptos Narrow" w:hAnsi="Aptos Narrow"/>
          <w:sz w:val="22"/>
          <w:szCs w:val="22"/>
          <w:lang w:val="es-419"/>
        </w:rPr>
      </w:pPr>
      <w:r w:rsidRPr="00B0625D">
        <w:rPr>
          <w:rFonts w:ascii="Aptos Narrow" w:hAnsi="Aptos Narrow"/>
          <w:sz w:val="22"/>
          <w:szCs w:val="22"/>
          <w:lang w:val="es-419"/>
        </w:rPr>
        <w:t>Ese es el tema de la próxima semana, Dinámica de Sistemas II, donde llevaremos este mismo modelo al terreno de las políticas, los escenarios y la incertidumbre profunda, con el Cargo por Confiabilidad y la entrada de las energías renovables no convencionales como caso. Aprenderemos a buscar estrategias que no sean óptimas para un futuro, sino robustas frente a muchos futuros posibles. Los felicito por completar la primera semana de dinámica de sistemas: ya saben construir modelos que respiran en el tiempo. Nos vemos en la semana cinco.</w:t>
      </w:r>
    </w:p>
    <w:p w14:paraId="304A3AC3" w14:textId="77777777" w:rsidR="00B0625D" w:rsidRPr="00B0625D" w:rsidRDefault="00B0625D" w:rsidP="00B0625D">
      <w:pPr>
        <w:pBdr>
          <w:top w:val="single" w:sz="6" w:space="6" w:color="CCCCCC"/>
        </w:pBdr>
        <w:spacing w:before="280" w:after="120"/>
        <w:rPr>
          <w:rFonts w:ascii="Aptos Narrow" w:hAnsi="Aptos Narrow"/>
          <w:sz w:val="22"/>
          <w:szCs w:val="22"/>
          <w:lang w:val="es-419"/>
        </w:rPr>
      </w:pPr>
      <w:r w:rsidRPr="00B0625D">
        <w:rPr>
          <w:rFonts w:ascii="Aptos Narrow" w:hAnsi="Aptos Narrow"/>
          <w:b/>
          <w:bCs/>
          <w:color w:val="9C6500"/>
          <w:sz w:val="22"/>
          <w:szCs w:val="22"/>
          <w:lang w:val="es-419"/>
        </w:rPr>
        <w:t>Datos por verificar antes de grabar</w:t>
      </w:r>
    </w:p>
    <w:p w14:paraId="2ABD1D56" w14:textId="77777777" w:rsidR="00B0625D" w:rsidRPr="00B0625D" w:rsidRDefault="00B0625D" w:rsidP="00B0625D">
      <w:pPr>
        <w:spacing w:after="120"/>
        <w:rPr>
          <w:rFonts w:ascii="Aptos Narrow" w:hAnsi="Aptos Narrow"/>
          <w:sz w:val="22"/>
          <w:szCs w:val="22"/>
        </w:rPr>
      </w:pPr>
      <w:r w:rsidRPr="00B0625D">
        <w:rPr>
          <w:rFonts w:ascii="Aptos Narrow" w:hAnsi="Aptos Narrow"/>
          <w:i/>
          <w:iCs/>
          <w:color w:val="555555"/>
          <w:sz w:val="22"/>
          <w:szCs w:val="22"/>
          <w:lang w:val="es-419"/>
        </w:rPr>
        <w:t xml:space="preserve">Verificar el rango del retardo constructor (referido como 3–5 años, coherente con el documento maestro) para el caso colombiano con datos de UPME/XM. La estructura de tres stocks y el experimento de duplicar </w:t>
      </w:r>
      <w:r w:rsidRPr="00B0625D">
        <w:rPr>
          <w:rFonts w:ascii="Aptos Narrow" w:hAnsi="Aptos Narrow"/>
          <w:i/>
          <w:iCs/>
          <w:color w:val="555555"/>
          <w:sz w:val="22"/>
          <w:szCs w:val="22"/>
          <w:lang w:val="es-419"/>
        </w:rPr>
        <w:lastRenderedPageBreak/>
        <w:t xml:space="preserve">el retardo son coherentes con el enunciado del Lab 3. El caso del ciclo sigue a Ford (1999) y a la literatura del mercado colombiano (Arango &amp; Larsen 2011; Morcillo, Franco &amp; Angulo 2018), fuentes de la semana. El Cargo por Confiabilidad se </w:t>
      </w:r>
      <w:proofErr w:type="gramStart"/>
      <w:r w:rsidRPr="00B0625D">
        <w:rPr>
          <w:rFonts w:ascii="Aptos Narrow" w:hAnsi="Aptos Narrow"/>
          <w:i/>
          <w:iCs/>
          <w:color w:val="555555"/>
          <w:sz w:val="22"/>
          <w:szCs w:val="22"/>
          <w:lang w:val="es-419"/>
        </w:rPr>
        <w:t>nombra como</w:t>
      </w:r>
      <w:proofErr w:type="gramEnd"/>
      <w:r w:rsidRPr="00B0625D">
        <w:rPr>
          <w:rFonts w:ascii="Aptos Narrow" w:hAnsi="Aptos Narrow"/>
          <w:i/>
          <w:iCs/>
          <w:color w:val="555555"/>
          <w:sz w:val="22"/>
          <w:szCs w:val="22"/>
          <w:lang w:val="es-419"/>
        </w:rPr>
        <w:t xml:space="preserve"> puente a S5 sin desarrollarlo aquí. </w:t>
      </w:r>
      <w:r w:rsidRPr="00B0625D">
        <w:rPr>
          <w:rFonts w:ascii="Aptos Narrow" w:hAnsi="Aptos Narrow"/>
          <w:i/>
          <w:iCs/>
          <w:color w:val="555555"/>
          <w:sz w:val="22"/>
          <w:szCs w:val="22"/>
        </w:rPr>
        <w:t xml:space="preserve">Sin </w:t>
      </w:r>
      <w:proofErr w:type="spellStart"/>
      <w:r w:rsidRPr="00B0625D">
        <w:rPr>
          <w:rFonts w:ascii="Aptos Narrow" w:hAnsi="Aptos Narrow"/>
          <w:i/>
          <w:iCs/>
          <w:color w:val="555555"/>
          <w:sz w:val="22"/>
          <w:szCs w:val="22"/>
        </w:rPr>
        <w:t>cifras</w:t>
      </w:r>
      <w:proofErr w:type="spellEnd"/>
      <w:r w:rsidRPr="00B0625D">
        <w:rPr>
          <w:rFonts w:ascii="Aptos Narrow" w:hAnsi="Aptos Narrow"/>
          <w:i/>
          <w:iCs/>
          <w:color w:val="555555"/>
          <w:sz w:val="22"/>
          <w:szCs w:val="22"/>
        </w:rPr>
        <w:t xml:space="preserve"> </w:t>
      </w:r>
      <w:proofErr w:type="spellStart"/>
      <w:r w:rsidRPr="00B0625D">
        <w:rPr>
          <w:rFonts w:ascii="Aptos Narrow" w:hAnsi="Aptos Narrow"/>
          <w:i/>
          <w:iCs/>
          <w:color w:val="555555"/>
          <w:sz w:val="22"/>
          <w:szCs w:val="22"/>
        </w:rPr>
        <w:t>afirmadas</w:t>
      </w:r>
      <w:proofErr w:type="spellEnd"/>
      <w:r w:rsidRPr="00B0625D">
        <w:rPr>
          <w:rFonts w:ascii="Aptos Narrow" w:hAnsi="Aptos Narrow"/>
          <w:i/>
          <w:iCs/>
          <w:color w:val="555555"/>
          <w:sz w:val="22"/>
          <w:szCs w:val="22"/>
        </w:rPr>
        <w:t>.</w:t>
      </w:r>
    </w:p>
    <w:p w14:paraId="6DC768FD" w14:textId="341B458F" w:rsidR="00D346ED" w:rsidRPr="00DB274C" w:rsidRDefault="00D346ED" w:rsidP="00D346ED">
      <w:pPr>
        <w:spacing w:after="60"/>
        <w:rPr>
          <w:rFonts w:ascii="Aptos Narrow" w:hAnsi="Aptos Narrow"/>
          <w:sz w:val="22"/>
          <w:szCs w:val="22"/>
          <w:lang w:val="es-419"/>
        </w:rPr>
      </w:pPr>
    </w:p>
    <w:p w14:paraId="353FCBD7" w14:textId="0306D630" w:rsidR="00C20D6B" w:rsidRPr="00DB274C" w:rsidRDefault="00C20D6B" w:rsidP="00DB274C">
      <w:pPr>
        <w:spacing w:after="120"/>
        <w:rPr>
          <w:rFonts w:ascii="Aptos Narrow" w:hAnsi="Aptos Narrow"/>
          <w:sz w:val="22"/>
          <w:szCs w:val="22"/>
          <w:lang w:val="es-419"/>
        </w:rPr>
      </w:pPr>
    </w:p>
    <w:sectPr w:rsidR="00C20D6B" w:rsidRPr="00DB274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72542" w14:textId="77777777" w:rsidR="00150753" w:rsidRDefault="00150753" w:rsidP="00DC6E4E">
      <w:pPr>
        <w:spacing w:after="0" w:line="240" w:lineRule="auto"/>
      </w:pPr>
      <w:r>
        <w:separator/>
      </w:r>
    </w:p>
  </w:endnote>
  <w:endnote w:type="continuationSeparator" w:id="0">
    <w:p w14:paraId="12A4667A" w14:textId="77777777" w:rsidR="00150753" w:rsidRDefault="00150753"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943AE" w14:textId="77777777" w:rsidR="00150753" w:rsidRDefault="00150753" w:rsidP="00DC6E4E">
      <w:pPr>
        <w:spacing w:after="0" w:line="240" w:lineRule="auto"/>
      </w:pPr>
      <w:r>
        <w:separator/>
      </w:r>
    </w:p>
  </w:footnote>
  <w:footnote w:type="continuationSeparator" w:id="0">
    <w:p w14:paraId="66CE45A4" w14:textId="77777777" w:rsidR="00150753" w:rsidRDefault="00150753"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4"/>
  </w:num>
  <w:num w:numId="3" w16cid:durableId="1543667111">
    <w:abstractNumId w:val="2"/>
  </w:num>
  <w:num w:numId="4" w16cid:durableId="2120904733">
    <w:abstractNumId w:val="3"/>
    <w:lvlOverride w:ilvl="0">
      <w:startOverride w:val="1"/>
    </w:lvlOverride>
  </w:num>
  <w:num w:numId="5" w16cid:durableId="128295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724C"/>
    <w:rsid w:val="000D061B"/>
    <w:rsid w:val="00114DF8"/>
    <w:rsid w:val="001221BC"/>
    <w:rsid w:val="00150753"/>
    <w:rsid w:val="00154C3B"/>
    <w:rsid w:val="0016775D"/>
    <w:rsid w:val="00180B42"/>
    <w:rsid w:val="001928AB"/>
    <w:rsid w:val="00196827"/>
    <w:rsid w:val="001D4C6D"/>
    <w:rsid w:val="001F0BA5"/>
    <w:rsid w:val="00214F5F"/>
    <w:rsid w:val="002338A3"/>
    <w:rsid w:val="00246D8F"/>
    <w:rsid w:val="002B0F3E"/>
    <w:rsid w:val="002B2F6D"/>
    <w:rsid w:val="002B54E7"/>
    <w:rsid w:val="002C1903"/>
    <w:rsid w:val="002D2D04"/>
    <w:rsid w:val="002D3CE9"/>
    <w:rsid w:val="002F6840"/>
    <w:rsid w:val="00326B8C"/>
    <w:rsid w:val="003C4859"/>
    <w:rsid w:val="003E57AD"/>
    <w:rsid w:val="004060D2"/>
    <w:rsid w:val="00416939"/>
    <w:rsid w:val="00425546"/>
    <w:rsid w:val="00442043"/>
    <w:rsid w:val="0045781F"/>
    <w:rsid w:val="004A2836"/>
    <w:rsid w:val="004D07B2"/>
    <w:rsid w:val="004F095B"/>
    <w:rsid w:val="004F54A8"/>
    <w:rsid w:val="004F6622"/>
    <w:rsid w:val="005067ED"/>
    <w:rsid w:val="00536AD9"/>
    <w:rsid w:val="00551E91"/>
    <w:rsid w:val="00566DB3"/>
    <w:rsid w:val="0058732A"/>
    <w:rsid w:val="005950CD"/>
    <w:rsid w:val="005A1594"/>
    <w:rsid w:val="005A3081"/>
    <w:rsid w:val="005C61BF"/>
    <w:rsid w:val="005C6777"/>
    <w:rsid w:val="005D5078"/>
    <w:rsid w:val="005F08BA"/>
    <w:rsid w:val="006006AF"/>
    <w:rsid w:val="00623197"/>
    <w:rsid w:val="00636DF5"/>
    <w:rsid w:val="0065441E"/>
    <w:rsid w:val="00684053"/>
    <w:rsid w:val="00690DDB"/>
    <w:rsid w:val="006A2647"/>
    <w:rsid w:val="006A403D"/>
    <w:rsid w:val="006B3AAC"/>
    <w:rsid w:val="006E4137"/>
    <w:rsid w:val="00723ADE"/>
    <w:rsid w:val="00724EB6"/>
    <w:rsid w:val="0073061D"/>
    <w:rsid w:val="007722A8"/>
    <w:rsid w:val="00774065"/>
    <w:rsid w:val="007D3681"/>
    <w:rsid w:val="007D5182"/>
    <w:rsid w:val="007E46B6"/>
    <w:rsid w:val="00812C9A"/>
    <w:rsid w:val="0082442A"/>
    <w:rsid w:val="00824BC0"/>
    <w:rsid w:val="008426B7"/>
    <w:rsid w:val="00845267"/>
    <w:rsid w:val="00852C5C"/>
    <w:rsid w:val="008641BD"/>
    <w:rsid w:val="008727A4"/>
    <w:rsid w:val="00884E06"/>
    <w:rsid w:val="00887B17"/>
    <w:rsid w:val="00893453"/>
    <w:rsid w:val="008E2E48"/>
    <w:rsid w:val="00906562"/>
    <w:rsid w:val="00913FC8"/>
    <w:rsid w:val="009222D0"/>
    <w:rsid w:val="0093616B"/>
    <w:rsid w:val="00940915"/>
    <w:rsid w:val="0094593B"/>
    <w:rsid w:val="00946A01"/>
    <w:rsid w:val="009572D0"/>
    <w:rsid w:val="00961FA9"/>
    <w:rsid w:val="009668D6"/>
    <w:rsid w:val="009B6C32"/>
    <w:rsid w:val="009C0013"/>
    <w:rsid w:val="00A2411E"/>
    <w:rsid w:val="00A55028"/>
    <w:rsid w:val="00A56545"/>
    <w:rsid w:val="00A64527"/>
    <w:rsid w:val="00A67E34"/>
    <w:rsid w:val="00A74D29"/>
    <w:rsid w:val="00A96C6A"/>
    <w:rsid w:val="00AA04FA"/>
    <w:rsid w:val="00AA62F3"/>
    <w:rsid w:val="00AB3AE4"/>
    <w:rsid w:val="00AB7F9E"/>
    <w:rsid w:val="00AC64E3"/>
    <w:rsid w:val="00B0625D"/>
    <w:rsid w:val="00B17459"/>
    <w:rsid w:val="00B6253B"/>
    <w:rsid w:val="00B77AC9"/>
    <w:rsid w:val="00B9318B"/>
    <w:rsid w:val="00BB53F1"/>
    <w:rsid w:val="00BC56C4"/>
    <w:rsid w:val="00BE20D6"/>
    <w:rsid w:val="00BF33B7"/>
    <w:rsid w:val="00C013DA"/>
    <w:rsid w:val="00C04428"/>
    <w:rsid w:val="00C04E34"/>
    <w:rsid w:val="00C20D6B"/>
    <w:rsid w:val="00C2173C"/>
    <w:rsid w:val="00C25715"/>
    <w:rsid w:val="00C25FFB"/>
    <w:rsid w:val="00C74969"/>
    <w:rsid w:val="00CA7B83"/>
    <w:rsid w:val="00CC1613"/>
    <w:rsid w:val="00CE7758"/>
    <w:rsid w:val="00CF7577"/>
    <w:rsid w:val="00CF7A5D"/>
    <w:rsid w:val="00D13B8D"/>
    <w:rsid w:val="00D346ED"/>
    <w:rsid w:val="00D45F58"/>
    <w:rsid w:val="00D64E13"/>
    <w:rsid w:val="00D752A9"/>
    <w:rsid w:val="00D9304B"/>
    <w:rsid w:val="00DB274C"/>
    <w:rsid w:val="00DC52DD"/>
    <w:rsid w:val="00DC6E4E"/>
    <w:rsid w:val="00DD0613"/>
    <w:rsid w:val="00DF7938"/>
    <w:rsid w:val="00E16CAD"/>
    <w:rsid w:val="00E20D7E"/>
    <w:rsid w:val="00E27FCE"/>
    <w:rsid w:val="00E315C7"/>
    <w:rsid w:val="00E325F2"/>
    <w:rsid w:val="00E42EE7"/>
    <w:rsid w:val="00E456F7"/>
    <w:rsid w:val="00E54F8F"/>
    <w:rsid w:val="00E85D03"/>
    <w:rsid w:val="00EA748F"/>
    <w:rsid w:val="00EB7720"/>
    <w:rsid w:val="00EC2C26"/>
    <w:rsid w:val="00ED1361"/>
    <w:rsid w:val="00F07D53"/>
    <w:rsid w:val="00F2295E"/>
    <w:rsid w:val="00F35346"/>
    <w:rsid w:val="00F86456"/>
    <w:rsid w:val="00F87ED4"/>
    <w:rsid w:val="00FB5012"/>
    <w:rsid w:val="00FD13F6"/>
    <w:rsid w:val="00FD1ACF"/>
    <w:rsid w:val="00FD309D"/>
    <w:rsid w:val="00FE554A"/>
    <w:rsid w:val="00FF4464"/>
    <w:rsid w:val="00FF683A"/>
    <w:rsid w:val="2AA860A7"/>
    <w:rsid w:val="36E2781D"/>
    <w:rsid w:val="407DCF26"/>
    <w:rsid w:val="5014D130"/>
    <w:rsid w:val="592C80BC"/>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Props1.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3.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2204</Words>
  <Characters>12564</Characters>
  <Application>Microsoft Office Word</Application>
  <DocSecurity>0</DocSecurity>
  <Lines>104</Lines>
  <Paragraphs>29</Paragraphs>
  <ScaleCrop>false</ScaleCrop>
  <Company/>
  <LinksUpToDate>false</LinksUpToDate>
  <CharactersWithSpaces>14739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4</cp:revision>
  <cp:lastPrinted>2026-05-29T16:52:00Z</cp:lastPrinted>
  <dcterms:created xsi:type="dcterms:W3CDTF">2026-07-19T23:15:00Z</dcterms:created>
  <dcterms:modified xsi:type="dcterms:W3CDTF">2026-07-19T23:18:00Z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