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918A4" w:rsidRDefault="00E325F2" w:rsidP="00477C9E">
      <w:pPr>
        <w:pStyle w:val="Heading1"/>
        <w:jc w:val="center"/>
        <w:rPr>
          <w:rFonts w:ascii="Aptos Narrow" w:hAnsi="Aptos Narrow"/>
          <w:b/>
          <w:bCs/>
          <w:lang w:val="es-419"/>
        </w:rPr>
      </w:pPr>
      <w:bookmarkStart w:id="0" w:name="_Toc228135348"/>
      <w:r w:rsidRPr="00D918A4">
        <w:rPr>
          <w:rFonts w:ascii="Aptos Narrow" w:hAnsi="Aptos Narrow"/>
          <w:b/>
          <w:bCs/>
          <w:lang w:val="es-419"/>
        </w:rPr>
        <w:t>SCRIPT</w:t>
      </w:r>
      <w:r w:rsidR="00CA7B83" w:rsidRPr="00D918A4">
        <w:rPr>
          <w:rFonts w:ascii="Aptos Narrow" w:hAnsi="Aptos Narrow"/>
          <w:b/>
          <w:bCs/>
          <w:lang w:val="es-419"/>
        </w:rPr>
        <w:t xml:space="preserve"> SUGERIDO</w:t>
      </w:r>
      <w:bookmarkEnd w:id="0"/>
    </w:p>
    <w:p w14:paraId="511F89BC" w14:textId="77777777" w:rsidR="008B3B28" w:rsidRPr="00D918A4" w:rsidRDefault="008B3B28" w:rsidP="008B3B28">
      <w:pPr>
        <w:pStyle w:val="Heading2"/>
        <w:rPr>
          <w:rFonts w:ascii="Aptos Narrow" w:hAnsi="Aptos Narrow"/>
          <w:sz w:val="22"/>
          <w:szCs w:val="22"/>
        </w:rPr>
      </w:pPr>
      <w:bookmarkStart w:id="1" w:name="_Toc228135349"/>
      <w:r w:rsidRPr="00D918A4">
        <w:rPr>
          <w:rFonts w:ascii="Aptos Narrow" w:hAnsi="Aptos Narrow"/>
          <w:sz w:val="22"/>
          <w:szCs w:val="22"/>
        </w:rPr>
        <w:t xml:space="preserve">SEMANA 4: </w:t>
      </w:r>
      <w:bookmarkEnd w:id="1"/>
      <w:r w:rsidRPr="00D918A4">
        <w:rPr>
          <w:rFonts w:ascii="Aptos Narrow" w:hAnsi="Aptos Narrow"/>
          <w:sz w:val="22"/>
          <w:szCs w:val="22"/>
        </w:rPr>
        <w:t>Dinámica de Sistemas I — Pensamiento Sistémico, Stocks y Flujos</w:t>
      </w:r>
    </w:p>
    <w:p w14:paraId="41F3DBFF" w14:textId="77777777" w:rsidR="008B3B28" w:rsidRPr="00D918A4" w:rsidRDefault="008B3B28" w:rsidP="008B3B28">
      <w:pPr>
        <w:spacing w:after="80"/>
        <w:rPr>
          <w:rFonts w:ascii="Aptos Narrow" w:hAnsi="Aptos Narrow"/>
          <w:sz w:val="22"/>
          <w:szCs w:val="22"/>
          <w:lang w:val="es-419"/>
        </w:rPr>
      </w:pPr>
      <w:r w:rsidRPr="00D918A4">
        <w:rPr>
          <w:rFonts w:ascii="Aptos Narrow" w:hAnsi="Aptos Narrow"/>
          <w:i/>
          <w:iCs/>
          <w:color w:val="B85042"/>
          <w:sz w:val="22"/>
          <w:szCs w:val="22"/>
          <w:lang w:val="es-419"/>
        </w:rPr>
        <w:t>Caso ancla: El ciclo de inversión-capacidad en generación eléctrica colombiana</w:t>
      </w:r>
    </w:p>
    <w:p w14:paraId="434B924A" w14:textId="77777777" w:rsidR="008B3B28" w:rsidRPr="00D918A4" w:rsidRDefault="008B3B28" w:rsidP="008B3B28">
      <w:pPr>
        <w:pBdr>
          <w:bottom w:val="single" w:sz="8" w:space="6" w:color="1E2761"/>
        </w:pBdr>
        <w:spacing w:after="120"/>
        <w:rPr>
          <w:rFonts w:ascii="Aptos Narrow" w:hAnsi="Aptos Narrow"/>
          <w:sz w:val="22"/>
          <w:szCs w:val="22"/>
          <w:lang w:val="es-419"/>
        </w:rPr>
      </w:pPr>
      <w:r w:rsidRPr="00D918A4">
        <w:rPr>
          <w:rFonts w:ascii="Aptos Narrow" w:hAnsi="Aptos Narrow"/>
          <w:b/>
          <w:bCs/>
          <w:color w:val="1E2761"/>
          <w:sz w:val="22"/>
          <w:szCs w:val="22"/>
          <w:lang w:val="es-419"/>
        </w:rPr>
        <w:t xml:space="preserve">Resultados de Aprendizaje verificados: </w:t>
      </w:r>
      <w:r w:rsidRPr="00D918A4">
        <w:rPr>
          <w:rFonts w:ascii="Aptos Narrow" w:hAnsi="Aptos Narrow"/>
          <w:sz w:val="22"/>
          <w:szCs w:val="22"/>
          <w:lang w:val="es-419"/>
        </w:rPr>
        <w:t>RAC 3 (alto) · RAC 1 (</w:t>
      </w:r>
      <w:proofErr w:type="gramStart"/>
      <w:r w:rsidRPr="00D918A4">
        <w:rPr>
          <w:rFonts w:ascii="Aptos Narrow" w:hAnsi="Aptos Narrow"/>
          <w:sz w:val="22"/>
          <w:szCs w:val="22"/>
          <w:lang w:val="es-419"/>
        </w:rPr>
        <w:t>medio)</w:t>
      </w:r>
      <w:r w:rsidRPr="00D918A4">
        <w:rPr>
          <w:rFonts w:ascii="Aptos Narrow" w:hAnsi="Aptos Narrow"/>
          <w:color w:val="5C6478"/>
          <w:sz w:val="22"/>
          <w:szCs w:val="22"/>
          <w:lang w:val="es-419"/>
        </w:rPr>
        <w:t xml:space="preserve">  ·</w:t>
      </w:r>
      <w:proofErr w:type="gramEnd"/>
      <w:r w:rsidRPr="00D918A4">
        <w:rPr>
          <w:rFonts w:ascii="Aptos Narrow" w:hAnsi="Aptos Narrow"/>
          <w:color w:val="5C6478"/>
          <w:sz w:val="22"/>
          <w:szCs w:val="22"/>
          <w:lang w:val="es-419"/>
        </w:rPr>
        <w:t xml:space="preserve">  </w:t>
      </w:r>
      <w:r w:rsidRPr="00D918A4">
        <w:rPr>
          <w:rFonts w:ascii="Aptos Narrow" w:hAnsi="Aptos Narrow"/>
          <w:b/>
          <w:bCs/>
          <w:color w:val="1E2761"/>
          <w:sz w:val="22"/>
          <w:szCs w:val="22"/>
          <w:lang w:val="es-419"/>
        </w:rPr>
        <w:t xml:space="preserve">RA del programa: </w:t>
      </w:r>
      <w:r w:rsidRPr="00D918A4">
        <w:rPr>
          <w:rFonts w:ascii="Aptos Narrow" w:hAnsi="Aptos Narrow"/>
          <w:sz w:val="22"/>
          <w:szCs w:val="22"/>
          <w:lang w:val="es-419"/>
        </w:rPr>
        <w:t>RA1.2, RA1.3, RA3.2</w:t>
      </w:r>
    </w:p>
    <w:p w14:paraId="4537F3C1" w14:textId="77777777" w:rsidR="008B3B28" w:rsidRPr="00D918A4" w:rsidRDefault="008B3B28" w:rsidP="008B3B28">
      <w:pPr>
        <w:spacing w:before="60" w:after="60" w:line="300" w:lineRule="auto"/>
        <w:jc w:val="both"/>
        <w:rPr>
          <w:rFonts w:ascii="Aptos Narrow" w:hAnsi="Aptos Narrow"/>
          <w:sz w:val="22"/>
          <w:szCs w:val="22"/>
          <w:lang w:val="es-419"/>
        </w:rPr>
      </w:pPr>
      <w:r w:rsidRPr="00D918A4">
        <w:rPr>
          <w:rFonts w:ascii="Aptos Narrow" w:hAnsi="Aptos Narrow"/>
          <w:sz w:val="22"/>
          <w:szCs w:val="22"/>
          <w:lang w:val="es-419"/>
        </w:rPr>
        <w:t xml:space="preserve">Se introduce la dinámica de sistemas como extensión cuantitativa del pensamiento sistémico. El estudiante aprende la distinción fundamental entre stocks (acumuladores) y flujos (tasas), construye sus primeros modelos </w:t>
      </w:r>
      <w:proofErr w:type="spellStart"/>
      <w:r w:rsidRPr="00D918A4">
        <w:rPr>
          <w:rFonts w:ascii="Aptos Narrow" w:hAnsi="Aptos Narrow"/>
          <w:sz w:val="22"/>
          <w:szCs w:val="22"/>
          <w:lang w:val="es-419"/>
        </w:rPr>
        <w:t>simulables</w:t>
      </w:r>
      <w:proofErr w:type="spellEnd"/>
      <w:r w:rsidRPr="00D918A4">
        <w:rPr>
          <w:rFonts w:ascii="Aptos Narrow" w:hAnsi="Aptos Narrow"/>
          <w:sz w:val="22"/>
          <w:szCs w:val="22"/>
          <w:lang w:val="es-419"/>
        </w:rPr>
        <w:t xml:space="preserve"> en Python (utilizando </w:t>
      </w:r>
      <w:proofErr w:type="spellStart"/>
      <w:proofErr w:type="gramStart"/>
      <w:r w:rsidRPr="00D918A4">
        <w:rPr>
          <w:rFonts w:ascii="Aptos Narrow" w:hAnsi="Aptos Narrow"/>
          <w:sz w:val="22"/>
          <w:szCs w:val="22"/>
          <w:lang w:val="es-419"/>
        </w:rPr>
        <w:t>scipy.integrate</w:t>
      </w:r>
      <w:proofErr w:type="spellEnd"/>
      <w:proofErr w:type="gramEnd"/>
      <w:r w:rsidRPr="00D918A4">
        <w:rPr>
          <w:rFonts w:ascii="Aptos Narrow" w:hAnsi="Aptos Narrow"/>
          <w:sz w:val="22"/>
          <w:szCs w:val="22"/>
          <w:lang w:val="es-419"/>
        </w:rPr>
        <w:t xml:space="preserve"> y los módulos propios del curso), y practica la notación formal de diagramas de stocks y flujos. El caso del ciclo inversión-capacidad en generación eléctrica —la dinámica que explica por qué el sector oscila entre sobreinversión y escasez— se modela con datos históricos del SIN.</w:t>
      </w:r>
    </w:p>
    <w:p w14:paraId="2DF010CF" w14:textId="77777777" w:rsidR="00684053" w:rsidRPr="00D918A4" w:rsidRDefault="00684053" w:rsidP="00684053">
      <w:pPr>
        <w:spacing w:before="200" w:after="100"/>
        <w:rPr>
          <w:rFonts w:ascii="Aptos Narrow" w:hAnsi="Aptos Narrow"/>
          <w:sz w:val="22"/>
          <w:szCs w:val="22"/>
          <w:lang w:val="es-419"/>
        </w:rPr>
      </w:pPr>
      <w:r w:rsidRPr="00D918A4">
        <w:rPr>
          <w:rFonts w:ascii="Aptos Narrow" w:hAnsi="Aptos Narrow"/>
          <w:b/>
          <w:bCs/>
          <w:color w:val="065A82"/>
          <w:sz w:val="22"/>
          <w:szCs w:val="22"/>
          <w:lang w:val="es-419"/>
        </w:rPr>
        <w:t xml:space="preserve">Bloque Autónomo — 10 horas (secuencia Mo → Co → Pr → </w:t>
      </w:r>
      <w:proofErr w:type="spellStart"/>
      <w:r w:rsidRPr="00D918A4">
        <w:rPr>
          <w:rFonts w:ascii="Aptos Narrow" w:hAnsi="Aptos Narrow"/>
          <w:b/>
          <w:bCs/>
          <w:color w:val="065A82"/>
          <w:sz w:val="22"/>
          <w:szCs w:val="22"/>
          <w:lang w:val="es-419"/>
        </w:rPr>
        <w:t>Ev</w:t>
      </w:r>
      <w:proofErr w:type="spellEnd"/>
      <w:r w:rsidRPr="00D918A4">
        <w:rPr>
          <w:rFonts w:ascii="Aptos Narrow" w:hAnsi="Aptos Narrow"/>
          <w:b/>
          <w:bCs/>
          <w:color w:val="065A82"/>
          <w:sz w:val="22"/>
          <w:szCs w:val="22"/>
          <w:lang w:val="es-419"/>
        </w:rPr>
        <w:t xml:space="preserve"> → </w:t>
      </w:r>
      <w:proofErr w:type="spellStart"/>
      <w:r w:rsidRPr="00D918A4">
        <w:rPr>
          <w:rFonts w:ascii="Aptos Narrow" w:hAnsi="Aptos Narrow"/>
          <w:b/>
          <w:bCs/>
          <w:color w:val="065A82"/>
          <w:sz w:val="22"/>
          <w:szCs w:val="22"/>
          <w:lang w:val="es-419"/>
        </w:rPr>
        <w:t>Proy</w:t>
      </w:r>
      <w:proofErr w:type="spellEnd"/>
      <w:r w:rsidRPr="00D918A4">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C25715" w:rsidRPr="00D918A4" w14:paraId="4D7CA148" w14:textId="77777777" w:rsidTr="003D38F0">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6B6B80B2" w14:textId="77777777" w:rsidR="00C25715" w:rsidRPr="00D918A4" w:rsidRDefault="00C25715" w:rsidP="003D38F0">
            <w:pPr>
              <w:jc w:val="center"/>
              <w:rPr>
                <w:rFonts w:ascii="Aptos Narrow" w:hAnsi="Aptos Narrow"/>
                <w:sz w:val="22"/>
                <w:szCs w:val="22"/>
              </w:rPr>
            </w:pPr>
            <w:proofErr w:type="spellStart"/>
            <w:r w:rsidRPr="00D918A4">
              <w:rPr>
                <w:rFonts w:ascii="Aptos Narrow" w:hAnsi="Aptos Narrow"/>
                <w:b/>
                <w:bCs/>
                <w:color w:val="FFFFFF"/>
                <w:sz w:val="22"/>
                <w:szCs w:val="22"/>
              </w:rPr>
              <w:t>Cód</w:t>
            </w:r>
            <w:proofErr w:type="spellEnd"/>
            <w:r w:rsidRPr="00D918A4">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6352DFE" w14:textId="537E42FA" w:rsidR="00C25715" w:rsidRPr="00D918A4" w:rsidRDefault="00B77AC9" w:rsidP="003D38F0">
            <w:pPr>
              <w:jc w:val="center"/>
              <w:rPr>
                <w:rFonts w:ascii="Aptos Narrow" w:hAnsi="Aptos Narrow"/>
                <w:b/>
                <w:bCs/>
                <w:sz w:val="22"/>
                <w:szCs w:val="22"/>
              </w:rPr>
            </w:pPr>
            <w:proofErr w:type="spellStart"/>
            <w:r w:rsidRPr="00D918A4">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1323089" w14:textId="77777777" w:rsidR="00C25715" w:rsidRPr="00D918A4" w:rsidRDefault="00C25715" w:rsidP="003D38F0">
            <w:pPr>
              <w:jc w:val="center"/>
              <w:rPr>
                <w:rFonts w:ascii="Aptos Narrow" w:hAnsi="Aptos Narrow"/>
                <w:sz w:val="22"/>
                <w:szCs w:val="22"/>
                <w:lang w:val="es-419"/>
              </w:rPr>
            </w:pPr>
            <w:r w:rsidRPr="00D918A4">
              <w:rPr>
                <w:rFonts w:ascii="Aptos Narrow" w:hAnsi="Aptos Narrow"/>
                <w:b/>
                <w:bCs/>
                <w:color w:val="FFFFFF"/>
                <w:sz w:val="22"/>
                <w:szCs w:val="22"/>
                <w:lang w:val="es-419"/>
              </w:rPr>
              <w:t>Descripción</w:t>
            </w:r>
          </w:p>
        </w:tc>
      </w:tr>
      <w:tr w:rsidR="00EC0C2E" w:rsidRPr="00D918A4" w14:paraId="09D29222" w14:textId="77777777" w:rsidTr="003D38F0">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414412C2" w14:textId="35CE98BB" w:rsidR="00EC0C2E" w:rsidRPr="00D918A4" w:rsidRDefault="00EC0C2E" w:rsidP="00EC0C2E">
            <w:pPr>
              <w:spacing w:after="0"/>
              <w:jc w:val="center"/>
              <w:rPr>
                <w:rFonts w:ascii="Aptos Narrow" w:hAnsi="Aptos Narrow"/>
                <w:sz w:val="20"/>
                <w:szCs w:val="20"/>
              </w:rPr>
            </w:pPr>
            <w:r w:rsidRPr="00D918A4">
              <w:rPr>
                <w:rFonts w:ascii="Aptos Narrow" w:hAnsi="Aptos Narrow"/>
                <w:b/>
                <w:bCs/>
                <w:color w:val="1E2761"/>
                <w:sz w:val="20"/>
                <w:szCs w:val="20"/>
              </w:rPr>
              <w:t>Mo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6B9080E1" w14:textId="37803E5F" w:rsidR="00EC0C2E" w:rsidRPr="00D918A4" w:rsidRDefault="00EC0C2E" w:rsidP="00EC0C2E">
            <w:pPr>
              <w:spacing w:after="0"/>
              <w:jc w:val="center"/>
              <w:rPr>
                <w:rFonts w:ascii="Aptos Narrow" w:hAnsi="Aptos Narrow"/>
                <w:sz w:val="20"/>
                <w:szCs w:val="20"/>
              </w:rPr>
            </w:pPr>
            <w:proofErr w:type="spellStart"/>
            <w:r w:rsidRPr="00D918A4">
              <w:rPr>
                <w:rFonts w:ascii="Aptos Narrow" w:hAnsi="Aptos Narrow"/>
                <w:b/>
                <w:bCs/>
                <w:color w:val="1E2761"/>
                <w:sz w:val="20"/>
                <w:szCs w:val="20"/>
              </w:rPr>
              <w:t>Motivación</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1AD20DD" w14:textId="165927C5" w:rsidR="00EC0C2E" w:rsidRPr="00D918A4" w:rsidRDefault="00EC0C2E" w:rsidP="00EC0C2E">
            <w:pPr>
              <w:spacing w:after="0"/>
              <w:jc w:val="both"/>
              <w:rPr>
                <w:rFonts w:ascii="Aptos Narrow" w:hAnsi="Aptos Narrow"/>
                <w:sz w:val="20"/>
                <w:szCs w:val="20"/>
                <w:lang w:val="es-419"/>
              </w:rPr>
            </w:pPr>
            <w:r w:rsidRPr="00D918A4">
              <w:rPr>
                <w:rFonts w:ascii="Aptos Narrow" w:hAnsi="Aptos Narrow"/>
                <w:sz w:val="20"/>
                <w:szCs w:val="20"/>
                <w:lang w:val="es-419"/>
              </w:rPr>
              <w:t>Gráfica histórica de capacidad instalada y precios de bolsa en Colombia 2000–2024. Pregunta detonadora: ¿por qué el sector oscila? El profesor presenta brevemente el caso del ciclo inversión-capacidad como motor del aprendizaje de la semana.</w:t>
            </w:r>
          </w:p>
        </w:tc>
      </w:tr>
    </w:tbl>
    <w:p w14:paraId="11607A62" w14:textId="77777777" w:rsidR="006A2647" w:rsidRPr="00D918A4" w:rsidRDefault="006A2647" w:rsidP="006A2647">
      <w:pPr>
        <w:rPr>
          <w:rFonts w:ascii="Aptos Narrow" w:hAnsi="Aptos Narrow"/>
          <w:sz w:val="22"/>
          <w:szCs w:val="22"/>
          <w:lang w:val="es-419"/>
        </w:rPr>
      </w:pPr>
      <w:r w:rsidRPr="00D918A4">
        <w:rPr>
          <w:rFonts w:ascii="Aptos Narrow" w:hAnsi="Aptos Narrow"/>
          <w:sz w:val="22"/>
          <w:szCs w:val="22"/>
          <w:lang w:val="es-419"/>
        </w:rPr>
        <w:br w:type="page"/>
      </w:r>
    </w:p>
    <w:p w14:paraId="31A0717A" w14:textId="5EB7FF1A" w:rsidR="006A2647" w:rsidRPr="00D918A4" w:rsidRDefault="006A2647" w:rsidP="006A2647">
      <w:pPr>
        <w:pStyle w:val="Heading2"/>
        <w:rPr>
          <w:rFonts w:ascii="Aptos Narrow" w:hAnsi="Aptos Narrow"/>
          <w:sz w:val="22"/>
          <w:szCs w:val="22"/>
          <w:lang w:val="es-419"/>
        </w:rPr>
      </w:pPr>
      <w:r w:rsidRPr="00D918A4">
        <w:rPr>
          <w:rFonts w:ascii="Aptos Narrow" w:hAnsi="Aptos Narrow"/>
          <w:sz w:val="22"/>
          <w:szCs w:val="22"/>
        </w:rPr>
        <w:lastRenderedPageBreak/>
        <w:t xml:space="preserve">SCRIPT </w:t>
      </w:r>
      <w:r w:rsidRPr="00D918A4">
        <w:rPr>
          <w:rFonts w:ascii="Aptos Narrow" w:hAnsi="Aptos Narrow"/>
          <w:sz w:val="22"/>
          <w:szCs w:val="22"/>
          <w:lang w:val="es-419"/>
        </w:rPr>
        <w:t>~ 5 min</w:t>
      </w:r>
    </w:p>
    <w:p w14:paraId="08D043A0" w14:textId="77777777" w:rsidR="00D918A4" w:rsidRPr="00D918A4" w:rsidRDefault="00D918A4" w:rsidP="00D918A4">
      <w:pPr>
        <w:spacing w:before="280" w:after="120"/>
        <w:rPr>
          <w:rFonts w:ascii="Aptos Narrow" w:hAnsi="Aptos Narrow"/>
          <w:sz w:val="22"/>
          <w:szCs w:val="22"/>
          <w:lang w:val="es-419"/>
        </w:rPr>
      </w:pPr>
      <w:r w:rsidRPr="00D918A4">
        <w:rPr>
          <w:rFonts w:ascii="Aptos Narrow" w:hAnsi="Aptos Narrow"/>
          <w:b/>
          <w:bCs/>
          <w:color w:val="1F3864"/>
          <w:sz w:val="22"/>
          <w:szCs w:val="22"/>
          <w:lang w:val="es-419"/>
        </w:rPr>
        <w:t>Segmento 1 — Gancho</w:t>
      </w:r>
    </w:p>
    <w:p w14:paraId="38BF0D5E"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Miren esta gráfica. Es la historia del sistema eléctrico colombiano desde el año 2000 hasta hoy [verificar la serie y la fuente de los datos de capacidad instalada y precio de bolsa que se muestren]. Arriba, la capacidad de generación instalada; abajo, el precio de la energía en la bolsa. Y fíjense en el patrón: no es una línea que sube tranquila ni un precio que se queda quieto. Sube y baja. Épocas de abundancia, con precios bajos, seguidas de épocas de escasez, con precios que se disparan, seguidas otra vez de abundancia. El sistema oscila. Y no lo hace una vez: lo hace una y otra vez, con un ritmo que se repite a lo largo de las décadas.</w:t>
      </w:r>
    </w:p>
    <w:p w14:paraId="1470AA7D" w14:textId="77777777" w:rsidR="00D918A4" w:rsidRPr="00D918A4" w:rsidRDefault="00D918A4" w:rsidP="00D918A4">
      <w:pPr>
        <w:spacing w:before="280" w:after="120"/>
        <w:rPr>
          <w:rFonts w:ascii="Aptos Narrow" w:hAnsi="Aptos Narrow"/>
          <w:sz w:val="22"/>
          <w:szCs w:val="22"/>
          <w:lang w:val="es-419"/>
        </w:rPr>
      </w:pPr>
      <w:r w:rsidRPr="00D918A4">
        <w:rPr>
          <w:rFonts w:ascii="Aptos Narrow" w:hAnsi="Aptos Narrow"/>
          <w:b/>
          <w:bCs/>
          <w:color w:val="1F3864"/>
          <w:sz w:val="22"/>
          <w:szCs w:val="22"/>
          <w:lang w:val="es-419"/>
        </w:rPr>
        <w:t>Segmento 2 — La pregunta</w:t>
      </w:r>
    </w:p>
    <w:p w14:paraId="414940FF"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Esa repetición es lo que debería llamarnos la atención. Si el sistema fallara una vez por un evento externo, como una sequía, lo entenderíamos: mala suerte, un choque de afuera. Pero cuando un sistema oscila de forma recurrente, con un patrón que vuelve, la explicación ya no puede ser solo la mala suerte. Algo en la estructura misma del sistema lo está haciendo oscilar. La pregunta de esta semana es directa: ¿por qué el sector eléctrico oscila entre sobreinversión y escasez, y por qué parece incapaz de simplemente estabilizarse en un punto cómodo?</w:t>
      </w:r>
    </w:p>
    <w:p w14:paraId="324F4A55"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Y no es una pregunta menor. Cada ciclo de escasez trae precios altos, riesgo de racionamiento y presión sobre los usuarios. Cada ciclo de sobreinversión deja capacidad ociosa, inversiones que no rinden lo esperado y capital inmovilizado. Un sector que oscila es un sector caro e inestable, y entender por qué oscila es el primer paso para diseñar políticas que amortigüen esos vaivenes en lugar de amplificarlos.</w:t>
      </w:r>
    </w:p>
    <w:p w14:paraId="26E37499" w14:textId="77777777" w:rsidR="00D918A4" w:rsidRPr="00D918A4" w:rsidRDefault="00D918A4" w:rsidP="00D918A4">
      <w:pPr>
        <w:spacing w:before="280" w:after="120"/>
        <w:rPr>
          <w:rFonts w:ascii="Aptos Narrow" w:hAnsi="Aptos Narrow"/>
          <w:sz w:val="22"/>
          <w:szCs w:val="22"/>
          <w:lang w:val="es-419"/>
        </w:rPr>
      </w:pPr>
      <w:r w:rsidRPr="00D918A4">
        <w:rPr>
          <w:rFonts w:ascii="Aptos Narrow" w:hAnsi="Aptos Narrow"/>
          <w:b/>
          <w:bCs/>
          <w:color w:val="1F3864"/>
          <w:sz w:val="22"/>
          <w:szCs w:val="22"/>
          <w:lang w:val="es-419"/>
        </w:rPr>
        <w:t>Segmento 3 — El ciclo inversión-capacidad</w:t>
      </w:r>
    </w:p>
    <w:p w14:paraId="7EFCE3A0"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La intuición que vamos a perseguir esta semana tiene nombre: el ciclo de inversión y capacidad. Piénsenlo así. Cuando hay escasez, el precio sube, y ese precio alto invita a construir nuevas plantas. Pero una central no se construye de un día para otro; tarda años. Durante esos años, la escasez sigue, el precio sigue alto, y muchos inversionistas, viendo la misma señal, deciden construir a la vez. Cuando por fin todas esas plantas entran en operación, entran juntas, y de repente hay demasiada capacidad. El precio se desploma, nadie quiere construir, la inversión se seca. Y años después, cuando la demanda alcanza a esa capacidad, vuelve la escasez, y el ciclo recomienza. El sistema oscila no porque alguien se equivoque, sino por cómo está armado.</w:t>
      </w:r>
    </w:p>
    <w:p w14:paraId="46B56D5B"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Fíjense en las piezas de esa historia, porque son nuevas para nuestro curso. Hay cantidades que se acumulan en el tiempo: la capacidad instalada, las plantas en construcción, la demanda. Hay demoras largas entre decidir y ver el resultado. Y hay retroalimentaciones entre el precio y la decisión de invertir. Nuestras herramientas anteriores, el pensamiento de complejidad y las redes, no fueron diseñadas para capturar esto con precisión. Para modelar cantidades que se acumulan y se vacían en el tiempo, necesitamos una herramienta nueva.</w:t>
      </w:r>
    </w:p>
    <w:p w14:paraId="39311C31" w14:textId="77777777" w:rsidR="00D918A4" w:rsidRPr="00D918A4" w:rsidRDefault="00D918A4" w:rsidP="00D918A4">
      <w:pPr>
        <w:spacing w:before="280" w:after="120"/>
        <w:rPr>
          <w:rFonts w:ascii="Aptos Narrow" w:hAnsi="Aptos Narrow"/>
          <w:sz w:val="22"/>
          <w:szCs w:val="22"/>
          <w:lang w:val="es-419"/>
        </w:rPr>
      </w:pPr>
      <w:r w:rsidRPr="00D918A4">
        <w:rPr>
          <w:rFonts w:ascii="Aptos Narrow" w:hAnsi="Aptos Narrow"/>
          <w:b/>
          <w:bCs/>
          <w:color w:val="1F3864"/>
          <w:sz w:val="22"/>
          <w:szCs w:val="22"/>
          <w:lang w:val="es-419"/>
        </w:rPr>
        <w:lastRenderedPageBreak/>
        <w:t>Segmento 4 — Pregunta orientadora y cierre</w:t>
      </w:r>
    </w:p>
    <w:p w14:paraId="2C135F5D"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Así que esta es la pregunta que quiero que lleven al foro y que tengan en mente toda la semana. Miren la gráfica de la oscilación del sistema colombiano y pregúntense: ¿qué elemento de la estructura del sector es el responsable de que oscile en lugar de estabilizarse? ¿Es la demora en construir? ¿Es la forma en que el precio guía la inversión? Escriban su hipótesis con sus propias palabras, antes de tener el modelo. Al final de la semana la van a poder responder simulando el ciclo ustedes mismos.</w:t>
      </w:r>
    </w:p>
    <w:p w14:paraId="7E3E4B46" w14:textId="77777777" w:rsidR="00D918A4" w:rsidRPr="00D918A4" w:rsidRDefault="00D918A4" w:rsidP="00D918A4">
      <w:pPr>
        <w:spacing w:line="300" w:lineRule="auto"/>
        <w:jc w:val="both"/>
        <w:rPr>
          <w:rFonts w:ascii="Aptos Narrow" w:hAnsi="Aptos Narrow"/>
          <w:sz w:val="22"/>
          <w:szCs w:val="22"/>
          <w:lang w:val="es-419"/>
        </w:rPr>
      </w:pPr>
      <w:r w:rsidRPr="00D918A4">
        <w:rPr>
          <w:rFonts w:ascii="Aptos Narrow" w:hAnsi="Aptos Narrow"/>
          <w:sz w:val="22"/>
          <w:szCs w:val="22"/>
          <w:lang w:val="es-419"/>
        </w:rPr>
        <w:t>En las próximas lecciones vamos a construir la herramienta que hace esto posible: la dinámica de sistemas. Aprenderemos a distinguir lo que se acumula, los stocks, de lo que fluye, los flujos, y a montar con esas piezas modelos que evolucionan en el tiempo y que podemos simular en el computador. Vamos a dejar de solo dibujar la intuición y a empezar a construir modelos que respiran. Empecemos.</w:t>
      </w:r>
    </w:p>
    <w:p w14:paraId="36DAAA20" w14:textId="77777777" w:rsidR="00D918A4" w:rsidRPr="00D918A4" w:rsidRDefault="00D918A4" w:rsidP="00D918A4">
      <w:pPr>
        <w:pBdr>
          <w:top w:val="single" w:sz="6" w:space="6" w:color="CCCCCC"/>
        </w:pBdr>
        <w:spacing w:before="280" w:after="120"/>
        <w:rPr>
          <w:rFonts w:ascii="Aptos Narrow" w:hAnsi="Aptos Narrow"/>
          <w:sz w:val="22"/>
          <w:szCs w:val="22"/>
          <w:lang w:val="es-419"/>
        </w:rPr>
      </w:pPr>
      <w:r w:rsidRPr="00D918A4">
        <w:rPr>
          <w:rFonts w:ascii="Aptos Narrow" w:hAnsi="Aptos Narrow"/>
          <w:b/>
          <w:bCs/>
          <w:color w:val="9C6500"/>
          <w:sz w:val="22"/>
          <w:szCs w:val="22"/>
          <w:lang w:val="es-419"/>
        </w:rPr>
        <w:t>Datos por verificar antes de grabar</w:t>
      </w:r>
    </w:p>
    <w:p w14:paraId="7DBD6477" w14:textId="77777777" w:rsidR="00D918A4" w:rsidRPr="00D918A4" w:rsidRDefault="00D918A4" w:rsidP="00D918A4">
      <w:pPr>
        <w:spacing w:after="120"/>
        <w:rPr>
          <w:rFonts w:ascii="Aptos Narrow" w:hAnsi="Aptos Narrow"/>
          <w:sz w:val="22"/>
          <w:szCs w:val="22"/>
          <w:lang w:val="es-419"/>
        </w:rPr>
      </w:pPr>
      <w:r w:rsidRPr="00D918A4">
        <w:rPr>
          <w:rFonts w:ascii="Aptos Narrow" w:hAnsi="Aptos Narrow"/>
          <w:i/>
          <w:iCs/>
          <w:color w:val="555555"/>
          <w:sz w:val="22"/>
          <w:szCs w:val="22"/>
          <w:lang w:val="es-419"/>
        </w:rPr>
        <w:t>Confirmar la serie histórica de capacidad instalada y precio de bolsa 2000–2024 que se muestre en pantalla (fuentes XM/UPME) y que la gráfica evidencie efectivamente el carácter oscilatorio. El guion describe la oscilación de forma cualitativa, sin afirmar cifras. El ciclo inversión-capacidad se siembra aquí y se formaliza en 4.1–4.4 (bathtub, stocks/flujos, retardo constructor de 3–5 años).</w:t>
      </w:r>
    </w:p>
    <w:p w14:paraId="3D9D8D75" w14:textId="77777777" w:rsidR="00FC18DC" w:rsidRPr="00D918A4" w:rsidRDefault="00FC18DC" w:rsidP="006A2647">
      <w:pPr>
        <w:pStyle w:val="Heading2"/>
        <w:rPr>
          <w:rFonts w:ascii="Aptos Narrow" w:hAnsi="Aptos Narrow"/>
          <w:b w:val="0"/>
          <w:bCs w:val="0"/>
          <w:sz w:val="22"/>
          <w:szCs w:val="22"/>
          <w:lang w:val="es-419"/>
        </w:rPr>
      </w:pPr>
    </w:p>
    <w:sectPr w:rsidR="00FC18DC" w:rsidRPr="00D918A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F4C37" w14:textId="77777777" w:rsidR="00195469" w:rsidRDefault="00195469" w:rsidP="00DC6E4E">
      <w:pPr>
        <w:spacing w:after="0" w:line="240" w:lineRule="auto"/>
      </w:pPr>
      <w:r>
        <w:separator/>
      </w:r>
    </w:p>
  </w:endnote>
  <w:endnote w:type="continuationSeparator" w:id="0">
    <w:p w14:paraId="26DACF5B" w14:textId="77777777" w:rsidR="00195469" w:rsidRDefault="00195469"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F757" w14:textId="77777777" w:rsidR="00195469" w:rsidRDefault="00195469" w:rsidP="00DC6E4E">
      <w:pPr>
        <w:spacing w:after="0" w:line="240" w:lineRule="auto"/>
      </w:pPr>
      <w:r>
        <w:separator/>
      </w:r>
    </w:p>
  </w:footnote>
  <w:footnote w:type="continuationSeparator" w:id="0">
    <w:p w14:paraId="50026F2C" w14:textId="77777777" w:rsidR="00195469" w:rsidRDefault="00195469"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30204"/>
    <w:rsid w:val="00063BF6"/>
    <w:rsid w:val="0007105B"/>
    <w:rsid w:val="00080A5D"/>
    <w:rsid w:val="000C147F"/>
    <w:rsid w:val="000D061B"/>
    <w:rsid w:val="00190B63"/>
    <w:rsid w:val="001928AB"/>
    <w:rsid w:val="00195469"/>
    <w:rsid w:val="001D4C6D"/>
    <w:rsid w:val="002338A3"/>
    <w:rsid w:val="00263F53"/>
    <w:rsid w:val="002B0F3E"/>
    <w:rsid w:val="002B2F6D"/>
    <w:rsid w:val="002B54E7"/>
    <w:rsid w:val="002C1903"/>
    <w:rsid w:val="002D2D04"/>
    <w:rsid w:val="002D3CE9"/>
    <w:rsid w:val="002E43EE"/>
    <w:rsid w:val="003C4859"/>
    <w:rsid w:val="003E57AD"/>
    <w:rsid w:val="00406455"/>
    <w:rsid w:val="00416939"/>
    <w:rsid w:val="00442043"/>
    <w:rsid w:val="0045781F"/>
    <w:rsid w:val="00477C9E"/>
    <w:rsid w:val="004D07B2"/>
    <w:rsid w:val="00566DB3"/>
    <w:rsid w:val="005950CD"/>
    <w:rsid w:val="005C61BF"/>
    <w:rsid w:val="005C6777"/>
    <w:rsid w:val="006006AF"/>
    <w:rsid w:val="00636DF5"/>
    <w:rsid w:val="00653F28"/>
    <w:rsid w:val="00684053"/>
    <w:rsid w:val="00690B44"/>
    <w:rsid w:val="006A2647"/>
    <w:rsid w:val="006A403D"/>
    <w:rsid w:val="006B3AAC"/>
    <w:rsid w:val="0073061D"/>
    <w:rsid w:val="007722A8"/>
    <w:rsid w:val="00774065"/>
    <w:rsid w:val="007D3681"/>
    <w:rsid w:val="007D5182"/>
    <w:rsid w:val="007E46B6"/>
    <w:rsid w:val="00812C9A"/>
    <w:rsid w:val="00814EC7"/>
    <w:rsid w:val="0082442A"/>
    <w:rsid w:val="00824BC0"/>
    <w:rsid w:val="00845267"/>
    <w:rsid w:val="008641BD"/>
    <w:rsid w:val="008B3B28"/>
    <w:rsid w:val="008E2E48"/>
    <w:rsid w:val="009222D0"/>
    <w:rsid w:val="0093616B"/>
    <w:rsid w:val="0094593B"/>
    <w:rsid w:val="009572D0"/>
    <w:rsid w:val="00961FA9"/>
    <w:rsid w:val="009668D6"/>
    <w:rsid w:val="009B6C32"/>
    <w:rsid w:val="00A56AB4"/>
    <w:rsid w:val="00A64527"/>
    <w:rsid w:val="00A67E34"/>
    <w:rsid w:val="00A82BB6"/>
    <w:rsid w:val="00A96C6A"/>
    <w:rsid w:val="00AB3AE4"/>
    <w:rsid w:val="00AB7F9E"/>
    <w:rsid w:val="00B17459"/>
    <w:rsid w:val="00B77AC9"/>
    <w:rsid w:val="00BB53F1"/>
    <w:rsid w:val="00BC56C4"/>
    <w:rsid w:val="00C04E34"/>
    <w:rsid w:val="00C25715"/>
    <w:rsid w:val="00C74969"/>
    <w:rsid w:val="00CA7B83"/>
    <w:rsid w:val="00CC1613"/>
    <w:rsid w:val="00CF7A5D"/>
    <w:rsid w:val="00D13B8D"/>
    <w:rsid w:val="00D45F58"/>
    <w:rsid w:val="00D64E13"/>
    <w:rsid w:val="00D752A9"/>
    <w:rsid w:val="00D918A4"/>
    <w:rsid w:val="00DC52DD"/>
    <w:rsid w:val="00DC6E4E"/>
    <w:rsid w:val="00DD0613"/>
    <w:rsid w:val="00E20D7E"/>
    <w:rsid w:val="00E27FCE"/>
    <w:rsid w:val="00E315C7"/>
    <w:rsid w:val="00E325F2"/>
    <w:rsid w:val="00E54F8F"/>
    <w:rsid w:val="00EA748F"/>
    <w:rsid w:val="00EB4998"/>
    <w:rsid w:val="00EB7720"/>
    <w:rsid w:val="00EC0C2E"/>
    <w:rsid w:val="00F07D53"/>
    <w:rsid w:val="00F2295E"/>
    <w:rsid w:val="00F34652"/>
    <w:rsid w:val="00F86456"/>
    <w:rsid w:val="00F87ED4"/>
    <w:rsid w:val="00FB5012"/>
    <w:rsid w:val="00FC18DC"/>
    <w:rsid w:val="00FD13F6"/>
    <w:rsid w:val="00FE554A"/>
    <w:rsid w:val="2AA860A7"/>
    <w:rsid w:val="3DC34E97"/>
    <w:rsid w:val="407DCF26"/>
    <w:rsid w:val="6E466B20"/>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28</cp:revision>
  <cp:lastPrinted>2026-05-29T16:52:00Z</cp:lastPrinted>
  <dcterms:created xsi:type="dcterms:W3CDTF">2026-07-08T00:06:00Z</dcterms:created>
  <dcterms:modified xsi:type="dcterms:W3CDTF">2026-07-16T01:04:00Z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