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31DDDF15">
        <w:rPr>
          <w:rFonts w:ascii="Aptos Narrow" w:hAnsi="Aptos Narrow"/>
          <w:b/>
          <w:bCs/>
          <w:lang w:val="es-419"/>
        </w:rPr>
        <w:t>SCRIPT</w:t>
      </w:r>
      <w:r w:rsidR="00CA7B83" w:rsidRPr="31DDDF15">
        <w:rPr>
          <w:rFonts w:ascii="Aptos Narrow" w:hAnsi="Aptos Narrow"/>
          <w:b/>
          <w:bCs/>
          <w:lang w:val="es-419"/>
        </w:rPr>
        <w:t xml:space="preserve"> SUGERIDO</w:t>
      </w:r>
      <w:bookmarkEnd w:id="0"/>
    </w:p>
    <w:p w14:paraId="20A941CA" w14:textId="1CD7C6FF" w:rsidR="682CE3D8" w:rsidRPr="00C4053D" w:rsidRDefault="682CE3D8" w:rsidP="31DDDF15">
      <w:pPr>
        <w:pStyle w:val="Heading2"/>
        <w:jc w:val="both"/>
        <w:rPr>
          <w:rFonts w:ascii="Aptos Narrow" w:eastAsia="Aptos Narrow" w:hAnsi="Aptos Narrow" w:cs="Aptos Narrow"/>
          <w:sz w:val="22"/>
          <w:szCs w:val="22"/>
          <w:lang w:val="es-419"/>
        </w:rPr>
      </w:pPr>
      <w:r w:rsidRPr="31DDDF15">
        <w:rPr>
          <w:rFonts w:ascii="Aptos Narrow" w:eastAsia="Aptos Narrow" w:hAnsi="Aptos Narrow" w:cs="Aptos Narrow"/>
          <w:sz w:val="22"/>
          <w:szCs w:val="22"/>
        </w:rPr>
        <w:t>SEMANA 5: Dinámica de Sistemas II — Políticas, Escenarios e Incertidumbre</w:t>
      </w:r>
    </w:p>
    <w:p w14:paraId="7B0BB3E1" w14:textId="61D9AD6A" w:rsidR="682CE3D8" w:rsidRPr="00C4053D" w:rsidRDefault="682CE3D8" w:rsidP="31DDDF15">
      <w:pPr>
        <w:spacing w:after="80"/>
        <w:jc w:val="both"/>
        <w:rPr>
          <w:rFonts w:ascii="Aptos Narrow" w:eastAsia="Aptos Narrow" w:hAnsi="Aptos Narrow" w:cs="Aptos Narrow"/>
          <w:color w:val="B85042"/>
          <w:sz w:val="22"/>
          <w:szCs w:val="22"/>
          <w:lang w:val="es-419"/>
        </w:rPr>
      </w:pPr>
      <w:r w:rsidRPr="31DDDF15">
        <w:rPr>
          <w:rFonts w:ascii="Aptos Narrow" w:eastAsia="Aptos Narrow" w:hAnsi="Aptos Narrow" w:cs="Aptos Narrow"/>
          <w:i/>
          <w:iCs/>
          <w:color w:val="B85042"/>
          <w:sz w:val="22"/>
          <w:szCs w:val="22"/>
          <w:lang w:val="es-CO"/>
        </w:rPr>
        <w:t>Caso ancla: Efecto del Cargo por Confiabilidad y la entrada de FNCER en el mercado</w:t>
      </w:r>
    </w:p>
    <w:p w14:paraId="3030783B" w14:textId="24180C90" w:rsidR="682CE3D8" w:rsidRPr="00C4053D" w:rsidRDefault="682CE3D8" w:rsidP="31DDDF15">
      <w:pPr>
        <w:pBdr>
          <w:bottom w:val="single" w:sz="8" w:space="6" w:color="1E2761"/>
        </w:pBdr>
        <w:spacing w:after="120"/>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b/>
          <w:bCs/>
          <w:color w:val="1E2761"/>
          <w:sz w:val="22"/>
          <w:szCs w:val="22"/>
          <w:lang w:val="es-CO"/>
        </w:rPr>
        <w:t xml:space="preserve">Resultados de Aprendizaje verificados: </w:t>
      </w:r>
      <w:r w:rsidRPr="31DDDF15">
        <w:rPr>
          <w:rFonts w:ascii="Aptos Narrow" w:eastAsia="Aptos Narrow" w:hAnsi="Aptos Narrow" w:cs="Aptos Narrow"/>
          <w:color w:val="000000" w:themeColor="text1"/>
          <w:sz w:val="22"/>
          <w:szCs w:val="22"/>
          <w:lang w:val="es-CO"/>
        </w:rPr>
        <w:t>RAC 3 (alto) · RAC 4 (alto) · Checkpoint Avance 2</w:t>
      </w:r>
      <w:r w:rsidRPr="31DDDF15">
        <w:rPr>
          <w:rFonts w:ascii="Aptos Narrow" w:eastAsia="Aptos Narrow" w:hAnsi="Aptos Narrow" w:cs="Aptos Narrow"/>
          <w:color w:val="5C6478"/>
          <w:sz w:val="22"/>
          <w:szCs w:val="22"/>
          <w:lang w:val="es-CO"/>
        </w:rPr>
        <w:t xml:space="preserve">  ·  </w:t>
      </w:r>
      <w:r w:rsidRPr="31DDDF15">
        <w:rPr>
          <w:rFonts w:ascii="Aptos Narrow" w:eastAsia="Aptos Narrow" w:hAnsi="Aptos Narrow" w:cs="Aptos Narrow"/>
          <w:b/>
          <w:bCs/>
          <w:color w:val="1E2761"/>
          <w:sz w:val="22"/>
          <w:szCs w:val="22"/>
          <w:lang w:val="es-CO"/>
        </w:rPr>
        <w:t xml:space="preserve">RA del programa: </w:t>
      </w:r>
      <w:r w:rsidRPr="31DDDF15">
        <w:rPr>
          <w:rFonts w:ascii="Aptos Narrow" w:eastAsia="Aptos Narrow" w:hAnsi="Aptos Narrow" w:cs="Aptos Narrow"/>
          <w:color w:val="000000" w:themeColor="text1"/>
          <w:sz w:val="22"/>
          <w:szCs w:val="22"/>
          <w:lang w:val="es-CO"/>
        </w:rPr>
        <w:t>RA1.2, RA1.5, RA2.2, RA3.2, RA3.3, RA4</w:t>
      </w:r>
    </w:p>
    <w:p w14:paraId="29039046" w14:textId="71CF177B" w:rsidR="682CE3D8" w:rsidRPr="00D2228B" w:rsidRDefault="682CE3D8" w:rsidP="31DDDF15">
      <w:pPr>
        <w:spacing w:before="60" w:after="60" w:line="300" w:lineRule="auto"/>
        <w:jc w:val="both"/>
        <w:rPr>
          <w:rFonts w:ascii="Aptos Narrow" w:eastAsia="Aptos Narrow" w:hAnsi="Aptos Narrow" w:cs="Aptos Narrow"/>
          <w:color w:val="000000" w:themeColor="text1"/>
          <w:sz w:val="22"/>
          <w:szCs w:val="22"/>
          <w:lang w:val="es-419"/>
        </w:rPr>
      </w:pPr>
      <w:r w:rsidRPr="31DDDF15">
        <w:rPr>
          <w:rFonts w:ascii="Aptos Narrow" w:eastAsia="Aptos Narrow" w:hAnsi="Aptos Narrow" w:cs="Aptos Narrow"/>
          <w:color w:val="000000" w:themeColor="text1"/>
          <w:sz w:val="22"/>
          <w:szCs w:val="22"/>
          <w:lang w:val="es-CO"/>
        </w:rPr>
        <w:t>Se profundiza en la dinámica de sistemas aplicando ciclos positivos, ciclos negativos y retardos al caso del Cargo por Confiabilidad y la entrada acelerada de FNCER. Se extiende el modelo para incorporar intervenciones de política (CxC, subastas FNCER, impuesto al carbono) y se exploran escenarios bajo incertidumbre. El estudiante transita de "¿cómo se comporta el sistema?" a "¿qué opciones tiene un tomador de decisiones cuando el futuro es radicalmente incierto?" Se introduce la distinción entre riesgo (probabilidades conocidas) e incertidumbre profunda, y el principio de robustez sobre optimalidad: no buscar la estrategia "óptima" para un escenario, sino la que funciona "suficientemente bien" en todos.</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Bloque Autónomo — 10 horas (secuencia Mo → Co → Pr → Ev → Proy)</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31DDDF15">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r w:rsidRPr="00DB274C">
              <w:rPr>
                <w:rFonts w:ascii="Aptos Narrow" w:hAnsi="Aptos Narrow"/>
                <w:b/>
                <w:bCs/>
                <w:color w:val="FFFFFF"/>
                <w:sz w:val="22"/>
                <w:szCs w:val="22"/>
              </w:rPr>
              <w:t>Cód.</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r w:rsidRPr="00DB274C">
              <w:rPr>
                <w:rFonts w:ascii="Aptos Narrow" w:hAnsi="Aptos Narrow"/>
                <w:b/>
                <w:bCs/>
                <w:sz w:val="22"/>
                <w:szCs w:val="22"/>
              </w:rPr>
              <w:t>Momento</w:t>
            </w:r>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FD452B" w14:paraId="48B2D932" w14:textId="77777777" w:rsidTr="31DDDF15">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Contenidos</w:t>
            </w:r>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326B8F5A" w14:textId="14F6CF83" w:rsidR="31DDDF15" w:rsidRDefault="31DDDF15" w:rsidP="31DDDF15">
            <w:pPr>
              <w:spacing w:after="40"/>
              <w:jc w:val="both"/>
              <w:rPr>
                <w:rFonts w:ascii="Aptos Narrow" w:eastAsia="Aptos Narrow" w:hAnsi="Aptos Narrow" w:cs="Aptos Narrow"/>
                <w:color w:val="000000" w:themeColor="text1"/>
                <w:sz w:val="20"/>
                <w:szCs w:val="20"/>
                <w:lang w:val="es-CO"/>
              </w:rPr>
            </w:pPr>
            <w:r w:rsidRPr="31DDDF15">
              <w:rPr>
                <w:rFonts w:ascii="Aptos Narrow" w:eastAsia="Aptos Narrow" w:hAnsi="Aptos Narrow" w:cs="Aptos Narrow"/>
                <w:color w:val="000000" w:themeColor="text1"/>
                <w:sz w:val="20"/>
                <w:szCs w:val="20"/>
                <w:lang w:val="es-CO"/>
              </w:rPr>
              <w:t>Video-lecciones 5.1–5.4 (57 min): ciclos de refuerzo (crecimiento exponencial, bola de nieve); ciclos de balance (búsqueda de meta y oscilación); retardos como fuente de inestabilidad; intervenciones de política (CxC, subastas FNCER, impuesto al carbono): ¿dónde se insertan? análisis de sensibilidad; escenarios bajo incertidumbre profunda (Knight); 4 escenarios cualitativamente distintos; robustez sobre optimalidad y minimax regret; introducción conceptual a RDM (RAND). Lectura: Farmer et al. Science 2019; Arango &amp; Larsen 2011; Ley 2099 de 2021 (extractos).</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09D5A285" w14:textId="77777777" w:rsidR="009414C8" w:rsidRPr="009414C8" w:rsidRDefault="00CF7577" w:rsidP="009414C8">
      <w:pPr>
        <w:spacing w:after="60"/>
        <w:rPr>
          <w:rFonts w:ascii="Aptos Narrow" w:hAnsi="Aptos Narrow"/>
          <w:sz w:val="22"/>
          <w:szCs w:val="22"/>
          <w:lang w:val="es-419"/>
        </w:rPr>
      </w:pPr>
      <w:r w:rsidRPr="009414C8">
        <w:rPr>
          <w:rFonts w:ascii="Aptos Narrow" w:hAnsi="Aptos Narrow"/>
          <w:b/>
          <w:bCs/>
          <w:color w:val="1F3864"/>
          <w:sz w:val="22"/>
          <w:szCs w:val="22"/>
          <w:lang w:val="es-419"/>
        </w:rPr>
        <w:t xml:space="preserve">Alcance de </w:t>
      </w:r>
      <w:r w:rsidR="00C52CFD" w:rsidRPr="009414C8">
        <w:rPr>
          <w:rFonts w:ascii="Aptos Narrow" w:hAnsi="Aptos Narrow"/>
          <w:b/>
          <w:bCs/>
          <w:color w:val="1F3864"/>
          <w:sz w:val="22"/>
          <w:szCs w:val="22"/>
          <w:lang w:val="es-419"/>
        </w:rPr>
        <w:t>5.</w:t>
      </w:r>
      <w:r w:rsidR="00DB44B5" w:rsidRPr="009414C8">
        <w:rPr>
          <w:rFonts w:ascii="Aptos Narrow" w:hAnsi="Aptos Narrow"/>
          <w:b/>
          <w:bCs/>
          <w:color w:val="1F3864"/>
          <w:sz w:val="22"/>
          <w:szCs w:val="22"/>
          <w:lang w:val="es-419"/>
        </w:rPr>
        <w:t>2</w:t>
      </w:r>
      <w:r w:rsidR="00114DF8" w:rsidRPr="009414C8">
        <w:rPr>
          <w:rFonts w:ascii="Aptos Narrow" w:hAnsi="Aptos Narrow"/>
          <w:b/>
          <w:bCs/>
          <w:color w:val="1F3864"/>
          <w:sz w:val="22"/>
          <w:szCs w:val="22"/>
          <w:lang w:val="es-419"/>
        </w:rPr>
        <w:t xml:space="preserve">: </w:t>
      </w:r>
      <w:r w:rsidR="009414C8" w:rsidRPr="009414C8">
        <w:rPr>
          <w:rFonts w:ascii="Aptos Narrow" w:hAnsi="Aptos Narrow"/>
          <w:sz w:val="22"/>
          <w:szCs w:val="22"/>
          <w:lang w:val="es-419"/>
        </w:rPr>
        <w:t>Dónde se insertan las intervenciones en una estructura de stocks y flujos; CxC, subastas FNCER e impuesto al carbono como casos; puntos de apalancamiento; análisis de sensibilidad y sus límites</w:t>
      </w:r>
    </w:p>
    <w:p w14:paraId="1DBD86DC" w14:textId="77777777" w:rsidR="009414C8" w:rsidRPr="009414C8" w:rsidRDefault="009414C8" w:rsidP="009414C8">
      <w:pPr>
        <w:spacing w:before="280" w:after="120"/>
        <w:rPr>
          <w:rFonts w:ascii="Aptos Narrow" w:hAnsi="Aptos Narrow"/>
          <w:sz w:val="22"/>
          <w:szCs w:val="22"/>
          <w:lang w:val="es-419"/>
        </w:rPr>
      </w:pPr>
      <w:r w:rsidRPr="009414C8">
        <w:rPr>
          <w:rFonts w:ascii="Aptos Narrow" w:hAnsi="Aptos Narrow"/>
          <w:b/>
          <w:bCs/>
          <w:color w:val="1F3864"/>
          <w:sz w:val="22"/>
          <w:szCs w:val="22"/>
          <w:lang w:val="es-419"/>
        </w:rPr>
        <w:t>Segmento 1 — Una política es una modificación de la estructura</w:t>
      </w:r>
    </w:p>
    <w:p w14:paraId="0AEB6790"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En la lección anterior aprendimos a leer los modos de comportamiento de un sistema a partir de sus lazos y retardos. Ahora vamos a usar esa lectura para algo muy concreto: entender qué hace realmente una política pública cuando se aplica sobre un sistema energético.</w:t>
      </w:r>
    </w:p>
    <w:p w14:paraId="03F0B74A"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Y quiero empezar con un cambio de perspectiva que es el corazón de esta lección. Solemos hablar de las políticas como si fueran empujones externos: el gobierno mete plata, o pone un impuesto, o hace una subasta. Pero desde el pensamiento sistémico, una política no es un empujón desde afuera: es una modificación de la estructura interna del sistema. Una política agrega un flujo nuevo, o cambia el valor de un parámetro, o altera la información con la que los actores deciden, o incluso crea un lazo de retroalimentación que antes no existía. Y como ya sabemos que la estructura genera el comportamiento, entonces cambiar la estructura es lo único que puede cambiar de verdad el comportamiento del sistema.</w:t>
      </w:r>
    </w:p>
    <w:p w14:paraId="44B4394C"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Esto tiene una consecuencia práctica inmediata para el análisis. Cuando alguien les proponga una política, la primera pregunta que deben hacerse ya no es cuánto cuesta ni qué tan popular es, sino: ¿en qué punto exacto de la estructura se inserta esta intervención? ¿Qué flujo modifica, qué parámetro cambia, qué lazo crea o rompe? Responder esa pregunta con precisión es lo que permite anticipar sus efectos, incluidos los que su diseñador no previó. Y es, además, lo que hace posible modelarla, que es lo que ustedes harán en el laboratorio de esta semana.</w:t>
      </w:r>
    </w:p>
    <w:p w14:paraId="5106E0EA" w14:textId="77777777" w:rsidR="009414C8" w:rsidRPr="009414C8" w:rsidRDefault="009414C8" w:rsidP="009414C8">
      <w:pPr>
        <w:spacing w:before="280" w:after="120"/>
        <w:rPr>
          <w:rFonts w:ascii="Aptos Narrow" w:hAnsi="Aptos Narrow"/>
          <w:sz w:val="22"/>
          <w:szCs w:val="22"/>
          <w:lang w:val="es-419"/>
        </w:rPr>
      </w:pPr>
      <w:r w:rsidRPr="009414C8">
        <w:rPr>
          <w:rFonts w:ascii="Aptos Narrow" w:hAnsi="Aptos Narrow"/>
          <w:b/>
          <w:bCs/>
          <w:color w:val="1F3864"/>
          <w:sz w:val="22"/>
          <w:szCs w:val="22"/>
          <w:lang w:val="es-419"/>
        </w:rPr>
        <w:t>Segmento 2 — Los tres puntos de inserción</w:t>
      </w:r>
    </w:p>
    <w:p w14:paraId="0FEF55B7"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Vamos a ordenar las formas en que una política puede tocar un sistema, de la más superficial a la más profunda. La primera y más común es cambiar el valor de un parámetro. Subir o bajar un subsidio, ajustar una tasa, modificar un límite. Es la intervención más fácil de implementar y la más fácil de modelar, porque solo hay que girar una perilla del modelo. Pero también suele ser la de menor potencia: cambiar un número dentro de una estructura que se mantiene igual rara vez altera el modo de comportamiento del sistema. Si el sistema oscilaba, seguirá oscilando, quizás con otra amplitud.</w:t>
      </w:r>
    </w:p>
    <w:p w14:paraId="6BB805C0"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La segunda forma es modificar un flujo directamente, agregando uno nuevo o alterando lo que gobierna a uno existente. Una subasta que garantiza contratos de largo plazo a proyectos renovables está actuando sobre el flujo de inicio de proyectos, empujándolo hacia arriba de una manera que no dependía del precio de bolsa. Aquí ya no solo movemos un número: cambiamos qué determina una tasa de cambio del sistema, y eso es más potente.</w:t>
      </w:r>
    </w:p>
    <w:p w14:paraId="0DC18067"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lastRenderedPageBreak/>
        <w:t>Y la tercera forma, la más profunda, es cambiar la información con la que los actores toman decisiones, o crear un lazo de retroalimentación nuevo. Recuerden lo que vimos la semana pasada sobre el pipeline invisible: si el problema es que los inversionistas deciden sin ver la capacidad que ya viene en camino, entonces publicar información confiable sobre los proyectos en construcción no cambia ningún parámetro físico, pero altera la decisión de todos los actores y puede amortiguar el ciclo entero. Las intervenciones sobre la información suelen ser baratas y sorprendentemente poderosas, y son de las que menos se consideran en la práctica porque no se ven tan tangibles como construir algo.</w:t>
      </w:r>
    </w:p>
    <w:p w14:paraId="5367A763"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Esta jerarquía se relaciona con una idea de Donella Meadows que vale la pena conocer: la de los puntos de apalancamiento. Meadows observó que los sistemas tienen lugares donde una intervención pequeña produce un cambio grande, y que curiosamente los lugares más obvios, como ajustar parámetros, suelen ser los de menor apalancamiento, mientras que los más potentes, como cambiar las reglas del sistema, las metas o los flujos de información, son los que solemos ignorar. Buscar el punto de apalancamiento correcto, en lugar de empujar con fuerza en el lugar equivocado, es una de las contribuciones más valiosas que un analista sistémico puede hacer.</w:t>
      </w:r>
    </w:p>
    <w:p w14:paraId="4A8D751A" w14:textId="77777777" w:rsidR="009414C8" w:rsidRPr="009414C8" w:rsidRDefault="009414C8" w:rsidP="009414C8">
      <w:pPr>
        <w:pBdr>
          <w:left w:val="single" w:sz="18" w:space="12" w:color="9C6500"/>
        </w:pBdr>
        <w:spacing w:before="120"/>
        <w:rPr>
          <w:rFonts w:ascii="Aptos Narrow" w:hAnsi="Aptos Narrow"/>
          <w:sz w:val="22"/>
          <w:szCs w:val="22"/>
          <w:lang w:val="es-419"/>
        </w:rPr>
      </w:pPr>
      <w:r w:rsidRPr="009414C8">
        <w:rPr>
          <w:rFonts w:ascii="Aptos Narrow" w:hAnsi="Aptos Narrow"/>
          <w:b/>
          <w:bCs/>
          <w:color w:val="9C6500"/>
          <w:sz w:val="22"/>
          <w:szCs w:val="22"/>
          <w:lang w:val="es-419"/>
        </w:rPr>
        <w:t xml:space="preserve">[QUIZ EMBEBIDO] </w:t>
      </w:r>
      <w:r w:rsidRPr="009414C8">
        <w:rPr>
          <w:rFonts w:ascii="Aptos Narrow" w:hAnsi="Aptos Narrow"/>
          <w:i/>
          <w:iCs/>
          <w:color w:val="555555"/>
          <w:sz w:val="22"/>
          <w:szCs w:val="22"/>
          <w:lang w:val="es-419"/>
        </w:rPr>
        <w:t>Se describen tres intervenciones sobre el sector eléctrico: aumentar el monto de un incentivo existente, crear un mecanismo que contrate capacidad futura, y publicar información sobre los proyectos en construcción. El estudiante debe clasificar cada una según dónde se inserta en la estructura (parámetro, flujo, o información/lazo) y ordenarlas por potencial de apalancamiento.</w:t>
      </w:r>
    </w:p>
    <w:p w14:paraId="2FD2551E" w14:textId="77777777" w:rsidR="009414C8" w:rsidRPr="009414C8" w:rsidRDefault="009414C8" w:rsidP="009414C8">
      <w:pPr>
        <w:spacing w:before="280" w:after="120"/>
        <w:rPr>
          <w:rFonts w:ascii="Aptos Narrow" w:hAnsi="Aptos Narrow"/>
          <w:sz w:val="22"/>
          <w:szCs w:val="22"/>
          <w:lang w:val="es-419"/>
        </w:rPr>
      </w:pPr>
      <w:r w:rsidRPr="009414C8">
        <w:rPr>
          <w:rFonts w:ascii="Aptos Narrow" w:hAnsi="Aptos Narrow"/>
          <w:b/>
          <w:bCs/>
          <w:color w:val="1F3864"/>
          <w:sz w:val="22"/>
          <w:szCs w:val="22"/>
          <w:lang w:val="es-419"/>
        </w:rPr>
        <w:t>Segmento 3 — Las tres políticas del caso colombiano</w:t>
      </w:r>
    </w:p>
    <w:p w14:paraId="33181E3D"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Apliquemos este marco a las tres intervenciones que están sobre la mesa en el caso de esta semana. Empecemos por el Cargo por Confiabilidad. En términos de estructura, el CxC agrega una fuente de ingreso que no depende del precio de bolsa de corto plazo, sino de un compromiso de disponibilidad futura de energía firme. Su intención de diseño, en nuestro lenguaje, es intervenir sobre el auxiliar que traduce la señal de precio en decisión de invertir, haciéndolo menos dependiente de un precio volátil y más ligado a la necesidad de respaldo de largo plazo. Es, en principio, un intento de estabilizar el lazo de inversión.</w:t>
      </w:r>
    </w:p>
    <w:p w14:paraId="3F4CE8CC"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Ahora bien, la pregunta que abre la semana es si eso es lo único que hace. Porque al remunerar la firmeza, el mecanismo favorece a las tecnologías capaces de comprometerla, que históricamente han sido las térmicas y las hidráulicas con embalse. Si eso es así, el mecanismo podría estar creando un lazo adicional que sostiene la permanencia de cierta tecnología en la matriz, algo parecido al lock-in que estudiamos en la primera semana. No les voy a dar la respuesta, y esto es deliberado: es exactamente lo que van a examinar con el modelo en el laboratorio y a discutir en el foro. Lo que sí les doy es la forma de plantear la pregunta con rigor: ¿qué lazos crea el CxC además del que pretendía crear?</w:t>
      </w:r>
    </w:p>
    <w:p w14:paraId="048B9D66"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 xml:space="preserve">Segunda política: las subastas de energías renovables no convencionales. Estructuralmente actúan sobre el flujo de inicio de proyectos de un tipo particular de tecnología, dándole un contrato de largo plazo que reduce el riesgo del inversionista. Fíjense en que su punto de inserción es distinto al del CxC: no modifican tanto la señal general de inversión como abren un canal paralelo de entrada de capacidad. Y traen consigo un efecto </w:t>
      </w:r>
      <w:r w:rsidRPr="009414C8">
        <w:rPr>
          <w:rFonts w:ascii="Aptos Narrow" w:hAnsi="Aptos Narrow"/>
          <w:sz w:val="22"/>
          <w:szCs w:val="22"/>
          <w:lang w:val="es-419"/>
        </w:rPr>
        <w:lastRenderedPageBreak/>
        <w:t>que hay que modelar con cuidado: la generación renovable variable tiene costo marginal muy bajo, así que al entrar tiende a desplazar generación más cara en el despacho y a presionar el precio de bolsa hacia abajo, lo que a su vez afecta la rentabilidad de todos los demás y por tanto sus decisiones de inversión. Una política que entra por un canal termina afectando el lazo principal por una vía indirecta.</w:t>
      </w:r>
    </w:p>
    <w:p w14:paraId="7B2209DF"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Y la tercera, el impuesto al carbono. Su punto de inserción es un parámetro de costo: encarece la generación intensiva en emisiones, cambiando el orden de mérito y la rentabilidad relativa de las tecnologías. Es, en la clasificación que vimos, una intervención de parámetro, y por eso su potencia depende críticamente de su magnitud y de si es lo bastante grande como para cambiar decisiones reales. Un impuesto pequeño se absorbe sin alterar la estructura; uno significativo puede desplazar la dominancia hacia otras tecnologías. En el laboratorio podrán probar justamente eso: a partir de qué nivel el impuesto deja de ser un ajuste marginal y empieza a cambiar el comportamiento del sistema.</w:t>
      </w:r>
    </w:p>
    <w:p w14:paraId="63E1BC93"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Ahora fíjense en algo que suele pasar desapercibido y que es central para el análisis de esta semana: estas tres políticas no operan en el vacío, operan al mismo tiempo sobre el mismo sistema, y pueden reforzarse o contradecirse entre sí. Imaginen un mecanismo que remunera la firmeza y por tanto favorece cierta tecnología de respaldo, conviviendo con subastas que empujan la entrada masiva de renovables que presionan el precio de bolsa hacia abajo, conviviendo a su vez con un impuesto que encarece justamente las tecnologías de respaldo. Cada instrumento, tomado por separado, tiene una lógica impecable. Juntos, pueden estar enviando señales contradictorias al mismo inversionista, o produciendo un resultado agregado que ninguno de sus diseñadores buscaba. Esta acumulación de capas regulatorias, cada una respondiendo a un problema legítimo de su momento, es la realidad de casi todos los sectores energéticos maduros, y examinarla como un sistema y no como una lista de medidas sueltas es precisamente lo que aporta el enfoque de este curso.</w:t>
      </w:r>
    </w:p>
    <w:p w14:paraId="660C4A50" w14:textId="77777777" w:rsidR="009414C8" w:rsidRPr="009414C8" w:rsidRDefault="009414C8" w:rsidP="009414C8">
      <w:pPr>
        <w:spacing w:before="280" w:after="120"/>
        <w:rPr>
          <w:rFonts w:ascii="Aptos Narrow" w:hAnsi="Aptos Narrow"/>
          <w:sz w:val="22"/>
          <w:szCs w:val="22"/>
          <w:lang w:val="es-419"/>
        </w:rPr>
      </w:pPr>
      <w:r w:rsidRPr="009414C8">
        <w:rPr>
          <w:rFonts w:ascii="Aptos Narrow" w:hAnsi="Aptos Narrow"/>
          <w:b/>
          <w:bCs/>
          <w:color w:val="1F3864"/>
          <w:sz w:val="22"/>
          <w:szCs w:val="22"/>
          <w:lang w:val="es-419"/>
        </w:rPr>
        <w:t>Segmento 4 — Análisis de sensibilidad: qué revela y qué no</w:t>
      </w:r>
    </w:p>
    <w:p w14:paraId="008BC305"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Una vez que tenemos las políticas dentro del modelo, necesitamos una herramienta para explorar su efecto, y la más básica es el análisis de sensibilidad. Consiste en variar sistemáticamente un parámetro dentro de un rango y observar cómo cambia el resultado. Es útil por dos razones. Primero, nos dice qué parámetros importan de verdad: si mover uno de ellos casi no cambia nada, no vale la pena pelear por estimarlo con precisión; si mover otro cambia el resultado por completo, ahí hay que concentrar el esfuerzo de medición y de análisis. Segundo, nos permite encontrar umbrales, esos valores críticos a partir de los cuales el comportamiento cambia de naturaleza.</w:t>
      </w:r>
    </w:p>
    <w:p w14:paraId="0CC55622"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Pero, y esto es importante, el análisis de sensibilidad clásico tiene un límite que ya conocemos desde la primera semana del curso: mueve una variable a la vez y deja las demás fijas. Y en un sistema complejo las variables no se mueven solas, se mueven juntas y sus efectos interactúan. Puede ocurrir perfectamente que un impuesto al carbono moderado no cambie nada por sí solo, que una entrada moderada de renovables tampoco, y que la combinación de ambos sí produzca un cambio grande de comportamiento. Un análisis que las examine por separado no vería esa interacción.</w:t>
      </w:r>
    </w:p>
    <w:p w14:paraId="09861C7D"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lastRenderedPageBreak/>
        <w:t>Por eso, cuando el sistema es complejo y las incertidumbres son varias, el análisis de sensibilidad de a una variable es apenas un primer paso, útil para tantear el terreno. El paso siguiente es examinar combinaciones coherentes de condiciones, que es lo que llamaremos escenarios. En vez de preguntar qué pasa si el gas sube un veinte por ciento, preguntamos qué pasa en un futuro donde el gas es caro, la demanda crece lento y los Niños son frecuentes, todo a la vez. Ese salto, de mover perillas sueltas a construir futuros completos, es el tema de la próxima lección.</w:t>
      </w:r>
    </w:p>
    <w:p w14:paraId="78FFA6FC" w14:textId="77777777" w:rsidR="009414C8" w:rsidRPr="009414C8" w:rsidRDefault="009414C8" w:rsidP="009414C8">
      <w:pPr>
        <w:pBdr>
          <w:left w:val="single" w:sz="18" w:space="12" w:color="9C6500"/>
        </w:pBdr>
        <w:spacing w:before="120"/>
        <w:rPr>
          <w:rFonts w:ascii="Aptos Narrow" w:hAnsi="Aptos Narrow"/>
          <w:sz w:val="22"/>
          <w:szCs w:val="22"/>
          <w:lang w:val="es-419"/>
        </w:rPr>
      </w:pPr>
      <w:r w:rsidRPr="009414C8">
        <w:rPr>
          <w:rFonts w:ascii="Aptos Narrow" w:hAnsi="Aptos Narrow"/>
          <w:b/>
          <w:bCs/>
          <w:color w:val="9C6500"/>
          <w:sz w:val="22"/>
          <w:szCs w:val="22"/>
          <w:lang w:val="es-419"/>
        </w:rPr>
        <w:t xml:space="preserve">[QUIZ EMBEBIDO] </w:t>
      </w:r>
      <w:r w:rsidRPr="009414C8">
        <w:rPr>
          <w:rFonts w:ascii="Aptos Narrow" w:hAnsi="Aptos Narrow"/>
          <w:i/>
          <w:iCs/>
          <w:color w:val="555555"/>
          <w:sz w:val="22"/>
          <w:szCs w:val="22"/>
          <w:lang w:val="es-419"/>
        </w:rPr>
        <w:t>Un analista reporta que su modelo es robusto porque, al variar cada parámetro por separado en un diez por ciento, la recomendación no cambia. El estudiante debe explicar qué limitación tiene esa conclusión en un sistema con interacciones y qué análisis adicional haría falta.</w:t>
      </w:r>
    </w:p>
    <w:p w14:paraId="02B60341" w14:textId="77777777" w:rsidR="009414C8" w:rsidRPr="009414C8" w:rsidRDefault="009414C8" w:rsidP="009414C8">
      <w:pPr>
        <w:spacing w:before="280" w:after="120"/>
        <w:rPr>
          <w:rFonts w:ascii="Aptos Narrow" w:hAnsi="Aptos Narrow"/>
          <w:sz w:val="22"/>
          <w:szCs w:val="22"/>
          <w:lang w:val="es-419"/>
        </w:rPr>
      </w:pPr>
      <w:r w:rsidRPr="009414C8">
        <w:rPr>
          <w:rFonts w:ascii="Aptos Narrow" w:hAnsi="Aptos Narrow"/>
          <w:b/>
          <w:bCs/>
          <w:color w:val="1F3864"/>
          <w:sz w:val="22"/>
          <w:szCs w:val="22"/>
          <w:lang w:val="es-419"/>
        </w:rPr>
        <w:t>Segmento 5 — Cierre y hacia los escenarios</w:t>
      </w:r>
    </w:p>
    <w:p w14:paraId="1BA78D7D"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Recapitulemos. Hoy entendimos que una política no es un empujón externo sino una modificación de la estructura del sistema, y que por eso la pregunta clave es dónde se inserta. Vimos tres puntos de inserción, de menor a mayor apalancamiento: cambiar un parámetro, modificar o crear un flujo, y alterar la información o los lazos con que se decide. Ubicamos las tres políticas del caso colombiano en ese marco: el Cargo por Confiabilidad interviniendo sobre la señal de inversión, las subastas abriendo un canal paralelo de entrada de capacidad, y el impuesto al carbono como un parámetro de costo cuya potencia depende de su magnitud. Y conocimos el análisis de sensibilidad, con su utilidad para hallar qué parámetros importan y su límite al mover una variable a la vez.</w:t>
      </w:r>
    </w:p>
    <w:p w14:paraId="05EBA2B9"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Nos queda pendiente el problema más difícil, el que planteamos en la motivación. Podemos modelar las políticas y podemos explorar su sensibilidad, pero para elegir entre ellas necesitaríamos saber cómo será el futuro, y no lo sabemos. No sabemos el precio del gas en diez años, ni el ritmo de caída de los costos solares, ni la frecuencia de los próximos fenómenos de El Niño. Y no es solo que nos falten datos: hay preguntas para las que ni siquiera podemos asignar probabilidades confiables.</w:t>
      </w:r>
    </w:p>
    <w:p w14:paraId="3BCE4110" w14:textId="77777777" w:rsidR="009414C8" w:rsidRPr="009414C8" w:rsidRDefault="009414C8" w:rsidP="009414C8">
      <w:pPr>
        <w:spacing w:line="300" w:lineRule="auto"/>
        <w:jc w:val="both"/>
        <w:rPr>
          <w:rFonts w:ascii="Aptos Narrow" w:hAnsi="Aptos Narrow"/>
          <w:sz w:val="22"/>
          <w:szCs w:val="22"/>
          <w:lang w:val="es-419"/>
        </w:rPr>
      </w:pPr>
      <w:r w:rsidRPr="009414C8">
        <w:rPr>
          <w:rFonts w:ascii="Aptos Narrow" w:hAnsi="Aptos Narrow"/>
          <w:sz w:val="22"/>
          <w:szCs w:val="22"/>
          <w:lang w:val="es-419"/>
        </w:rPr>
        <w:t>En la próxima lección vamos a enfrentar eso de frente. Distinguiremos el riesgo, donde conocemos las probabilidades, de la incertidumbre profunda, donde no, una distinción que se remonta a Frank Knight. Y aprenderemos a construir escenarios, futuros completos y coherentes que nos permiten explorar el espacio de lo posible en lugar de apostar por una única proyección. Nos vemos en la lección 5.3.</w:t>
      </w:r>
    </w:p>
    <w:p w14:paraId="72A2E2F1" w14:textId="77777777" w:rsidR="009414C8" w:rsidRPr="009414C8" w:rsidRDefault="009414C8" w:rsidP="009414C8">
      <w:pPr>
        <w:pBdr>
          <w:top w:val="single" w:sz="6" w:space="6" w:color="CCCCCC"/>
        </w:pBdr>
        <w:spacing w:before="280" w:after="120"/>
        <w:rPr>
          <w:rFonts w:ascii="Aptos Narrow" w:hAnsi="Aptos Narrow"/>
          <w:sz w:val="22"/>
          <w:szCs w:val="22"/>
          <w:lang w:val="es-419"/>
        </w:rPr>
      </w:pPr>
      <w:r w:rsidRPr="009414C8">
        <w:rPr>
          <w:rFonts w:ascii="Aptos Narrow" w:hAnsi="Aptos Narrow"/>
          <w:b/>
          <w:bCs/>
          <w:color w:val="9C6500"/>
          <w:sz w:val="22"/>
          <w:szCs w:val="22"/>
          <w:lang w:val="es-419"/>
        </w:rPr>
        <w:t>Notas de contenido y datos por verificar</w:t>
      </w:r>
    </w:p>
    <w:p w14:paraId="6DE93979" w14:textId="77777777" w:rsidR="009414C8" w:rsidRPr="009414C8" w:rsidRDefault="009414C8" w:rsidP="009414C8">
      <w:pPr>
        <w:spacing w:after="120"/>
        <w:rPr>
          <w:rFonts w:ascii="Aptos Narrow" w:hAnsi="Aptos Narrow"/>
          <w:sz w:val="22"/>
          <w:szCs w:val="22"/>
          <w:lang w:val="es-419"/>
        </w:rPr>
      </w:pPr>
      <w:r w:rsidRPr="009414C8">
        <w:rPr>
          <w:rFonts w:ascii="Aptos Narrow" w:hAnsi="Aptos Narrow"/>
          <w:i/>
          <w:iCs/>
          <w:color w:val="555555"/>
          <w:sz w:val="22"/>
          <w:szCs w:val="22"/>
          <w:lang w:val="es-419"/>
        </w:rPr>
        <w:t xml:space="preserve">El guion describe el Cargo por Confiabilidad por su lógica de diseño (remunerar disponibilidad de energía firme) sin afirmar cifras ni emitir veredicto sobre si generó lock-in: esa pregunta se deja explícitamente abierta para el foro y el Lab 4, coherente con el documento maestro. Verificar la descripción del mecanismo contra la Resolución CREG 071/2006 y normas posteriores, el estado actual del impuesto al carbono colombiano y el diseño de las subastas FNCER (UPME/MME) antes de grabar. Los puntos de apalancamiento siguen a Meadows (Thinking in Systems). El efecto de las renovables variables sobre el </w:t>
      </w:r>
      <w:r w:rsidRPr="009414C8">
        <w:rPr>
          <w:rFonts w:ascii="Aptos Narrow" w:hAnsi="Aptos Narrow"/>
          <w:i/>
          <w:iCs/>
          <w:color w:val="555555"/>
          <w:sz w:val="22"/>
          <w:szCs w:val="22"/>
          <w:lang w:val="es-419"/>
        </w:rPr>
        <w:lastRenderedPageBreak/>
        <w:t>precio de bolsa se describe cualitativamente (bajo costo marginal, desplazamiento en el despacho); si se cuantifica, verificar con datos de XM.</w:t>
      </w:r>
    </w:p>
    <w:p w14:paraId="6DC768FD" w14:textId="274ED5F6" w:rsidR="00D346ED" w:rsidRPr="00DB274C" w:rsidRDefault="00D346ED" w:rsidP="00DB44B5">
      <w:pPr>
        <w:spacing w:after="60"/>
        <w:rPr>
          <w:rFonts w:ascii="Aptos Narrow" w:hAnsi="Aptos Narrow"/>
          <w:sz w:val="22"/>
          <w:szCs w:val="22"/>
          <w:lang w:val="es-419"/>
        </w:rPr>
      </w:pPr>
    </w:p>
    <w:p w14:paraId="353FCBD7" w14:textId="0306D630" w:rsidR="00C20D6B" w:rsidRPr="00DB274C" w:rsidRDefault="00C20D6B" w:rsidP="00DB274C">
      <w:pPr>
        <w:spacing w:after="120"/>
        <w:rPr>
          <w:rFonts w:ascii="Aptos Narrow" w:hAnsi="Aptos Narrow"/>
          <w:sz w:val="22"/>
          <w:szCs w:val="22"/>
          <w:lang w:val="es-419"/>
        </w:rPr>
      </w:pPr>
    </w:p>
    <w:sectPr w:rsidR="00C20D6B" w:rsidRPr="00DB274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98764" w14:textId="77777777" w:rsidR="004513F9" w:rsidRDefault="004513F9" w:rsidP="00DC6E4E">
      <w:pPr>
        <w:spacing w:after="0" w:line="240" w:lineRule="auto"/>
      </w:pPr>
      <w:r>
        <w:separator/>
      </w:r>
    </w:p>
  </w:endnote>
  <w:endnote w:type="continuationSeparator" w:id="0">
    <w:p w14:paraId="5F210FCF" w14:textId="77777777" w:rsidR="004513F9" w:rsidRDefault="004513F9"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4507" w14:textId="77777777" w:rsidR="004513F9" w:rsidRDefault="004513F9" w:rsidP="00DC6E4E">
      <w:pPr>
        <w:spacing w:after="0" w:line="240" w:lineRule="auto"/>
      </w:pPr>
      <w:r>
        <w:separator/>
      </w:r>
    </w:p>
  </w:footnote>
  <w:footnote w:type="continuationSeparator" w:id="0">
    <w:p w14:paraId="37FCE218" w14:textId="77777777" w:rsidR="004513F9" w:rsidRDefault="004513F9"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a:extLst xmlns:a="http://schemas.openxmlformats.org/drawingml/2006/main">
              <a:ext uri="{FF2B5EF4-FFF2-40B4-BE49-F238E27FC236}">
                <a16:creationId xmlns:a16="http://schemas.microsoft.com/office/drawing/2014/main" id="{3428EC86-861D-4E68-96B0-69DAB499B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a:extLst xmlns:a="http://schemas.openxmlformats.org/drawingml/2006/main">
              <a:ext uri="{FF2B5EF4-FFF2-40B4-BE49-F238E27FC236}">
                <a16:creationId xmlns:a16="http://schemas.microsoft.com/office/drawing/2014/main" id="{C4CE356C-14A9-4795-A2EF-37E34D8CE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9874">
    <w:abstractNumId w:val="1"/>
  </w:num>
  <w:num w:numId="2" w16cid:durableId="1543667111">
    <w:abstractNumId w:val="2"/>
  </w:num>
  <w:num w:numId="3" w16cid:durableId="1855998017">
    <w:abstractNumId w:val="0"/>
  </w:num>
  <w:num w:numId="4" w16cid:durableId="1987319963">
    <w:abstractNumId w:val="4"/>
  </w:num>
  <w:num w:numId="5" w16cid:durableId="212090473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221BC"/>
    <w:rsid w:val="00150753"/>
    <w:rsid w:val="00154C3B"/>
    <w:rsid w:val="00163F20"/>
    <w:rsid w:val="0016775D"/>
    <w:rsid w:val="00180B42"/>
    <w:rsid w:val="001844A9"/>
    <w:rsid w:val="001928AB"/>
    <w:rsid w:val="00196827"/>
    <w:rsid w:val="001D4C6D"/>
    <w:rsid w:val="001E1FE5"/>
    <w:rsid w:val="001F0BA5"/>
    <w:rsid w:val="00214F5F"/>
    <w:rsid w:val="002338A3"/>
    <w:rsid w:val="00246D8F"/>
    <w:rsid w:val="002B0F3E"/>
    <w:rsid w:val="002B1012"/>
    <w:rsid w:val="002B2F6D"/>
    <w:rsid w:val="002B54E7"/>
    <w:rsid w:val="002C1903"/>
    <w:rsid w:val="002D2D04"/>
    <w:rsid w:val="002D3CE9"/>
    <w:rsid w:val="002F6840"/>
    <w:rsid w:val="00326B8C"/>
    <w:rsid w:val="003C4859"/>
    <w:rsid w:val="003E57AD"/>
    <w:rsid w:val="004060D2"/>
    <w:rsid w:val="00416939"/>
    <w:rsid w:val="00425546"/>
    <w:rsid w:val="00442043"/>
    <w:rsid w:val="004513F9"/>
    <w:rsid w:val="0045781F"/>
    <w:rsid w:val="004965DE"/>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90DDB"/>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362DB"/>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14C8"/>
    <w:rsid w:val="0094593B"/>
    <w:rsid w:val="00946A01"/>
    <w:rsid w:val="009572D0"/>
    <w:rsid w:val="00961FA9"/>
    <w:rsid w:val="009668D6"/>
    <w:rsid w:val="009A50E2"/>
    <w:rsid w:val="009B6C32"/>
    <w:rsid w:val="009C0013"/>
    <w:rsid w:val="00A2411E"/>
    <w:rsid w:val="00A55028"/>
    <w:rsid w:val="00A56545"/>
    <w:rsid w:val="00A64527"/>
    <w:rsid w:val="00A67E34"/>
    <w:rsid w:val="00A74D29"/>
    <w:rsid w:val="00A96C6A"/>
    <w:rsid w:val="00AA04FA"/>
    <w:rsid w:val="00AA62F3"/>
    <w:rsid w:val="00AB3AE4"/>
    <w:rsid w:val="00AB7F9E"/>
    <w:rsid w:val="00AC64E3"/>
    <w:rsid w:val="00B0625D"/>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4053D"/>
    <w:rsid w:val="00C52CFD"/>
    <w:rsid w:val="00C619BC"/>
    <w:rsid w:val="00C74969"/>
    <w:rsid w:val="00C868C2"/>
    <w:rsid w:val="00C96E2A"/>
    <w:rsid w:val="00CA7B83"/>
    <w:rsid w:val="00CC1613"/>
    <w:rsid w:val="00CE7758"/>
    <w:rsid w:val="00CF7577"/>
    <w:rsid w:val="00CF7A5D"/>
    <w:rsid w:val="00D13B8D"/>
    <w:rsid w:val="00D165E5"/>
    <w:rsid w:val="00D2228B"/>
    <w:rsid w:val="00D346ED"/>
    <w:rsid w:val="00D45F58"/>
    <w:rsid w:val="00D64E13"/>
    <w:rsid w:val="00D752A9"/>
    <w:rsid w:val="00D9304B"/>
    <w:rsid w:val="00DA76B9"/>
    <w:rsid w:val="00DB274C"/>
    <w:rsid w:val="00DB44B5"/>
    <w:rsid w:val="00DC0AC2"/>
    <w:rsid w:val="00DC52DD"/>
    <w:rsid w:val="00DC6E4E"/>
    <w:rsid w:val="00DD0613"/>
    <w:rsid w:val="00DF7938"/>
    <w:rsid w:val="00E16CAD"/>
    <w:rsid w:val="00E20D7E"/>
    <w:rsid w:val="00E27FCE"/>
    <w:rsid w:val="00E315C7"/>
    <w:rsid w:val="00E325F2"/>
    <w:rsid w:val="00E42EE7"/>
    <w:rsid w:val="00E456F7"/>
    <w:rsid w:val="00E54F8F"/>
    <w:rsid w:val="00E85D03"/>
    <w:rsid w:val="00EA748F"/>
    <w:rsid w:val="00EB7720"/>
    <w:rsid w:val="00EC2C26"/>
    <w:rsid w:val="00ED1361"/>
    <w:rsid w:val="00ED389A"/>
    <w:rsid w:val="00F07D53"/>
    <w:rsid w:val="00F2295E"/>
    <w:rsid w:val="00F35346"/>
    <w:rsid w:val="00F802ED"/>
    <w:rsid w:val="00F86456"/>
    <w:rsid w:val="00F87ED4"/>
    <w:rsid w:val="00FB5012"/>
    <w:rsid w:val="00FD13F6"/>
    <w:rsid w:val="00FD1ACF"/>
    <w:rsid w:val="00FD309D"/>
    <w:rsid w:val="00FD452B"/>
    <w:rsid w:val="00FE554A"/>
    <w:rsid w:val="00FF4464"/>
    <w:rsid w:val="00FF683A"/>
    <w:rsid w:val="2AA860A7"/>
    <w:rsid w:val="31DDDF15"/>
    <w:rsid w:val="36E2781D"/>
    <w:rsid w:val="407DCF26"/>
    <w:rsid w:val="5014D130"/>
    <w:rsid w:val="592C80BC"/>
    <w:rsid w:val="682CE3D8"/>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2235</Words>
  <Characters>12745</Characters>
  <Application>Microsoft Office Word</Application>
  <DocSecurity>0</DocSecurity>
  <Lines>106</Lines>
  <Paragraphs>29</Paragraphs>
  <ScaleCrop>false</ScaleCrop>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11</cp:revision>
  <cp:lastPrinted>2026-05-29T14:52:00Z</cp:lastPrinted>
  <dcterms:created xsi:type="dcterms:W3CDTF">2026-07-19T23:37:00Z</dcterms:created>
  <dcterms:modified xsi:type="dcterms:W3CDTF">2026-07-19T23:42:00Z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