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DB274C" w:rsidRDefault="00E325F2" w:rsidP="00214F5F">
      <w:pPr>
        <w:pStyle w:val="Heading1"/>
        <w:jc w:val="center"/>
        <w:rPr>
          <w:rFonts w:ascii="Aptos Narrow" w:hAnsi="Aptos Narrow"/>
          <w:b/>
          <w:bCs/>
          <w:lang w:val="es-419"/>
        </w:rPr>
      </w:pPr>
      <w:bookmarkStart w:id="0" w:name="_Toc228135348"/>
      <w:r w:rsidRPr="31DDDF15">
        <w:rPr>
          <w:rFonts w:ascii="Aptos Narrow" w:hAnsi="Aptos Narrow"/>
          <w:b/>
          <w:bCs/>
          <w:lang w:val="es-419"/>
        </w:rPr>
        <w:t>SCRIPT</w:t>
      </w:r>
      <w:r w:rsidR="00CA7B83" w:rsidRPr="31DDDF15">
        <w:rPr>
          <w:rFonts w:ascii="Aptos Narrow" w:hAnsi="Aptos Narrow"/>
          <w:b/>
          <w:bCs/>
          <w:lang w:val="es-419"/>
        </w:rPr>
        <w:t xml:space="preserve"> SUGERIDO</w:t>
      </w:r>
      <w:bookmarkEnd w:id="0"/>
    </w:p>
    <w:p w14:paraId="20A941CA" w14:textId="1CD7C6FF" w:rsidR="682CE3D8" w:rsidRPr="00C4053D" w:rsidRDefault="682CE3D8" w:rsidP="31DDDF15">
      <w:pPr>
        <w:pStyle w:val="Heading2"/>
        <w:jc w:val="both"/>
        <w:rPr>
          <w:rFonts w:ascii="Aptos Narrow" w:eastAsia="Aptos Narrow" w:hAnsi="Aptos Narrow" w:cs="Aptos Narrow"/>
          <w:sz w:val="22"/>
          <w:szCs w:val="22"/>
          <w:lang w:val="es-419"/>
        </w:rPr>
      </w:pPr>
      <w:r w:rsidRPr="31DDDF15">
        <w:rPr>
          <w:rFonts w:ascii="Aptos Narrow" w:eastAsia="Aptos Narrow" w:hAnsi="Aptos Narrow" w:cs="Aptos Narrow"/>
          <w:sz w:val="22"/>
          <w:szCs w:val="22"/>
        </w:rPr>
        <w:t>SEMANA 5: Dinámica de Sistemas II — Políticas, Escenarios e Incertidumbre</w:t>
      </w:r>
    </w:p>
    <w:p w14:paraId="7B0BB3E1" w14:textId="61D9AD6A" w:rsidR="682CE3D8" w:rsidRPr="00C4053D" w:rsidRDefault="682CE3D8" w:rsidP="31DDDF15">
      <w:pPr>
        <w:spacing w:after="80"/>
        <w:jc w:val="both"/>
        <w:rPr>
          <w:rFonts w:ascii="Aptos Narrow" w:eastAsia="Aptos Narrow" w:hAnsi="Aptos Narrow" w:cs="Aptos Narrow"/>
          <w:color w:val="B85042"/>
          <w:sz w:val="22"/>
          <w:szCs w:val="22"/>
          <w:lang w:val="es-419"/>
        </w:rPr>
      </w:pPr>
      <w:r w:rsidRPr="31DDDF15">
        <w:rPr>
          <w:rFonts w:ascii="Aptos Narrow" w:eastAsia="Aptos Narrow" w:hAnsi="Aptos Narrow" w:cs="Aptos Narrow"/>
          <w:i/>
          <w:iCs/>
          <w:color w:val="B85042"/>
          <w:sz w:val="22"/>
          <w:szCs w:val="22"/>
          <w:lang w:val="es-CO"/>
        </w:rPr>
        <w:t>Caso ancla: Efecto del Cargo por Confiabilidad y la entrada de FNCER en el mercado</w:t>
      </w:r>
    </w:p>
    <w:p w14:paraId="3030783B" w14:textId="24180C90" w:rsidR="682CE3D8" w:rsidRPr="00C4053D" w:rsidRDefault="682CE3D8" w:rsidP="31DDDF15">
      <w:pPr>
        <w:pBdr>
          <w:bottom w:val="single" w:sz="8" w:space="6" w:color="1E2761"/>
        </w:pBdr>
        <w:spacing w:after="120"/>
        <w:jc w:val="both"/>
        <w:rPr>
          <w:rFonts w:ascii="Aptos Narrow" w:eastAsia="Aptos Narrow" w:hAnsi="Aptos Narrow" w:cs="Aptos Narrow"/>
          <w:color w:val="000000" w:themeColor="text1"/>
          <w:sz w:val="22"/>
          <w:szCs w:val="22"/>
          <w:lang w:val="es-419"/>
        </w:rPr>
      </w:pPr>
      <w:r w:rsidRPr="31DDDF15">
        <w:rPr>
          <w:rFonts w:ascii="Aptos Narrow" w:eastAsia="Aptos Narrow" w:hAnsi="Aptos Narrow" w:cs="Aptos Narrow"/>
          <w:b/>
          <w:bCs/>
          <w:color w:val="1E2761"/>
          <w:sz w:val="22"/>
          <w:szCs w:val="22"/>
          <w:lang w:val="es-CO"/>
        </w:rPr>
        <w:t xml:space="preserve">Resultados de Aprendizaje verificados: </w:t>
      </w:r>
      <w:r w:rsidRPr="31DDDF15">
        <w:rPr>
          <w:rFonts w:ascii="Aptos Narrow" w:eastAsia="Aptos Narrow" w:hAnsi="Aptos Narrow" w:cs="Aptos Narrow"/>
          <w:color w:val="000000" w:themeColor="text1"/>
          <w:sz w:val="22"/>
          <w:szCs w:val="22"/>
          <w:lang w:val="es-CO"/>
        </w:rPr>
        <w:t>RAC 3 (alto) · RAC 4 (alto) · Checkpoint Avance 2</w:t>
      </w:r>
      <w:r w:rsidRPr="31DDDF15">
        <w:rPr>
          <w:rFonts w:ascii="Aptos Narrow" w:eastAsia="Aptos Narrow" w:hAnsi="Aptos Narrow" w:cs="Aptos Narrow"/>
          <w:color w:val="5C6478"/>
          <w:sz w:val="22"/>
          <w:szCs w:val="22"/>
          <w:lang w:val="es-CO"/>
        </w:rPr>
        <w:t xml:space="preserve">  ·  </w:t>
      </w:r>
      <w:r w:rsidRPr="31DDDF15">
        <w:rPr>
          <w:rFonts w:ascii="Aptos Narrow" w:eastAsia="Aptos Narrow" w:hAnsi="Aptos Narrow" w:cs="Aptos Narrow"/>
          <w:b/>
          <w:bCs/>
          <w:color w:val="1E2761"/>
          <w:sz w:val="22"/>
          <w:szCs w:val="22"/>
          <w:lang w:val="es-CO"/>
        </w:rPr>
        <w:t xml:space="preserve">RA del programa: </w:t>
      </w:r>
      <w:r w:rsidRPr="31DDDF15">
        <w:rPr>
          <w:rFonts w:ascii="Aptos Narrow" w:eastAsia="Aptos Narrow" w:hAnsi="Aptos Narrow" w:cs="Aptos Narrow"/>
          <w:color w:val="000000" w:themeColor="text1"/>
          <w:sz w:val="22"/>
          <w:szCs w:val="22"/>
          <w:lang w:val="es-CO"/>
        </w:rPr>
        <w:t>RA1.2, RA1.5, RA2.2, RA3.2, RA3.3, RA4</w:t>
      </w:r>
    </w:p>
    <w:p w14:paraId="29039046" w14:textId="71CF177B" w:rsidR="682CE3D8" w:rsidRPr="00D2228B" w:rsidRDefault="682CE3D8" w:rsidP="31DDDF15">
      <w:pPr>
        <w:spacing w:before="60" w:after="60" w:line="300" w:lineRule="auto"/>
        <w:jc w:val="both"/>
        <w:rPr>
          <w:rFonts w:ascii="Aptos Narrow" w:eastAsia="Aptos Narrow" w:hAnsi="Aptos Narrow" w:cs="Aptos Narrow"/>
          <w:color w:val="000000" w:themeColor="text1"/>
          <w:sz w:val="22"/>
          <w:szCs w:val="22"/>
          <w:lang w:val="es-419"/>
        </w:rPr>
      </w:pPr>
      <w:r w:rsidRPr="31DDDF15">
        <w:rPr>
          <w:rFonts w:ascii="Aptos Narrow" w:eastAsia="Aptos Narrow" w:hAnsi="Aptos Narrow" w:cs="Aptos Narrow"/>
          <w:color w:val="000000" w:themeColor="text1"/>
          <w:sz w:val="22"/>
          <w:szCs w:val="22"/>
          <w:lang w:val="es-CO"/>
        </w:rPr>
        <w:t>Se profundiza en la dinámica de sistemas aplicando ciclos positivos, ciclos negativos y retardos al caso del Cargo por Confiabilidad y la entrada acelerada de FNCER. Se extiende el modelo para incorporar intervenciones de política (CxC, subastas FNCER, impuesto al carbono) y se exploran escenarios bajo incertidumbre. El estudiante transita de "¿cómo se comporta el sistema?" a "¿qué opciones tiene un tomador de decisiones cuando el futuro es radicalmente incierto?" Se introduce la distinción entre riesgo (probabilidades conocidas) e incertidumbre profunda, y el principio de robustez sobre optimalidad: no buscar la estrategia "óptima" para un escenario, sino la que funciona "suficientemente bien" en todos.</w:t>
      </w:r>
    </w:p>
    <w:p w14:paraId="3DA5A7DB" w14:textId="5D26B2F0" w:rsidR="004A2836" w:rsidRPr="00DB274C" w:rsidRDefault="00684053" w:rsidP="00724EB6">
      <w:pPr>
        <w:spacing w:before="200" w:after="100"/>
        <w:rPr>
          <w:rFonts w:ascii="Aptos Narrow" w:hAnsi="Aptos Narrow"/>
          <w:b/>
          <w:bCs/>
          <w:color w:val="065A82"/>
          <w:sz w:val="22"/>
          <w:szCs w:val="22"/>
          <w:lang w:val="es-419"/>
        </w:rPr>
      </w:pPr>
      <w:r w:rsidRPr="00DB274C">
        <w:rPr>
          <w:rFonts w:ascii="Aptos Narrow" w:hAnsi="Aptos Narrow"/>
          <w:b/>
          <w:bCs/>
          <w:color w:val="065A82"/>
          <w:sz w:val="22"/>
          <w:szCs w:val="22"/>
          <w:lang w:val="es-419"/>
        </w:rPr>
        <w:t>Bloque Autónomo — 10 horas (secuencia Mo → Co → Pr → Ev → Proy)</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DB274C" w14:paraId="74BA0B68" w14:textId="77777777" w:rsidTr="31DDDF15">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DB274C" w:rsidRDefault="00724EB6" w:rsidP="00724EB6">
            <w:pPr>
              <w:jc w:val="center"/>
              <w:rPr>
                <w:rFonts w:ascii="Aptos Narrow" w:hAnsi="Aptos Narrow"/>
                <w:sz w:val="22"/>
                <w:szCs w:val="22"/>
              </w:rPr>
            </w:pPr>
            <w:r w:rsidRPr="00DB274C">
              <w:rPr>
                <w:rFonts w:ascii="Aptos Narrow" w:hAnsi="Aptos Narrow"/>
                <w:b/>
                <w:bCs/>
                <w:color w:val="FFFFFF"/>
                <w:sz w:val="22"/>
                <w:szCs w:val="22"/>
              </w:rPr>
              <w:t>Cód.</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DB274C" w:rsidRDefault="00724EB6" w:rsidP="00724EB6">
            <w:pPr>
              <w:jc w:val="center"/>
              <w:rPr>
                <w:rFonts w:ascii="Aptos Narrow" w:hAnsi="Aptos Narrow"/>
                <w:b/>
                <w:bCs/>
                <w:sz w:val="22"/>
                <w:szCs w:val="22"/>
              </w:rPr>
            </w:pPr>
            <w:r w:rsidRPr="00DB274C">
              <w:rPr>
                <w:rFonts w:ascii="Aptos Narrow" w:hAnsi="Aptos Narrow"/>
                <w:b/>
                <w:bCs/>
                <w:sz w:val="22"/>
                <w:szCs w:val="22"/>
              </w:rPr>
              <w:t>Momento</w:t>
            </w:r>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DB274C" w:rsidRDefault="00724EB6" w:rsidP="00724EB6">
            <w:pPr>
              <w:jc w:val="center"/>
              <w:rPr>
                <w:rFonts w:ascii="Aptos Narrow" w:hAnsi="Aptos Narrow"/>
                <w:sz w:val="22"/>
                <w:szCs w:val="22"/>
                <w:lang w:val="es-419"/>
              </w:rPr>
            </w:pPr>
            <w:r w:rsidRPr="00DB274C">
              <w:rPr>
                <w:rFonts w:ascii="Aptos Narrow" w:hAnsi="Aptos Narrow"/>
                <w:b/>
                <w:bCs/>
                <w:color w:val="FFFFFF"/>
                <w:sz w:val="22"/>
                <w:szCs w:val="22"/>
                <w:lang w:val="es-419"/>
              </w:rPr>
              <w:t>Descripción</w:t>
            </w:r>
          </w:p>
        </w:tc>
      </w:tr>
      <w:tr w:rsidR="004F6622" w:rsidRPr="00FD452B" w14:paraId="48B2D932" w14:textId="77777777" w:rsidTr="31DDDF15">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4F6622" w:rsidRPr="00DB274C" w:rsidRDefault="004F6622" w:rsidP="004F6622">
            <w:pPr>
              <w:spacing w:after="0"/>
              <w:jc w:val="center"/>
              <w:rPr>
                <w:rFonts w:ascii="Aptos Narrow" w:hAnsi="Aptos Narrow"/>
                <w:sz w:val="20"/>
                <w:szCs w:val="20"/>
              </w:rPr>
            </w:pPr>
            <w:r w:rsidRPr="00DB274C">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4F6622" w:rsidRPr="00DB274C" w:rsidRDefault="004F6622" w:rsidP="004F6622">
            <w:pPr>
              <w:spacing w:after="0"/>
              <w:jc w:val="center"/>
              <w:rPr>
                <w:rFonts w:ascii="Aptos Narrow" w:hAnsi="Aptos Narrow"/>
                <w:sz w:val="20"/>
                <w:szCs w:val="20"/>
              </w:rPr>
            </w:pPr>
            <w:r w:rsidRPr="00DB274C">
              <w:rPr>
                <w:rFonts w:ascii="Aptos Narrow" w:hAnsi="Aptos Narrow"/>
                <w:b/>
                <w:bCs/>
                <w:color w:val="1E2761"/>
                <w:sz w:val="20"/>
                <w:szCs w:val="20"/>
              </w:rPr>
              <w:t>Contenidos</w:t>
            </w:r>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326B8F5A" w14:textId="14F6CF83" w:rsidR="31DDDF15" w:rsidRDefault="31DDDF15" w:rsidP="31DDDF15">
            <w:pPr>
              <w:spacing w:after="40"/>
              <w:jc w:val="both"/>
              <w:rPr>
                <w:rFonts w:ascii="Aptos Narrow" w:eastAsia="Aptos Narrow" w:hAnsi="Aptos Narrow" w:cs="Aptos Narrow"/>
                <w:color w:val="000000" w:themeColor="text1"/>
                <w:sz w:val="20"/>
                <w:szCs w:val="20"/>
                <w:lang w:val="es-CO"/>
              </w:rPr>
            </w:pPr>
            <w:r w:rsidRPr="31DDDF15">
              <w:rPr>
                <w:rFonts w:ascii="Aptos Narrow" w:eastAsia="Aptos Narrow" w:hAnsi="Aptos Narrow" w:cs="Aptos Narrow"/>
                <w:color w:val="000000" w:themeColor="text1"/>
                <w:sz w:val="20"/>
                <w:szCs w:val="20"/>
                <w:lang w:val="es-CO"/>
              </w:rPr>
              <w:t>Video-lecciones 5.1–5.4 (57 min): ciclos de refuerzo (crecimiento exponencial, bola de nieve); ciclos de balance (búsqueda de meta y oscilación); retardos como fuente de inestabilidad; intervenciones de política (CxC, subastas FNCER, impuesto al carbono): ¿dónde se insertan? análisis de sensibilidad; escenarios bajo incertidumbre profunda (Knight); 4 escenarios cualitativamente distintos; robustez sobre optimalidad y minimax regret; introducción conceptual a RDM (RAND). Lectura: Farmer et al. Science 2019; Arango &amp; Larsen 2011; Ley 2099 de 2021 (extractos).</w:t>
            </w:r>
          </w:p>
        </w:tc>
      </w:tr>
    </w:tbl>
    <w:p w14:paraId="3F81575C" w14:textId="77777777" w:rsidR="00724EB6" w:rsidRPr="00DB274C" w:rsidRDefault="00724EB6" w:rsidP="006A2647">
      <w:pPr>
        <w:pStyle w:val="Heading2"/>
        <w:rPr>
          <w:rFonts w:ascii="Aptos Narrow" w:hAnsi="Aptos Narrow"/>
          <w:sz w:val="22"/>
          <w:szCs w:val="22"/>
        </w:rPr>
      </w:pPr>
    </w:p>
    <w:p w14:paraId="29CA0D02" w14:textId="77777777" w:rsidR="00724EB6" w:rsidRPr="00DB274C" w:rsidRDefault="00724EB6">
      <w:pPr>
        <w:rPr>
          <w:rFonts w:ascii="Aptos Narrow" w:eastAsia="Calibri" w:hAnsi="Aptos Narrow" w:cs="Calibri"/>
          <w:b/>
          <w:bCs/>
          <w:color w:val="065A82"/>
          <w:sz w:val="22"/>
          <w:szCs w:val="22"/>
          <w:lang w:val="es-CO" w:eastAsia="es-MX"/>
        </w:rPr>
      </w:pPr>
      <w:r w:rsidRPr="00DB274C">
        <w:rPr>
          <w:rFonts w:ascii="Aptos Narrow" w:hAnsi="Aptos Narrow"/>
          <w:sz w:val="22"/>
          <w:szCs w:val="22"/>
          <w:lang w:val="es-419"/>
        </w:rPr>
        <w:br w:type="page"/>
      </w:r>
    </w:p>
    <w:p w14:paraId="31A0717A" w14:textId="777663C2" w:rsidR="006A2647" w:rsidRPr="00DB274C" w:rsidRDefault="006A2647" w:rsidP="006A2647">
      <w:pPr>
        <w:pStyle w:val="Heading2"/>
        <w:rPr>
          <w:rFonts w:ascii="Aptos Narrow" w:hAnsi="Aptos Narrow"/>
          <w:sz w:val="22"/>
          <w:szCs w:val="22"/>
          <w:lang w:val="es-419"/>
        </w:rPr>
      </w:pPr>
      <w:r w:rsidRPr="00DB274C">
        <w:rPr>
          <w:rFonts w:ascii="Aptos Narrow" w:hAnsi="Aptos Narrow"/>
          <w:sz w:val="22"/>
          <w:szCs w:val="22"/>
        </w:rPr>
        <w:lastRenderedPageBreak/>
        <w:t xml:space="preserve">SCRIPT </w:t>
      </w:r>
      <w:r w:rsidRPr="00DB274C">
        <w:rPr>
          <w:rFonts w:ascii="Aptos Narrow" w:hAnsi="Aptos Narrow"/>
          <w:sz w:val="22"/>
          <w:szCs w:val="22"/>
          <w:lang w:val="es-419"/>
        </w:rPr>
        <w:t xml:space="preserve">~ </w:t>
      </w:r>
      <w:r w:rsidR="001F0BA5" w:rsidRPr="00DB274C">
        <w:rPr>
          <w:rFonts w:ascii="Aptos Narrow" w:hAnsi="Aptos Narrow"/>
          <w:sz w:val="22"/>
          <w:szCs w:val="22"/>
          <w:lang w:val="es-419"/>
        </w:rPr>
        <w:t>1</w:t>
      </w:r>
      <w:r w:rsidRPr="00DB274C">
        <w:rPr>
          <w:rFonts w:ascii="Aptos Narrow" w:hAnsi="Aptos Narrow"/>
          <w:sz w:val="22"/>
          <w:szCs w:val="22"/>
          <w:lang w:val="es-419"/>
        </w:rPr>
        <w:t>5 min</w:t>
      </w:r>
    </w:p>
    <w:p w14:paraId="59865C1E" w14:textId="77777777" w:rsidR="00D5308A" w:rsidRPr="000E645B" w:rsidRDefault="00CF7577" w:rsidP="00D5308A">
      <w:pPr>
        <w:spacing w:after="60"/>
        <w:rPr>
          <w:rFonts w:ascii="Aptos Narrow" w:hAnsi="Aptos Narrow"/>
          <w:sz w:val="22"/>
          <w:szCs w:val="22"/>
          <w:lang w:val="es-419"/>
        </w:rPr>
      </w:pPr>
      <w:r w:rsidRPr="009414C8">
        <w:rPr>
          <w:rFonts w:ascii="Aptos Narrow" w:hAnsi="Aptos Narrow"/>
          <w:b/>
          <w:bCs/>
          <w:color w:val="1F3864"/>
          <w:sz w:val="22"/>
          <w:szCs w:val="22"/>
          <w:lang w:val="es-419"/>
        </w:rPr>
        <w:t xml:space="preserve">Alcance de </w:t>
      </w:r>
      <w:r w:rsidR="00C52CFD" w:rsidRPr="009414C8">
        <w:rPr>
          <w:rFonts w:ascii="Aptos Narrow" w:hAnsi="Aptos Narrow"/>
          <w:b/>
          <w:bCs/>
          <w:color w:val="1F3864"/>
          <w:sz w:val="22"/>
          <w:szCs w:val="22"/>
          <w:lang w:val="es-419"/>
        </w:rPr>
        <w:t>5.</w:t>
      </w:r>
      <w:r w:rsidR="00D70891">
        <w:rPr>
          <w:rFonts w:ascii="Aptos Narrow" w:hAnsi="Aptos Narrow"/>
          <w:b/>
          <w:bCs/>
          <w:color w:val="1F3864"/>
          <w:sz w:val="22"/>
          <w:szCs w:val="22"/>
          <w:lang w:val="es-419"/>
        </w:rPr>
        <w:t>3:</w:t>
      </w:r>
      <w:r w:rsidR="00D70891">
        <w:rPr>
          <w:rFonts w:ascii="Aptos Narrow" w:hAnsi="Aptos Narrow"/>
          <w:sz w:val="22"/>
          <w:szCs w:val="22"/>
          <w:lang w:val="es-419"/>
        </w:rPr>
        <w:t xml:space="preserve"> </w:t>
      </w:r>
      <w:r w:rsidR="00D5308A" w:rsidRPr="000E645B">
        <w:rPr>
          <w:rFonts w:ascii="Aptos Narrow" w:hAnsi="Aptos Narrow"/>
          <w:sz w:val="22"/>
          <w:szCs w:val="22"/>
          <w:lang w:val="es-419"/>
        </w:rPr>
        <w:t>Distinción riesgo vs. incertidumbre profunda (Knight); por qué falla la predicción única; construcción de escenarios; los cuatro ejes de incertidumbre del caso colombiano</w:t>
      </w:r>
    </w:p>
    <w:p w14:paraId="256047C8" w14:textId="77777777" w:rsidR="00D5308A" w:rsidRPr="000E645B" w:rsidRDefault="00D5308A" w:rsidP="00D5308A">
      <w:pPr>
        <w:spacing w:before="280" w:after="120"/>
        <w:rPr>
          <w:rFonts w:ascii="Aptos Narrow" w:hAnsi="Aptos Narrow"/>
          <w:sz w:val="22"/>
          <w:szCs w:val="22"/>
          <w:lang w:val="es-419"/>
        </w:rPr>
      </w:pPr>
      <w:r w:rsidRPr="000E645B">
        <w:rPr>
          <w:rFonts w:ascii="Aptos Narrow" w:hAnsi="Aptos Narrow"/>
          <w:b/>
          <w:bCs/>
          <w:color w:val="1F3864"/>
          <w:sz w:val="22"/>
          <w:szCs w:val="22"/>
          <w:lang w:val="es-419"/>
        </w:rPr>
        <w:t>Segmento 1 — Dos clases de no saber</w:t>
      </w:r>
    </w:p>
    <w:p w14:paraId="79AE8045"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t>Llegamos al giro conceptual más importante de la semana, y quizás de todo el curso para su práctica profesional. Hasta ahora hemos construido modelos que, dados unos supuestos, nos dicen cómo evoluciona el sistema. Pero para usar esos modelos en una decisión real necesitamos algo que no tenemos: saber cómo será el futuro. Y hoy vamos a enfrentar ese problema en serio, empezando por reconocer que no todas las formas de no saber son iguales.</w:t>
      </w:r>
    </w:p>
    <w:p w14:paraId="367BD53F"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t>La distinción viene del economista Frank Knight, que a comienzos del siglo veinte separó dos situaciones que solemos confundir bajo la misma palabra. La primera es el riesgo. Hay riesgo cuando no sabemos qué va a pasar, pero conocemos el conjunto de resultados posibles y podemos asignarles probabilidades confiables. El ejemplo clásico es un dado: no sé qué número saldrá, pero sé que serán seis posibilidades con probabilidad conocida. En el mundo energético, la falla de un equipo con historial estadístico largo se acerca a esto: no sé si fallará mañana, pero tengo tasas de falla razonablemente estimadas.</w:t>
      </w:r>
    </w:p>
    <w:p w14:paraId="47B0A73B"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t>La segunda situación es la incertidumbre, que hoy llamamos incertidumbre profunda. Aquí no solo desconocemos el resultado: desconocemos las probabilidades, y a veces ni siquiera tenemos claro el conjunto completo de resultados posibles. ¿Cuál es la probabilidad de que el precio del gas se duplique en diez años? ¿Cuál es la probabilidad de que una tecnología de almacenamiento hoy incipiente sea dominante en quince? No hay una respuesta honesta con un número, porque no existe una serie histórica de futuros comparables de la cual estimarla. Estamos en un terreno donde las herramientas probabilísticas pierden su fundamento.</w:t>
      </w:r>
    </w:p>
    <w:p w14:paraId="5F0C5800"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t>Y la razón por la que esta distinción importa tanto es que casi todo nuestro instrumental de decisión, el valor esperado, el análisis costo-beneficio, la optimización, está construido para el mundo del riesgo, donde hay probabilidades. Cuando aplicamos esas herramientas a un problema de incertidumbre profunda, lo que hacemos en la práctica es inventarnos las probabilidades que necesitábamos, muchas veces sin admitirlo, y luego optimizar con una precisión que la evidencia no respalda. El resultado es una respuesta que se ve rigurosa y que descansa sobre un supuesto arbitrario.</w:t>
      </w:r>
    </w:p>
    <w:p w14:paraId="7798E278" w14:textId="77777777" w:rsidR="00D5308A" w:rsidRPr="000E645B" w:rsidRDefault="00D5308A" w:rsidP="00D5308A">
      <w:pPr>
        <w:spacing w:before="280" w:after="120"/>
        <w:rPr>
          <w:rFonts w:ascii="Aptos Narrow" w:hAnsi="Aptos Narrow"/>
          <w:sz w:val="22"/>
          <w:szCs w:val="22"/>
          <w:lang w:val="es-419"/>
        </w:rPr>
      </w:pPr>
      <w:r w:rsidRPr="000E645B">
        <w:rPr>
          <w:rFonts w:ascii="Aptos Narrow" w:hAnsi="Aptos Narrow"/>
          <w:b/>
          <w:bCs/>
          <w:color w:val="1F3864"/>
          <w:sz w:val="22"/>
          <w:szCs w:val="22"/>
          <w:lang w:val="es-419"/>
        </w:rPr>
        <w:t>Segmento 2 — Por qué falla la predicción única</w:t>
      </w:r>
    </w:p>
    <w:p w14:paraId="3F351A11"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t>La forma más común de lidiar con el futuro en la práctica profesional es hacer una proyección: estimamos el escenario más probable, corremos el modelo con esos valores, y decidimos con base en ese resultado. Es lo que suele llamarse el caso base. Y quiero ser justo: no es una práctica absurda, es útil como referencia común y como punto de partida para conversar.</w:t>
      </w:r>
    </w:p>
    <w:p w14:paraId="7335DD68"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lastRenderedPageBreak/>
        <w:t>El problema aparece cuando esa proyección única se convierte en la base de una decisión de largo plazo bajo incertidumbre profunda. Porque una proyección es una apuesta, aunque no la llamemos así: estamos apostando a que el futuro se parecerá a nuestro caso base. Y la evidencia histórica sobre proyecciones energéticas de largo plazo es humillante para todos: las trayectorias de costos de tecnologías, de precios de combustibles y de demanda han sorprendido sistemáticamente a los mejores analistas, en ambas direcciones. No porque fueran incompetentes, sino porque el futuro de un sistema complejo no es predecible con esa precisión.</w:t>
      </w:r>
    </w:p>
    <w:p w14:paraId="747BD9D0"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t>Hay un problema adicional, más sutil, que conecta con lo que vimos en la lección anterior. Optimizar para un caso base no solo puede errarle al futuro: tiende a producir soluciones frágiles. Una estrategia afinada al máximo para un escenario específico suele funcionar espléndidamente si ese escenario ocurre y muy mal si ocurre otro. Es decir, cuanto más optimizamos para un futuro concreto, más apostamos a que ese futuro se cumpla. En un mundo de incertidumbre profunda, esa optimización fina es una forma sofisticada de fragilidad.</w:t>
      </w:r>
    </w:p>
    <w:p w14:paraId="4E5FE44B"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t>La salida no es predecir mejor. Es cambiar la pregunta. En lugar de preguntar qué va a pasar, preguntamos qué podría pasar, y luego, qué decisión se defiende razonablemente bien a lo largo de todo ese abanico. Ese cambio de pregunta es el corazón del pensamiento por escenarios.</w:t>
      </w:r>
    </w:p>
    <w:p w14:paraId="4FC5E218" w14:textId="77777777" w:rsidR="00D5308A" w:rsidRPr="000E645B" w:rsidRDefault="00D5308A" w:rsidP="00D5308A">
      <w:pPr>
        <w:pBdr>
          <w:left w:val="single" w:sz="18" w:space="12" w:color="9C6500"/>
        </w:pBdr>
        <w:spacing w:before="120"/>
        <w:rPr>
          <w:rFonts w:ascii="Aptos Narrow" w:hAnsi="Aptos Narrow"/>
          <w:sz w:val="22"/>
          <w:szCs w:val="22"/>
          <w:lang w:val="es-419"/>
        </w:rPr>
      </w:pPr>
      <w:r w:rsidRPr="000E645B">
        <w:rPr>
          <w:rFonts w:ascii="Aptos Narrow" w:hAnsi="Aptos Narrow"/>
          <w:b/>
          <w:bCs/>
          <w:color w:val="9C6500"/>
          <w:sz w:val="22"/>
          <w:szCs w:val="22"/>
          <w:lang w:val="es-419"/>
        </w:rPr>
        <w:t xml:space="preserve">[QUIZ EMBEBIDO] </w:t>
      </w:r>
      <w:r w:rsidRPr="000E645B">
        <w:rPr>
          <w:rFonts w:ascii="Aptos Narrow" w:hAnsi="Aptos Narrow"/>
          <w:i/>
          <w:iCs/>
          <w:color w:val="555555"/>
          <w:sz w:val="22"/>
          <w:szCs w:val="22"/>
          <w:lang w:val="es-419"/>
        </w:rPr>
        <w:t>Se presentan dos situaciones: estimar la probabilidad de falla de un transformador con veinte años de historial estadístico, y estimar la probabilidad de que el costo del almacenamiento en baterías caiga por debajo de cierto umbral en quince años. El estudiante debe clasificar cada una como riesgo o incertidumbre profunda y explicar por qué las herramientas de valor esperado son apropiadas solo en una de ellas.</w:t>
      </w:r>
    </w:p>
    <w:p w14:paraId="757F8C2E" w14:textId="77777777" w:rsidR="00D5308A" w:rsidRPr="000E645B" w:rsidRDefault="00D5308A" w:rsidP="00D5308A">
      <w:pPr>
        <w:spacing w:before="280" w:after="120"/>
        <w:rPr>
          <w:rFonts w:ascii="Aptos Narrow" w:hAnsi="Aptos Narrow"/>
          <w:sz w:val="22"/>
          <w:szCs w:val="22"/>
          <w:lang w:val="es-419"/>
        </w:rPr>
      </w:pPr>
      <w:r w:rsidRPr="000E645B">
        <w:rPr>
          <w:rFonts w:ascii="Aptos Narrow" w:hAnsi="Aptos Narrow"/>
          <w:b/>
          <w:bCs/>
          <w:color w:val="1F3864"/>
          <w:sz w:val="22"/>
          <w:szCs w:val="22"/>
          <w:lang w:val="es-419"/>
        </w:rPr>
        <w:t>Segmento 3 — Qué es y qué no es un escenario</w:t>
      </w:r>
    </w:p>
    <w:p w14:paraId="3931BC45"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t>Un escenario es una descripción coherente y completa de un futuro posible. Coherente significa que sus elementos son compatibles entre sí y responden a una lógica interna creíble; completa significa que especifica todas las condiciones que el modelo necesita para correr. No es una predicción, y esto hay que subrayarlo: un escenario no afirma que el futuro será así. Afirma que ese futuro es posible y que vale la pena examinar qué pasaría con nuestras decisiones si ocurriera.</w:t>
      </w:r>
    </w:p>
    <w:p w14:paraId="44106AC6"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t>Vale la pena distinguirlo de dos prácticas parecidas que no son lo mismo. La primera es el análisis de sensibilidad que vimos en la lección anterior, que mueve una variable a la vez dejando fijas las demás; un escenario, en cambio, mueve varias variables a la vez de forma coherente, porque en el mundo real las condiciones vienen en paquetes correlacionados. La segunda es la práctica de armar un caso optimista, uno base y uno pesimista, que a primera vista se parece a trabajar con escenarios pero suele ser algo más pobre: alinea todas las variables en una sola dimensión de mejor a peor, cuando lo interesante de la incertidumbre real es que puede combinarse de formas cruzadas. Un futuro puede ser bueno para una tecnología y malo para otra al mismo tiempo, y esa combinación cruzada es precisamente la que revela dónde están las decisiones frágiles.</w:t>
      </w:r>
    </w:p>
    <w:p w14:paraId="44DD0140"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lastRenderedPageBreak/>
        <w:t>Un buen conjunto de escenarios cumple tres condiciones. Deben ser plausibles, es decir, defendibles ante un experto del sector, no fantasías. Deben ser distintos entre sí, no variaciones menores del mismo mundo, porque el objetivo es cubrir el espacio de lo posible y no acumular versiones de la misma apuesta. Y deben ser relevantes para la decisión que estamos tomando: cada escenario debe poner a prueba algo distinto de nuestra estrategia. Si todos mis escenarios llevan a la misma recomendación, o construí mal los escenarios, o mi decisión es afortunadamente robusta, y conviene saber cuál de las dos cosas es.</w:t>
      </w:r>
    </w:p>
    <w:p w14:paraId="6D85CD7D"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t>Y hay un beneficio de trabajar con escenarios que suele subestimarse, porque no aparece en ninguna tabla de resultados: el efecto sobre quienes participan en el ejercicio. Construir escenarios obliga a un equipo a poner sobre la mesa sus supuestos implícitos, esos que cada quien daba por obvios sin haberlos dicho nunca en voz alta. Cuando alguien plantea un futuro donde el gas es caro y las lluvias escasean al mismo tiempo, otros en la sala descubren que su plan entero descansaba en que eso no pasara. Ese momento de reconocimiento tiene un valor enorme, incluso si al final ese escenario no ocurre, porque amplía el rango de futuros que la organización es capaz de imaginar y, por tanto, para los que puede prepararse. Muchos fracasos de planeación no vienen de haber estimado mal una probabilidad, sino de que nadie había contemplado siquiera que cierta combinación fuera posible. Por eso los escenarios no son solo un insumo técnico para el modelo: son una herramienta para pensar mejor colectivamente, y así los usan las organizaciones que planean con seriedad de largo plazo.</w:t>
      </w:r>
    </w:p>
    <w:p w14:paraId="41291B10" w14:textId="77777777" w:rsidR="00D5308A" w:rsidRPr="000E645B" w:rsidRDefault="00D5308A" w:rsidP="00D5308A">
      <w:pPr>
        <w:spacing w:before="280" w:after="120"/>
        <w:rPr>
          <w:rFonts w:ascii="Aptos Narrow" w:hAnsi="Aptos Narrow"/>
          <w:sz w:val="22"/>
          <w:szCs w:val="22"/>
          <w:lang w:val="es-419"/>
        </w:rPr>
      </w:pPr>
      <w:r w:rsidRPr="000E645B">
        <w:rPr>
          <w:rFonts w:ascii="Aptos Narrow" w:hAnsi="Aptos Narrow"/>
          <w:b/>
          <w:bCs/>
          <w:color w:val="1F3864"/>
          <w:sz w:val="22"/>
          <w:szCs w:val="22"/>
          <w:lang w:val="es-419"/>
        </w:rPr>
        <w:t>Segmento 4 — Los cuatro ejes de incertidumbre del caso colombiano</w:t>
      </w:r>
    </w:p>
    <w:p w14:paraId="610008F5"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t>Bajemos esto al caso de la semana. Para el sistema eléctrico colombiano y las decisiones de inversión y política que estamos modelando, hay cuatro fuentes de incertidumbre que van a estructurar los escenarios del laboratorio, y quiero que entiendan por qué cada una importa.</w:t>
      </w:r>
    </w:p>
    <w:p w14:paraId="5964782B"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t>La primera es el precio del gas. Determina el costo de la generación térmica de respaldo y por tanto su rentabilidad, su disponibilidad efectiva en momentos críticos y el precio de bolsa en épocas de escasez hídrica. Ya vimos en la primera semana lo que ocurre cuando el costo del combustible de respaldo supera lo que el mercado reconoce. La segunda es el factor de planta de la solar, que resume qué tan productivas resultan las renovables variables; afecta cuánta capacidad renovable hace falta para desplazar energía convencional y qué tan confiable es su aporte.</w:t>
      </w:r>
    </w:p>
    <w:p w14:paraId="7E62E94D"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t>La tercera es la elasticidad de la demanda, es decir, qué tanto responde el consumo a los cambios de precio, junto con el ritmo al que crece. Una demanda que responde poco al precio hace que la escasez se traduzca en picos de precio más agudos; una demanda que crece rápido acorta el tiempo hasta el próximo episodio de estrechez. Y la cuarta es la frecuencia de los fenómenos de El Niño, que en un sistema hidrodependiente es quizás la variable más determinante y la más difícil de proyectar, sobre todo en un contexto de cambio climático donde la estadística del pasado puede no describir bien el futuro.</w:t>
      </w:r>
    </w:p>
    <w:p w14:paraId="339D2D74"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t xml:space="preserve">Fíjense en que estas cuatro son de naturaleza distinta: dos son de mercado, una de comportamiento y una climática. Combinándolas de maneras coherentes, en el laboratorio construirán cuatro escenarios </w:t>
      </w:r>
      <w:r w:rsidRPr="000E645B">
        <w:rPr>
          <w:rFonts w:ascii="Aptos Narrow" w:hAnsi="Aptos Narrow"/>
          <w:sz w:val="22"/>
          <w:szCs w:val="22"/>
          <w:lang w:val="es-419"/>
        </w:rPr>
        <w:lastRenderedPageBreak/>
        <w:t>cualitativamente diferentes, no cuatro grados del mismo escenario. Y luego probarán tres estrategias de inversión distintas dentro de cada uno de esos futuros. El resultado será una tabla donde cada estrategia se enfrenta a cada mundo posible, y esa tabla es la materia prima de la decisión que estudiaremos en la última lección.</w:t>
      </w:r>
    </w:p>
    <w:p w14:paraId="2FE585FF" w14:textId="77777777" w:rsidR="00D5308A" w:rsidRPr="000E645B" w:rsidRDefault="00D5308A" w:rsidP="00D5308A">
      <w:pPr>
        <w:pBdr>
          <w:left w:val="single" w:sz="18" w:space="12" w:color="9C6500"/>
        </w:pBdr>
        <w:spacing w:before="120"/>
        <w:rPr>
          <w:rFonts w:ascii="Aptos Narrow" w:hAnsi="Aptos Narrow"/>
          <w:sz w:val="22"/>
          <w:szCs w:val="22"/>
          <w:lang w:val="es-419"/>
        </w:rPr>
      </w:pPr>
      <w:r w:rsidRPr="000E645B">
        <w:rPr>
          <w:rFonts w:ascii="Aptos Narrow" w:hAnsi="Aptos Narrow"/>
          <w:b/>
          <w:bCs/>
          <w:color w:val="9C6500"/>
          <w:sz w:val="22"/>
          <w:szCs w:val="22"/>
          <w:lang w:val="es-419"/>
        </w:rPr>
        <w:t xml:space="preserve">[QUIZ EMBEBIDO] </w:t>
      </w:r>
      <w:r w:rsidRPr="000E645B">
        <w:rPr>
          <w:rFonts w:ascii="Aptos Narrow" w:hAnsi="Aptos Narrow"/>
          <w:i/>
          <w:iCs/>
          <w:color w:val="555555"/>
          <w:sz w:val="22"/>
          <w:szCs w:val="22"/>
          <w:lang w:val="es-419"/>
        </w:rPr>
        <w:t>Se propone un conjunto de escenarios donde el único eje que varía es el crecimiento de la demanda, en cuatro niveles de bajo a alto. El estudiante debe explicar qué debilidad tiene ese conjunto frente a los criterios de un buen conjunto de escenarios y cómo lo mejoraría usando los cuatro ejes de incertidumbre del caso.</w:t>
      </w:r>
    </w:p>
    <w:p w14:paraId="13524CB9" w14:textId="77777777" w:rsidR="00D5308A" w:rsidRPr="000E645B" w:rsidRDefault="00D5308A" w:rsidP="00D5308A">
      <w:pPr>
        <w:spacing w:before="280" w:after="120"/>
        <w:rPr>
          <w:rFonts w:ascii="Aptos Narrow" w:hAnsi="Aptos Narrow"/>
          <w:sz w:val="22"/>
          <w:szCs w:val="22"/>
          <w:lang w:val="es-419"/>
        </w:rPr>
      </w:pPr>
      <w:r w:rsidRPr="000E645B">
        <w:rPr>
          <w:rFonts w:ascii="Aptos Narrow" w:hAnsi="Aptos Narrow"/>
          <w:b/>
          <w:bCs/>
          <w:color w:val="1F3864"/>
          <w:sz w:val="22"/>
          <w:szCs w:val="22"/>
          <w:lang w:val="es-419"/>
        </w:rPr>
        <w:t>Segmento 5 — Cierre y hacia la decisión robusta</w:t>
      </w:r>
    </w:p>
    <w:p w14:paraId="57561AD0"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t>Recapitulemos. Hoy distinguimos el riesgo, donde conocemos las probabilidades, de la incertidumbre profunda, donde no las conocemos, siguiendo la separación clásica de Knight, y vimos que casi todo nuestro instrumental de decisión supone el primer mundo mientras que las decisiones energéticas de largo plazo viven en el segundo. Entendimos por qué la predicción única es una apuesta encubierta y por qué optimizar finamente para un caso base produce estrategias frágiles. Aprendimos qué es un escenario, en qué se diferencia de la sensibilidad y de la terna optimista-base-pesimista, y qué condiciones cumple un buen conjunto de escenarios. Y ubicamos los cuatro ejes de incertidumbre del caso colombiano.</w:t>
      </w:r>
    </w:p>
    <w:p w14:paraId="1D4F93F4"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t>Pero fíjense en que todavía nos falta lo esencial. Supongamos que ya tenemos la tabla completa: cuatro futuros posibles, tres estrategias, y el resultado de cada combinación. ¿Cómo elegimos? Ninguna estrategia será la mejor en todos los escenarios; si lo fuera, la decisión sería trivial. Lo normal es que una estrategia brille en unos mundos y sufra en otros, y que otra sea mediocre en todos pero nunca catastrófica. ¿Cuál conviene? Esa es una pregunta de criterio, no de cálculo, y responderla exige un principio distinto al de la optimización tradicional.</w:t>
      </w:r>
    </w:p>
    <w:p w14:paraId="10EBAAD2" w14:textId="77777777" w:rsidR="00D5308A" w:rsidRPr="000E645B" w:rsidRDefault="00D5308A" w:rsidP="00D5308A">
      <w:pPr>
        <w:spacing w:line="300" w:lineRule="auto"/>
        <w:jc w:val="both"/>
        <w:rPr>
          <w:rFonts w:ascii="Aptos Narrow" w:hAnsi="Aptos Narrow"/>
          <w:sz w:val="22"/>
          <w:szCs w:val="22"/>
          <w:lang w:val="es-419"/>
        </w:rPr>
      </w:pPr>
      <w:r w:rsidRPr="000E645B">
        <w:rPr>
          <w:rFonts w:ascii="Aptos Narrow" w:hAnsi="Aptos Narrow"/>
          <w:sz w:val="22"/>
          <w:szCs w:val="22"/>
          <w:lang w:val="es-419"/>
        </w:rPr>
        <w:t>En la última lección de la semana vamos a estudiar ese principio: la robustez sobre la optimalidad. Veremos el criterio de minimax regret, la tipología de estrategias robustas de Hallegatte, con sus opciones sin arrepentimiento, sus decisiones reversibles y sus márgenes de seguridad, y asomaremos al método de Robust Decision Making desarrollado por RAND. Ahí cerraremos el módulo de dinámica de sistemas con la herramienta que de verdad usarán cuando les toque recomendar bajo incertidumbre. Nos vemos en la lección 5.4.</w:t>
      </w:r>
    </w:p>
    <w:p w14:paraId="3C04F017" w14:textId="77777777" w:rsidR="00D5308A" w:rsidRPr="000E645B" w:rsidRDefault="00D5308A" w:rsidP="00D5308A">
      <w:pPr>
        <w:pBdr>
          <w:top w:val="single" w:sz="6" w:space="6" w:color="CCCCCC"/>
        </w:pBdr>
        <w:spacing w:before="280" w:after="120"/>
        <w:rPr>
          <w:rFonts w:ascii="Aptos Narrow" w:hAnsi="Aptos Narrow"/>
          <w:sz w:val="22"/>
          <w:szCs w:val="22"/>
          <w:lang w:val="es-419"/>
        </w:rPr>
      </w:pPr>
      <w:r w:rsidRPr="000E645B">
        <w:rPr>
          <w:rFonts w:ascii="Aptos Narrow" w:hAnsi="Aptos Narrow"/>
          <w:b/>
          <w:bCs/>
          <w:color w:val="9C6500"/>
          <w:sz w:val="22"/>
          <w:szCs w:val="22"/>
          <w:lang w:val="es-419"/>
        </w:rPr>
        <w:t>Notas de contenido</w:t>
      </w:r>
    </w:p>
    <w:p w14:paraId="353FCBD7" w14:textId="578DF590" w:rsidR="00C20D6B" w:rsidRPr="000E645B" w:rsidRDefault="00D5308A" w:rsidP="00DB274C">
      <w:pPr>
        <w:spacing w:after="120"/>
        <w:rPr>
          <w:rFonts w:ascii="Aptos Narrow" w:hAnsi="Aptos Narrow"/>
          <w:sz w:val="22"/>
          <w:szCs w:val="22"/>
          <w:lang w:val="es-419"/>
        </w:rPr>
      </w:pPr>
      <w:r w:rsidRPr="000E645B">
        <w:rPr>
          <w:rFonts w:ascii="Aptos Narrow" w:hAnsi="Aptos Narrow"/>
          <w:i/>
          <w:iCs/>
          <w:color w:val="555555"/>
          <w:sz w:val="22"/>
          <w:szCs w:val="22"/>
          <w:lang w:val="es-419"/>
        </w:rPr>
        <w:t xml:space="preserve">La distinción riesgo/incertidumbre sigue a Knight y al marco de Decision Making under Deep Uncertainty (Marchau et al., Cap. 1), fuentes de la semana. Los cuatro ejes de incertidumbre (precio del gas, factor de planta solar, elasticidad de demanda, frecuencia de El Niño) son exactamente los del enunciado del Lab 4 en el documento maestro. Guion conceptual, sin cifras: no se afirman valores ni rangos para ninguno de los cuatro ejes; si se decide mostrarlos en pantalla, verificar con UPME/XM/IDEAM. La afirmación sobre el </w:t>
      </w:r>
      <w:r w:rsidRPr="000E645B">
        <w:rPr>
          <w:rFonts w:ascii="Aptos Narrow" w:hAnsi="Aptos Narrow"/>
          <w:i/>
          <w:iCs/>
          <w:color w:val="555555"/>
          <w:sz w:val="22"/>
          <w:szCs w:val="22"/>
          <w:lang w:val="es-419"/>
        </w:rPr>
        <w:lastRenderedPageBreak/>
        <w:t>desempeño histórico de las proyecciones energéticas se mantiene cualitativa; si se quiere ilustrar con un caso concreto, verificar la fuente antes de grabar.</w:t>
      </w:r>
    </w:p>
    <w:sectPr w:rsidR="00C20D6B" w:rsidRPr="000E645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FFCB0" w14:textId="77777777" w:rsidR="00F079A8" w:rsidRDefault="00F079A8" w:rsidP="00DC6E4E">
      <w:pPr>
        <w:spacing w:after="0" w:line="240" w:lineRule="auto"/>
      </w:pPr>
      <w:r>
        <w:separator/>
      </w:r>
    </w:p>
  </w:endnote>
  <w:endnote w:type="continuationSeparator" w:id="0">
    <w:p w14:paraId="137FB167" w14:textId="77777777" w:rsidR="00F079A8" w:rsidRDefault="00F079A8"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4198F" w14:textId="77777777" w:rsidR="00F079A8" w:rsidRDefault="00F079A8" w:rsidP="00DC6E4E">
      <w:pPr>
        <w:spacing w:after="0" w:line="240" w:lineRule="auto"/>
      </w:pPr>
      <w:r>
        <w:separator/>
      </w:r>
    </w:p>
  </w:footnote>
  <w:footnote w:type="continuationSeparator" w:id="0">
    <w:p w14:paraId="754944FA" w14:textId="77777777" w:rsidR="00F079A8" w:rsidRDefault="00F079A8"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a:extLst xmlns:a="http://schemas.openxmlformats.org/drawingml/2006/main">
              <a:ext uri="{FF2B5EF4-FFF2-40B4-BE49-F238E27FC236}">
                <a16:creationId xmlns:a16="http://schemas.microsoft.com/office/drawing/2014/main" id="{3428EC86-861D-4E68-96B0-69DAB499B8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a:extLst xmlns:a="http://schemas.openxmlformats.org/drawingml/2006/main">
              <a:ext uri="{FF2B5EF4-FFF2-40B4-BE49-F238E27FC236}">
                <a16:creationId xmlns:a16="http://schemas.microsoft.com/office/drawing/2014/main" id="{C4CE356C-14A9-4795-A2EF-37E34D8CED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959874">
    <w:abstractNumId w:val="1"/>
  </w:num>
  <w:num w:numId="2" w16cid:durableId="1543667111">
    <w:abstractNumId w:val="2"/>
  </w:num>
  <w:num w:numId="3" w16cid:durableId="1855998017">
    <w:abstractNumId w:val="0"/>
  </w:num>
  <w:num w:numId="4" w16cid:durableId="1987319963">
    <w:abstractNumId w:val="4"/>
  </w:num>
  <w:num w:numId="5" w16cid:durableId="21209047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B724C"/>
    <w:rsid w:val="000D061B"/>
    <w:rsid w:val="000E645B"/>
    <w:rsid w:val="00114DF8"/>
    <w:rsid w:val="001221BC"/>
    <w:rsid w:val="00150753"/>
    <w:rsid w:val="00154C3B"/>
    <w:rsid w:val="00163F20"/>
    <w:rsid w:val="0016775D"/>
    <w:rsid w:val="00180B42"/>
    <w:rsid w:val="001844A9"/>
    <w:rsid w:val="001928AB"/>
    <w:rsid w:val="00196827"/>
    <w:rsid w:val="001D4C6D"/>
    <w:rsid w:val="001E1FE5"/>
    <w:rsid w:val="001F0BA5"/>
    <w:rsid w:val="00214F5F"/>
    <w:rsid w:val="002338A3"/>
    <w:rsid w:val="00246D8F"/>
    <w:rsid w:val="002B0F3E"/>
    <w:rsid w:val="002B1012"/>
    <w:rsid w:val="002B2F6D"/>
    <w:rsid w:val="002B54E7"/>
    <w:rsid w:val="002C1903"/>
    <w:rsid w:val="002D2D04"/>
    <w:rsid w:val="002D3CE9"/>
    <w:rsid w:val="002F6840"/>
    <w:rsid w:val="00326B8C"/>
    <w:rsid w:val="003C4859"/>
    <w:rsid w:val="003E57AD"/>
    <w:rsid w:val="004060D2"/>
    <w:rsid w:val="00416939"/>
    <w:rsid w:val="00425546"/>
    <w:rsid w:val="00442043"/>
    <w:rsid w:val="0045781F"/>
    <w:rsid w:val="004965DE"/>
    <w:rsid w:val="004A2836"/>
    <w:rsid w:val="004D07B2"/>
    <w:rsid w:val="004F095B"/>
    <w:rsid w:val="004F54A8"/>
    <w:rsid w:val="004F6622"/>
    <w:rsid w:val="005067ED"/>
    <w:rsid w:val="00536AD9"/>
    <w:rsid w:val="00551E91"/>
    <w:rsid w:val="00566DB3"/>
    <w:rsid w:val="0058732A"/>
    <w:rsid w:val="005950CD"/>
    <w:rsid w:val="005A1594"/>
    <w:rsid w:val="005A3081"/>
    <w:rsid w:val="005C61BF"/>
    <w:rsid w:val="005C6777"/>
    <w:rsid w:val="005D5078"/>
    <w:rsid w:val="005F08BA"/>
    <w:rsid w:val="006006AF"/>
    <w:rsid w:val="00623197"/>
    <w:rsid w:val="00636DF5"/>
    <w:rsid w:val="0065441E"/>
    <w:rsid w:val="00684053"/>
    <w:rsid w:val="00690DDB"/>
    <w:rsid w:val="006A2647"/>
    <w:rsid w:val="006A403D"/>
    <w:rsid w:val="006B3AAC"/>
    <w:rsid w:val="006E4137"/>
    <w:rsid w:val="00723ADE"/>
    <w:rsid w:val="00724EB6"/>
    <w:rsid w:val="0073061D"/>
    <w:rsid w:val="007722A8"/>
    <w:rsid w:val="00774065"/>
    <w:rsid w:val="007D3681"/>
    <w:rsid w:val="007D5182"/>
    <w:rsid w:val="007E46B6"/>
    <w:rsid w:val="00812C9A"/>
    <w:rsid w:val="0082442A"/>
    <w:rsid w:val="00824BC0"/>
    <w:rsid w:val="008362DB"/>
    <w:rsid w:val="008426B7"/>
    <w:rsid w:val="00845267"/>
    <w:rsid w:val="00852C5C"/>
    <w:rsid w:val="008641BD"/>
    <w:rsid w:val="008727A4"/>
    <w:rsid w:val="00884E06"/>
    <w:rsid w:val="00887B17"/>
    <w:rsid w:val="00893453"/>
    <w:rsid w:val="008E2E48"/>
    <w:rsid w:val="00906562"/>
    <w:rsid w:val="00913FC8"/>
    <w:rsid w:val="009222D0"/>
    <w:rsid w:val="0093616B"/>
    <w:rsid w:val="00940915"/>
    <w:rsid w:val="009414C8"/>
    <w:rsid w:val="0094593B"/>
    <w:rsid w:val="00946A01"/>
    <w:rsid w:val="009572D0"/>
    <w:rsid w:val="00961FA9"/>
    <w:rsid w:val="009668D6"/>
    <w:rsid w:val="009A50E2"/>
    <w:rsid w:val="009B6C32"/>
    <w:rsid w:val="009C0013"/>
    <w:rsid w:val="00A2411E"/>
    <w:rsid w:val="00A55028"/>
    <w:rsid w:val="00A56545"/>
    <w:rsid w:val="00A64527"/>
    <w:rsid w:val="00A67E34"/>
    <w:rsid w:val="00A74D29"/>
    <w:rsid w:val="00A96C6A"/>
    <w:rsid w:val="00AA04FA"/>
    <w:rsid w:val="00AA62F3"/>
    <w:rsid w:val="00AB3AE4"/>
    <w:rsid w:val="00AB7F9E"/>
    <w:rsid w:val="00AC64E3"/>
    <w:rsid w:val="00B0625D"/>
    <w:rsid w:val="00B17459"/>
    <w:rsid w:val="00B6253B"/>
    <w:rsid w:val="00B77AC9"/>
    <w:rsid w:val="00B9318B"/>
    <w:rsid w:val="00BB53F1"/>
    <w:rsid w:val="00BC56C4"/>
    <w:rsid w:val="00BE20D6"/>
    <w:rsid w:val="00BF33B7"/>
    <w:rsid w:val="00C013DA"/>
    <w:rsid w:val="00C04428"/>
    <w:rsid w:val="00C04E34"/>
    <w:rsid w:val="00C20D6B"/>
    <w:rsid w:val="00C2173C"/>
    <w:rsid w:val="00C25715"/>
    <w:rsid w:val="00C25FFB"/>
    <w:rsid w:val="00C4053D"/>
    <w:rsid w:val="00C52CFD"/>
    <w:rsid w:val="00C619BC"/>
    <w:rsid w:val="00C74969"/>
    <w:rsid w:val="00C868C2"/>
    <w:rsid w:val="00C96E2A"/>
    <w:rsid w:val="00CA7B83"/>
    <w:rsid w:val="00CC1613"/>
    <w:rsid w:val="00CE7758"/>
    <w:rsid w:val="00CF7577"/>
    <w:rsid w:val="00CF7A5D"/>
    <w:rsid w:val="00D13B8D"/>
    <w:rsid w:val="00D165E5"/>
    <w:rsid w:val="00D2228B"/>
    <w:rsid w:val="00D346ED"/>
    <w:rsid w:val="00D45F58"/>
    <w:rsid w:val="00D5308A"/>
    <w:rsid w:val="00D64E13"/>
    <w:rsid w:val="00D70891"/>
    <w:rsid w:val="00D752A9"/>
    <w:rsid w:val="00D9304B"/>
    <w:rsid w:val="00DA76B9"/>
    <w:rsid w:val="00DB274C"/>
    <w:rsid w:val="00DB44B5"/>
    <w:rsid w:val="00DC0AC2"/>
    <w:rsid w:val="00DC52DD"/>
    <w:rsid w:val="00DC6E4E"/>
    <w:rsid w:val="00DD0613"/>
    <w:rsid w:val="00DF7938"/>
    <w:rsid w:val="00E16CAD"/>
    <w:rsid w:val="00E20D7E"/>
    <w:rsid w:val="00E27FCE"/>
    <w:rsid w:val="00E315C7"/>
    <w:rsid w:val="00E325F2"/>
    <w:rsid w:val="00E42EE7"/>
    <w:rsid w:val="00E456F7"/>
    <w:rsid w:val="00E54F8F"/>
    <w:rsid w:val="00E85D03"/>
    <w:rsid w:val="00EA748F"/>
    <w:rsid w:val="00EB7720"/>
    <w:rsid w:val="00EC2C26"/>
    <w:rsid w:val="00ED1361"/>
    <w:rsid w:val="00ED389A"/>
    <w:rsid w:val="00F079A8"/>
    <w:rsid w:val="00F07D53"/>
    <w:rsid w:val="00F2295E"/>
    <w:rsid w:val="00F35346"/>
    <w:rsid w:val="00F802ED"/>
    <w:rsid w:val="00F86456"/>
    <w:rsid w:val="00F87ED4"/>
    <w:rsid w:val="00FB5012"/>
    <w:rsid w:val="00FD13F6"/>
    <w:rsid w:val="00FD1ACF"/>
    <w:rsid w:val="00FD309D"/>
    <w:rsid w:val="00FD452B"/>
    <w:rsid w:val="00FE554A"/>
    <w:rsid w:val="00FF4464"/>
    <w:rsid w:val="00FF683A"/>
    <w:rsid w:val="2AA860A7"/>
    <w:rsid w:val="31DDDF15"/>
    <w:rsid w:val="36E2781D"/>
    <w:rsid w:val="407DCF26"/>
    <w:rsid w:val="5014D130"/>
    <w:rsid w:val="592C80BC"/>
    <w:rsid w:val="682CE3D8"/>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Props1.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2.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2166</Words>
  <Characters>12349</Characters>
  <Application>Microsoft Office Word</Application>
  <DocSecurity>0</DocSecurity>
  <Lines>102</Lines>
  <Paragraphs>28</Paragraphs>
  <ScaleCrop>false</ScaleCrop>
  <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9</cp:revision>
  <cp:lastPrinted>2026-05-29T14:52:00Z</cp:lastPrinted>
  <dcterms:created xsi:type="dcterms:W3CDTF">2026-07-19T23:43:00Z</dcterms:created>
  <dcterms:modified xsi:type="dcterms:W3CDTF">2026-07-19T23:47:00Z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