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F02703" w:rsidRDefault="00E325F2" w:rsidP="00477C9E">
      <w:pPr>
        <w:pStyle w:val="Heading1"/>
        <w:jc w:val="center"/>
        <w:rPr>
          <w:rFonts w:ascii="Aptos Narrow" w:hAnsi="Aptos Narrow"/>
          <w:b/>
          <w:bCs/>
          <w:lang w:val="es-419"/>
        </w:rPr>
      </w:pPr>
      <w:bookmarkStart w:id="0" w:name="_Toc228135348"/>
      <w:r w:rsidRPr="00F02703">
        <w:rPr>
          <w:rFonts w:ascii="Aptos Narrow" w:hAnsi="Aptos Narrow"/>
          <w:b/>
          <w:bCs/>
          <w:lang w:val="es-419"/>
        </w:rPr>
        <w:t>SCRIPT</w:t>
      </w:r>
      <w:r w:rsidR="00CA7B83" w:rsidRPr="00F02703">
        <w:rPr>
          <w:rFonts w:ascii="Aptos Narrow" w:hAnsi="Aptos Narrow"/>
          <w:b/>
          <w:bCs/>
          <w:lang w:val="es-419"/>
        </w:rPr>
        <w:t xml:space="preserve"> SUGERIDO</w:t>
      </w:r>
      <w:bookmarkEnd w:id="0"/>
    </w:p>
    <w:p w14:paraId="7904950E" w14:textId="6B315C64" w:rsidR="475E6035" w:rsidRPr="00F02703" w:rsidRDefault="475E6035" w:rsidP="14E837E6">
      <w:pPr>
        <w:pStyle w:val="Heading2"/>
        <w:jc w:val="both"/>
        <w:rPr>
          <w:rFonts w:ascii="Aptos Narrow" w:eastAsia="Aptos Narrow" w:hAnsi="Aptos Narrow" w:cs="Aptos Narrow"/>
          <w:sz w:val="22"/>
          <w:szCs w:val="22"/>
        </w:rPr>
      </w:pPr>
      <w:r w:rsidRPr="00F02703">
        <w:rPr>
          <w:rFonts w:ascii="Aptos Narrow" w:eastAsia="Aptos Narrow" w:hAnsi="Aptos Narrow" w:cs="Aptos Narrow"/>
          <w:sz w:val="22"/>
          <w:szCs w:val="22"/>
        </w:rPr>
        <w:t>SEMANA 5: Dinámica de Sistemas II — Políticas, Escenarios e Incertidumbre</w:t>
      </w:r>
    </w:p>
    <w:p w14:paraId="0A394C8E" w14:textId="2BC35D29" w:rsidR="475E6035" w:rsidRPr="00F02703" w:rsidRDefault="475E6035" w:rsidP="14E837E6">
      <w:pPr>
        <w:spacing w:after="80"/>
        <w:jc w:val="both"/>
        <w:rPr>
          <w:rFonts w:ascii="Aptos Narrow" w:eastAsia="Aptos Narrow" w:hAnsi="Aptos Narrow" w:cs="Aptos Narrow"/>
          <w:i/>
          <w:iCs/>
          <w:color w:val="B85042"/>
          <w:sz w:val="22"/>
          <w:szCs w:val="22"/>
          <w:lang w:val="es-CO"/>
        </w:rPr>
      </w:pPr>
      <w:r w:rsidRPr="00F02703">
        <w:rPr>
          <w:rFonts w:ascii="Aptos Narrow" w:eastAsia="Aptos Narrow" w:hAnsi="Aptos Narrow" w:cs="Aptos Narrow"/>
          <w:i/>
          <w:iCs/>
          <w:color w:val="B85042"/>
          <w:sz w:val="22"/>
          <w:szCs w:val="22"/>
          <w:lang w:val="es-CO"/>
        </w:rPr>
        <w:t>Caso ancla: Efecto del Cargo por Confiabilidad y la entrada de FNCER en el mercado</w:t>
      </w:r>
    </w:p>
    <w:p w14:paraId="3D41E1F7" w14:textId="6708D4A0" w:rsidR="475E6035" w:rsidRPr="00F02703" w:rsidRDefault="475E6035" w:rsidP="14E837E6">
      <w:pPr>
        <w:pBdr>
          <w:bottom w:val="single" w:sz="8" w:space="6" w:color="1E2761"/>
        </w:pBdr>
        <w:spacing w:after="120"/>
        <w:jc w:val="both"/>
        <w:rPr>
          <w:rFonts w:ascii="Aptos Narrow" w:eastAsia="Aptos Narrow" w:hAnsi="Aptos Narrow" w:cs="Aptos Narrow"/>
          <w:sz w:val="22"/>
          <w:szCs w:val="22"/>
          <w:lang w:val="es-CO"/>
        </w:rPr>
      </w:pPr>
      <w:r w:rsidRPr="00F02703">
        <w:rPr>
          <w:rFonts w:ascii="Aptos Narrow" w:eastAsia="Aptos Narrow" w:hAnsi="Aptos Narrow" w:cs="Aptos Narrow"/>
          <w:b/>
          <w:bCs/>
          <w:color w:val="1E2761"/>
          <w:sz w:val="22"/>
          <w:szCs w:val="22"/>
          <w:lang w:val="es-CO"/>
        </w:rPr>
        <w:t xml:space="preserve">Resultados de Aprendizaje verificados: </w:t>
      </w:r>
      <w:r w:rsidRPr="00F02703">
        <w:rPr>
          <w:rFonts w:ascii="Aptos Narrow" w:eastAsia="Aptos Narrow" w:hAnsi="Aptos Narrow" w:cs="Aptos Narrow"/>
          <w:sz w:val="22"/>
          <w:szCs w:val="22"/>
          <w:lang w:val="es-CO"/>
        </w:rPr>
        <w:t xml:space="preserve">RAC 3 (alto) · RAC 4 (alto) · Checkpoint Avance </w:t>
      </w:r>
      <w:proofErr w:type="gramStart"/>
      <w:r w:rsidRPr="00F02703">
        <w:rPr>
          <w:rFonts w:ascii="Aptos Narrow" w:eastAsia="Aptos Narrow" w:hAnsi="Aptos Narrow" w:cs="Aptos Narrow"/>
          <w:sz w:val="22"/>
          <w:szCs w:val="22"/>
          <w:lang w:val="es-CO"/>
        </w:rPr>
        <w:t>2</w:t>
      </w:r>
      <w:r w:rsidRPr="00F02703">
        <w:rPr>
          <w:rFonts w:ascii="Aptos Narrow" w:eastAsia="Aptos Narrow" w:hAnsi="Aptos Narrow" w:cs="Aptos Narrow"/>
          <w:color w:val="5C6478"/>
          <w:sz w:val="22"/>
          <w:szCs w:val="22"/>
          <w:lang w:val="es-CO"/>
        </w:rPr>
        <w:t xml:space="preserve">  ·</w:t>
      </w:r>
      <w:proofErr w:type="gramEnd"/>
      <w:r w:rsidRPr="00F02703">
        <w:rPr>
          <w:rFonts w:ascii="Aptos Narrow" w:eastAsia="Aptos Narrow" w:hAnsi="Aptos Narrow" w:cs="Aptos Narrow"/>
          <w:color w:val="5C6478"/>
          <w:sz w:val="22"/>
          <w:szCs w:val="22"/>
          <w:lang w:val="es-CO"/>
        </w:rPr>
        <w:t xml:space="preserve">  </w:t>
      </w:r>
      <w:r w:rsidRPr="00F02703">
        <w:rPr>
          <w:rFonts w:ascii="Aptos Narrow" w:eastAsia="Aptos Narrow" w:hAnsi="Aptos Narrow" w:cs="Aptos Narrow"/>
          <w:b/>
          <w:bCs/>
          <w:color w:val="1E2761"/>
          <w:sz w:val="22"/>
          <w:szCs w:val="22"/>
          <w:lang w:val="es-CO"/>
        </w:rPr>
        <w:t xml:space="preserve">RA del programa: </w:t>
      </w:r>
      <w:r w:rsidRPr="00F02703">
        <w:rPr>
          <w:rFonts w:ascii="Aptos Narrow" w:eastAsia="Aptos Narrow" w:hAnsi="Aptos Narrow" w:cs="Aptos Narrow"/>
          <w:sz w:val="22"/>
          <w:szCs w:val="22"/>
          <w:lang w:val="es-CO"/>
        </w:rPr>
        <w:t>RA1.2, RA1.5, RA2.2, RA3.2, RA3.3, RA4</w:t>
      </w:r>
    </w:p>
    <w:p w14:paraId="230925D9" w14:textId="1B35BCEF" w:rsidR="475E6035" w:rsidRPr="00F02703" w:rsidRDefault="475E6035" w:rsidP="14E837E6">
      <w:pPr>
        <w:spacing w:before="60" w:after="60" w:line="300" w:lineRule="auto"/>
        <w:jc w:val="both"/>
        <w:rPr>
          <w:rFonts w:ascii="Aptos Narrow" w:eastAsia="Aptos Narrow" w:hAnsi="Aptos Narrow" w:cs="Aptos Narrow"/>
          <w:sz w:val="22"/>
          <w:szCs w:val="22"/>
          <w:lang w:val="es-CO"/>
        </w:rPr>
      </w:pPr>
      <w:r w:rsidRPr="00F02703">
        <w:rPr>
          <w:rFonts w:ascii="Aptos Narrow" w:eastAsia="Aptos Narrow" w:hAnsi="Aptos Narrow" w:cs="Aptos Narrow"/>
          <w:sz w:val="22"/>
          <w:szCs w:val="22"/>
          <w:lang w:val="es-CO"/>
        </w:rPr>
        <w:t>Se profundiza en la dinámica de sistemas aplicando ciclos positivos, ciclos negativos y retardos al caso del Cargo por Confiabilidad y la entrada acelerada de FNCER. Se extiende el modelo para incorporar intervenciones de política (CxC, subastas FNCER, impuesto al carbono) y se exploran escenarios bajo incertidumbre. El estudiante transita de "¿cómo se comporta el sistema?" a "¿qué opciones tiene un tomador de decisiones cuando el futuro es radicalmente incierto?" Se introduce la distinción entre riesgo (probabilidades conocidas) e incertidumbre profunda, y el principio de robustez sobre optimalidad: no buscar la estrategia "óptima" para un escenario, sino la que funciona "suficientemente bien" en todos.</w:t>
      </w:r>
    </w:p>
    <w:p w14:paraId="2DF010CF" w14:textId="77777777" w:rsidR="00684053" w:rsidRPr="00F02703" w:rsidRDefault="00684053" w:rsidP="00684053">
      <w:pPr>
        <w:spacing w:before="200" w:after="100"/>
        <w:rPr>
          <w:rFonts w:ascii="Aptos Narrow" w:hAnsi="Aptos Narrow"/>
          <w:sz w:val="22"/>
          <w:szCs w:val="22"/>
          <w:lang w:val="es-419"/>
        </w:rPr>
      </w:pPr>
      <w:r w:rsidRPr="00F02703">
        <w:rPr>
          <w:rFonts w:ascii="Aptos Narrow" w:hAnsi="Aptos Narrow"/>
          <w:b/>
          <w:bCs/>
          <w:color w:val="065A82"/>
          <w:sz w:val="22"/>
          <w:szCs w:val="22"/>
          <w:lang w:val="es-419"/>
        </w:rPr>
        <w:t xml:space="preserve">Bloque Autónomo — 10 horas (secuencia Mo → Co → Pr → </w:t>
      </w:r>
      <w:proofErr w:type="spellStart"/>
      <w:r w:rsidRPr="00F02703">
        <w:rPr>
          <w:rFonts w:ascii="Aptos Narrow" w:hAnsi="Aptos Narrow"/>
          <w:b/>
          <w:bCs/>
          <w:color w:val="065A82"/>
          <w:sz w:val="22"/>
          <w:szCs w:val="22"/>
          <w:lang w:val="es-419"/>
        </w:rPr>
        <w:t>Ev</w:t>
      </w:r>
      <w:proofErr w:type="spellEnd"/>
      <w:r w:rsidRPr="00F02703">
        <w:rPr>
          <w:rFonts w:ascii="Aptos Narrow" w:hAnsi="Aptos Narrow"/>
          <w:b/>
          <w:bCs/>
          <w:color w:val="065A82"/>
          <w:sz w:val="22"/>
          <w:szCs w:val="22"/>
          <w:lang w:val="es-419"/>
        </w:rPr>
        <w:t xml:space="preserve"> → </w:t>
      </w:r>
      <w:proofErr w:type="spellStart"/>
      <w:r w:rsidRPr="00F02703">
        <w:rPr>
          <w:rFonts w:ascii="Aptos Narrow" w:hAnsi="Aptos Narrow"/>
          <w:b/>
          <w:bCs/>
          <w:color w:val="065A82"/>
          <w:sz w:val="22"/>
          <w:szCs w:val="22"/>
          <w:lang w:val="es-419"/>
        </w:rPr>
        <w:t>Proy</w:t>
      </w:r>
      <w:proofErr w:type="spellEnd"/>
      <w:r w:rsidRPr="00F02703">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C25715" w:rsidRPr="00F02703" w14:paraId="4D7CA148" w14:textId="77777777" w:rsidTr="14E837E6">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6B6B80B2" w14:textId="77777777" w:rsidR="00C25715" w:rsidRPr="00F02703" w:rsidRDefault="00C25715" w:rsidP="003D38F0">
            <w:pPr>
              <w:jc w:val="center"/>
              <w:rPr>
                <w:rFonts w:ascii="Aptos Narrow" w:hAnsi="Aptos Narrow"/>
                <w:sz w:val="22"/>
                <w:szCs w:val="22"/>
              </w:rPr>
            </w:pPr>
            <w:proofErr w:type="spellStart"/>
            <w:r w:rsidRPr="00F02703">
              <w:rPr>
                <w:rFonts w:ascii="Aptos Narrow" w:hAnsi="Aptos Narrow"/>
                <w:b/>
                <w:bCs/>
                <w:color w:val="FFFFFF"/>
                <w:sz w:val="22"/>
                <w:szCs w:val="22"/>
              </w:rPr>
              <w:t>Cód</w:t>
            </w:r>
            <w:proofErr w:type="spellEnd"/>
            <w:r w:rsidRPr="00F02703">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6352DFE" w14:textId="537E42FA" w:rsidR="00C25715" w:rsidRPr="00F02703" w:rsidRDefault="00B77AC9" w:rsidP="003D38F0">
            <w:pPr>
              <w:jc w:val="center"/>
              <w:rPr>
                <w:rFonts w:ascii="Aptos Narrow" w:hAnsi="Aptos Narrow"/>
                <w:b/>
                <w:bCs/>
                <w:sz w:val="22"/>
                <w:szCs w:val="22"/>
              </w:rPr>
            </w:pPr>
            <w:proofErr w:type="spellStart"/>
            <w:r w:rsidRPr="00F02703">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1323089" w14:textId="77777777" w:rsidR="00C25715" w:rsidRPr="00F02703" w:rsidRDefault="00C25715" w:rsidP="003D38F0">
            <w:pPr>
              <w:jc w:val="center"/>
              <w:rPr>
                <w:rFonts w:ascii="Aptos Narrow" w:hAnsi="Aptos Narrow"/>
                <w:sz w:val="22"/>
                <w:szCs w:val="22"/>
                <w:lang w:val="es-419"/>
              </w:rPr>
            </w:pPr>
            <w:r w:rsidRPr="00F02703">
              <w:rPr>
                <w:rFonts w:ascii="Aptos Narrow" w:hAnsi="Aptos Narrow"/>
                <w:b/>
                <w:bCs/>
                <w:color w:val="FFFFFF"/>
                <w:sz w:val="22"/>
                <w:szCs w:val="22"/>
                <w:lang w:val="es-419"/>
              </w:rPr>
              <w:t>Descripción</w:t>
            </w:r>
          </w:p>
        </w:tc>
      </w:tr>
      <w:tr w:rsidR="00EC0C2E" w:rsidRPr="00F02703" w14:paraId="09D29222" w14:textId="77777777" w:rsidTr="14E837E6">
        <w:tc>
          <w:tcPr>
            <w:tcW w:w="662" w:type="dxa"/>
            <w:tcBorders>
              <w:top w:val="single" w:sz="4" w:space="0" w:color="B0B8C9"/>
              <w:left w:val="single" w:sz="4" w:space="0" w:color="B0B8C9"/>
              <w:bottom w:val="single" w:sz="4" w:space="0" w:color="B0B8C9"/>
              <w:right w:val="single" w:sz="4" w:space="0" w:color="B0B8C9"/>
            </w:tcBorders>
            <w:shd w:val="clear" w:color="auto" w:fill="FFE0B2"/>
            <w:tcMar>
              <w:top w:w="80" w:type="dxa"/>
              <w:left w:w="120" w:type="dxa"/>
              <w:bottom w:w="80" w:type="dxa"/>
              <w:right w:w="120" w:type="dxa"/>
            </w:tcMar>
            <w:vAlign w:val="center"/>
          </w:tcPr>
          <w:p w14:paraId="414412C2" w14:textId="35CE98BB" w:rsidR="00EC0C2E" w:rsidRPr="00F02703" w:rsidRDefault="00EC0C2E" w:rsidP="00EC0C2E">
            <w:pPr>
              <w:spacing w:after="0"/>
              <w:jc w:val="center"/>
              <w:rPr>
                <w:rFonts w:ascii="Aptos Narrow" w:hAnsi="Aptos Narrow"/>
                <w:sz w:val="20"/>
                <w:szCs w:val="20"/>
              </w:rPr>
            </w:pPr>
            <w:r w:rsidRPr="00F02703">
              <w:rPr>
                <w:rFonts w:ascii="Aptos Narrow" w:hAnsi="Aptos Narrow"/>
                <w:b/>
                <w:bCs/>
                <w:color w:val="1E2761"/>
                <w:sz w:val="20"/>
                <w:szCs w:val="20"/>
              </w:rPr>
              <w:t>Mo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6B9080E1" w14:textId="37803E5F" w:rsidR="00EC0C2E" w:rsidRPr="00F02703" w:rsidRDefault="00EC0C2E" w:rsidP="00EC0C2E">
            <w:pPr>
              <w:spacing w:after="0"/>
              <w:jc w:val="center"/>
              <w:rPr>
                <w:rFonts w:ascii="Aptos Narrow" w:hAnsi="Aptos Narrow"/>
                <w:sz w:val="20"/>
                <w:szCs w:val="20"/>
              </w:rPr>
            </w:pPr>
            <w:proofErr w:type="spellStart"/>
            <w:r w:rsidRPr="00F02703">
              <w:rPr>
                <w:rFonts w:ascii="Aptos Narrow" w:hAnsi="Aptos Narrow"/>
                <w:b/>
                <w:bCs/>
                <w:color w:val="1E2761"/>
                <w:sz w:val="20"/>
                <w:szCs w:val="20"/>
              </w:rPr>
              <w:t>Motivación</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70EF992E" w14:textId="490C70BA" w:rsidR="14E837E6" w:rsidRPr="00F02703" w:rsidRDefault="14E837E6" w:rsidP="14E837E6">
            <w:pPr>
              <w:spacing w:after="40"/>
              <w:jc w:val="both"/>
              <w:rPr>
                <w:rFonts w:ascii="Aptos Narrow" w:eastAsia="Aptos Narrow" w:hAnsi="Aptos Narrow" w:cs="Aptos Narrow"/>
                <w:color w:val="000000" w:themeColor="text1"/>
                <w:sz w:val="20"/>
                <w:szCs w:val="20"/>
                <w:lang w:val="es-CO"/>
              </w:rPr>
            </w:pPr>
            <w:r w:rsidRPr="00F02703">
              <w:rPr>
                <w:rFonts w:ascii="Aptos Narrow" w:eastAsia="Aptos Narrow" w:hAnsi="Aptos Narrow" w:cs="Aptos Narrow"/>
                <w:color w:val="000000" w:themeColor="text1"/>
                <w:sz w:val="20"/>
                <w:szCs w:val="20"/>
                <w:lang w:val="es-CO"/>
              </w:rPr>
              <w:t>Cápsula con datos de subastas FNCER en Colombia 2019–2024 y comparación de precios de la bolsa. Pregunta detonadora: ¿el CxC estabilizó el sistema o creó nuevas oscilaciones? Conexión con la Ley 2099 de 2021.</w:t>
            </w:r>
          </w:p>
        </w:tc>
      </w:tr>
    </w:tbl>
    <w:p w14:paraId="11607A62" w14:textId="77777777" w:rsidR="006A2647" w:rsidRPr="00F02703" w:rsidRDefault="006A2647" w:rsidP="006A2647">
      <w:pPr>
        <w:rPr>
          <w:rFonts w:ascii="Aptos Narrow" w:hAnsi="Aptos Narrow"/>
          <w:sz w:val="22"/>
          <w:szCs w:val="22"/>
          <w:lang w:val="es-419"/>
        </w:rPr>
      </w:pPr>
      <w:r w:rsidRPr="00F02703">
        <w:rPr>
          <w:rFonts w:ascii="Aptos Narrow" w:hAnsi="Aptos Narrow"/>
          <w:sz w:val="22"/>
          <w:szCs w:val="22"/>
          <w:lang w:val="es-419"/>
        </w:rPr>
        <w:br w:type="page"/>
      </w:r>
    </w:p>
    <w:p w14:paraId="31A0717A" w14:textId="5EB7FF1A" w:rsidR="006A2647" w:rsidRPr="00F02703" w:rsidRDefault="006A2647" w:rsidP="006A2647">
      <w:pPr>
        <w:pStyle w:val="Heading2"/>
        <w:rPr>
          <w:rFonts w:ascii="Aptos Narrow" w:hAnsi="Aptos Narrow"/>
          <w:sz w:val="22"/>
          <w:szCs w:val="22"/>
          <w:lang w:val="es-419"/>
        </w:rPr>
      </w:pPr>
      <w:r w:rsidRPr="00F02703">
        <w:rPr>
          <w:rFonts w:ascii="Aptos Narrow" w:hAnsi="Aptos Narrow"/>
          <w:sz w:val="22"/>
          <w:szCs w:val="22"/>
        </w:rPr>
        <w:lastRenderedPageBreak/>
        <w:t xml:space="preserve">SCRIPT </w:t>
      </w:r>
      <w:r w:rsidRPr="00F02703">
        <w:rPr>
          <w:rFonts w:ascii="Aptos Narrow" w:hAnsi="Aptos Narrow"/>
          <w:sz w:val="22"/>
          <w:szCs w:val="22"/>
          <w:lang w:val="es-419"/>
        </w:rPr>
        <w:t>~ 5 min</w:t>
      </w:r>
    </w:p>
    <w:p w14:paraId="4CAF39AF" w14:textId="77777777" w:rsidR="00F02703" w:rsidRPr="00F02703" w:rsidRDefault="00F02703" w:rsidP="00F02703">
      <w:pPr>
        <w:spacing w:before="280" w:after="120"/>
        <w:rPr>
          <w:rFonts w:ascii="Aptos Narrow" w:hAnsi="Aptos Narrow"/>
          <w:sz w:val="22"/>
          <w:szCs w:val="22"/>
          <w:lang w:val="es-419"/>
        </w:rPr>
      </w:pPr>
      <w:r w:rsidRPr="00F02703">
        <w:rPr>
          <w:rFonts w:ascii="Aptos Narrow" w:hAnsi="Aptos Narrow"/>
          <w:b/>
          <w:bCs/>
          <w:color w:val="1F3864"/>
          <w:sz w:val="22"/>
          <w:szCs w:val="22"/>
          <w:lang w:val="es-419"/>
        </w:rPr>
        <w:t>Segmento 1 — Gancho</w:t>
      </w:r>
    </w:p>
    <w:p w14:paraId="7944C2CA" w14:textId="77777777" w:rsidR="00F02703" w:rsidRPr="00F02703" w:rsidRDefault="00F02703" w:rsidP="00F02703">
      <w:pPr>
        <w:spacing w:line="300" w:lineRule="auto"/>
        <w:jc w:val="both"/>
        <w:rPr>
          <w:rFonts w:ascii="Aptos Narrow" w:hAnsi="Aptos Narrow"/>
          <w:sz w:val="22"/>
          <w:szCs w:val="22"/>
          <w:lang w:val="es-419"/>
        </w:rPr>
      </w:pPr>
      <w:r w:rsidRPr="00F02703">
        <w:rPr>
          <w:rFonts w:ascii="Aptos Narrow" w:hAnsi="Aptos Narrow"/>
          <w:sz w:val="22"/>
          <w:szCs w:val="22"/>
          <w:lang w:val="es-419"/>
        </w:rPr>
        <w:t>La semana pasada descubrimos que el sector eléctrico oscila por su propia estructura: un lazo de balance con un retardo constructor largo produce ciclos de escasez y sobreoferta que se repiten década tras década. Y terminamos con la pregunta obvia del ingeniero y del formulador de política: ¿y qué hacemos al respecto? Pues resulta que Colombia ya intentó una respuesta, hace casi veinte años, y se llama Cargo por Confiabilidad.</w:t>
      </w:r>
    </w:p>
    <w:p w14:paraId="5DF1C5E1" w14:textId="77777777" w:rsidR="00F02703" w:rsidRPr="00F02703" w:rsidRDefault="00F02703" w:rsidP="00F02703">
      <w:pPr>
        <w:spacing w:line="300" w:lineRule="auto"/>
        <w:jc w:val="both"/>
        <w:rPr>
          <w:rFonts w:ascii="Aptos Narrow" w:hAnsi="Aptos Narrow"/>
          <w:sz w:val="22"/>
          <w:szCs w:val="22"/>
          <w:lang w:val="es-419"/>
        </w:rPr>
      </w:pPr>
      <w:r w:rsidRPr="00F02703">
        <w:rPr>
          <w:rFonts w:ascii="Aptos Narrow" w:hAnsi="Aptos Narrow"/>
          <w:sz w:val="22"/>
          <w:szCs w:val="22"/>
          <w:lang w:val="es-419"/>
        </w:rPr>
        <w:t>La idea del mecanismo era exactamente atacar el problema que estudiamos: si el precio de corto plazo no da buenas señales para inversiones que tardan años, creemos un pago aparte que remunere por anticipado la disponibilidad futura de energía firme. Un instrumento diseñado, en el lenguaje que ya manejamos, para intervenir sobre el lazo de inversión y amortiguar el ciclo. La pregunta de esta semana es si funcionó.</w:t>
      </w:r>
    </w:p>
    <w:p w14:paraId="1F412461" w14:textId="77777777" w:rsidR="00F02703" w:rsidRPr="00F02703" w:rsidRDefault="00F02703" w:rsidP="00F02703">
      <w:pPr>
        <w:spacing w:before="280" w:after="120"/>
        <w:rPr>
          <w:rFonts w:ascii="Aptos Narrow" w:hAnsi="Aptos Narrow"/>
          <w:sz w:val="22"/>
          <w:szCs w:val="22"/>
          <w:lang w:val="es-419"/>
        </w:rPr>
      </w:pPr>
      <w:r w:rsidRPr="00F02703">
        <w:rPr>
          <w:rFonts w:ascii="Aptos Narrow" w:hAnsi="Aptos Narrow"/>
          <w:b/>
          <w:bCs/>
          <w:color w:val="1F3864"/>
          <w:sz w:val="22"/>
          <w:szCs w:val="22"/>
          <w:lang w:val="es-419"/>
        </w:rPr>
        <w:t>Segmento 2 — Los datos que complican la respuesta</w:t>
      </w:r>
    </w:p>
    <w:p w14:paraId="211D5656" w14:textId="77777777" w:rsidR="00F02703" w:rsidRPr="00F02703" w:rsidRDefault="00F02703" w:rsidP="00F02703">
      <w:pPr>
        <w:spacing w:line="300" w:lineRule="auto"/>
        <w:jc w:val="both"/>
        <w:rPr>
          <w:rFonts w:ascii="Aptos Narrow" w:hAnsi="Aptos Narrow"/>
          <w:sz w:val="22"/>
          <w:szCs w:val="22"/>
          <w:lang w:val="es-419"/>
        </w:rPr>
      </w:pPr>
      <w:r w:rsidRPr="00F02703">
        <w:rPr>
          <w:rFonts w:ascii="Aptos Narrow" w:hAnsi="Aptos Narrow"/>
          <w:sz w:val="22"/>
          <w:szCs w:val="22"/>
          <w:lang w:val="es-419"/>
        </w:rPr>
        <w:t>Miren estos datos de las subastas de energías renovables no convencionales entre 2019 y 2024, junto con el comportamiento del precio de bolsa en el mismo periodo [verificar las series y las fuentes de los datos de subastas FNCER y precio de bolsa que se muestren]. Y agreguen a la escena la Ley 2099 de 2021, que amplió los incentivos a las renovables y aceleró su entrada. Lo que tenemos es un sistema al que le hemos ido poniendo capa sobre capa de intervención: un cargo que remunera la firmeza, subastas que empujan la entrada de solar y eólica, incentivos tributarios, y una discusión abierta sobre el impuesto al carbono.</w:t>
      </w:r>
    </w:p>
    <w:p w14:paraId="7D85E473" w14:textId="77777777" w:rsidR="00F02703" w:rsidRPr="00F02703" w:rsidRDefault="00F02703" w:rsidP="00F02703">
      <w:pPr>
        <w:spacing w:line="300" w:lineRule="auto"/>
        <w:jc w:val="both"/>
        <w:rPr>
          <w:rFonts w:ascii="Aptos Narrow" w:hAnsi="Aptos Narrow"/>
          <w:sz w:val="22"/>
          <w:szCs w:val="22"/>
          <w:lang w:val="es-419"/>
        </w:rPr>
      </w:pPr>
      <w:r w:rsidRPr="00F02703">
        <w:rPr>
          <w:rFonts w:ascii="Aptos Narrow" w:hAnsi="Aptos Narrow"/>
          <w:sz w:val="22"/>
          <w:szCs w:val="22"/>
          <w:lang w:val="es-419"/>
        </w:rPr>
        <w:t xml:space="preserve">Y aquí está lo incómodo. Cada una de esas intervenciones se diseñó con buenas razones y para resolver un problema real. Pero un sistema complejo, ya lo sabemos, responde de formas que sus diseñadores no siempre anticipan. ¿El Cargo por Confiabilidad estabilizó el sistema, o creó nuevas oscilaciones al alterar los incentivos? ¿Aseguró respaldo firme, o dejó al país atado a una matriz térmica por más tiempo del necesario, en un </w:t>
      </w:r>
      <w:proofErr w:type="spellStart"/>
      <w:r w:rsidRPr="00F02703">
        <w:rPr>
          <w:rFonts w:ascii="Aptos Narrow" w:hAnsi="Aptos Narrow"/>
          <w:sz w:val="22"/>
          <w:szCs w:val="22"/>
          <w:lang w:val="es-419"/>
        </w:rPr>
        <w:t>lock</w:t>
      </w:r>
      <w:proofErr w:type="spellEnd"/>
      <w:r w:rsidRPr="00F02703">
        <w:rPr>
          <w:rFonts w:ascii="Aptos Narrow" w:hAnsi="Aptos Narrow"/>
          <w:sz w:val="22"/>
          <w:szCs w:val="22"/>
          <w:lang w:val="es-419"/>
        </w:rPr>
        <w:t xml:space="preserve">-in como los que estudiamos en la primera semana? ¿Y qué pasa cuando le sumamos una ola de renovables con costos variables casi </w:t>
      </w:r>
      <w:proofErr w:type="gramStart"/>
      <w:r w:rsidRPr="00F02703">
        <w:rPr>
          <w:rFonts w:ascii="Aptos Narrow" w:hAnsi="Aptos Narrow"/>
          <w:sz w:val="22"/>
          <w:szCs w:val="22"/>
          <w:lang w:val="es-419"/>
        </w:rPr>
        <w:t>nulos</w:t>
      </w:r>
      <w:proofErr w:type="gramEnd"/>
      <w:r w:rsidRPr="00F02703">
        <w:rPr>
          <w:rFonts w:ascii="Aptos Narrow" w:hAnsi="Aptos Narrow"/>
          <w:sz w:val="22"/>
          <w:szCs w:val="22"/>
          <w:lang w:val="es-419"/>
        </w:rPr>
        <w:t xml:space="preserve"> pero producción intermitente?</w:t>
      </w:r>
    </w:p>
    <w:p w14:paraId="149A0D5C" w14:textId="77777777" w:rsidR="00F02703" w:rsidRPr="00F02703" w:rsidRDefault="00F02703" w:rsidP="00F02703">
      <w:pPr>
        <w:spacing w:before="280" w:after="120"/>
        <w:rPr>
          <w:rFonts w:ascii="Aptos Narrow" w:hAnsi="Aptos Narrow"/>
          <w:sz w:val="22"/>
          <w:szCs w:val="22"/>
          <w:lang w:val="es-419"/>
        </w:rPr>
      </w:pPr>
      <w:r w:rsidRPr="00F02703">
        <w:rPr>
          <w:rFonts w:ascii="Aptos Narrow" w:hAnsi="Aptos Narrow"/>
          <w:b/>
          <w:bCs/>
          <w:color w:val="1F3864"/>
          <w:sz w:val="22"/>
          <w:szCs w:val="22"/>
          <w:lang w:val="es-419"/>
        </w:rPr>
        <w:t>Segmento 3 — La segunda dificultad: el futuro no se sabe</w:t>
      </w:r>
    </w:p>
    <w:p w14:paraId="74FF4661" w14:textId="77777777" w:rsidR="00F02703" w:rsidRPr="00F02703" w:rsidRDefault="00F02703" w:rsidP="00F02703">
      <w:pPr>
        <w:spacing w:line="300" w:lineRule="auto"/>
        <w:jc w:val="both"/>
        <w:rPr>
          <w:rFonts w:ascii="Aptos Narrow" w:hAnsi="Aptos Narrow"/>
          <w:sz w:val="22"/>
          <w:szCs w:val="22"/>
          <w:lang w:val="es-419"/>
        </w:rPr>
      </w:pPr>
      <w:r w:rsidRPr="00F02703">
        <w:rPr>
          <w:rFonts w:ascii="Aptos Narrow" w:hAnsi="Aptos Narrow"/>
          <w:sz w:val="22"/>
          <w:szCs w:val="22"/>
          <w:lang w:val="es-419"/>
        </w:rPr>
        <w:t>Hay un problema más, y es todavía más profundo. Supongamos que logramos modelar bien todas esas intervenciones. Para decidir cuál conviene, necesitaríamos saber cómo será el futuro. ¿Estará caro o barato el gas? ¿Crecerá rápido o lento la demanda? ¿Serán los fenómenos de El Niño más frecuentes con el cambio climático? ¿Seguirán cayendo los costos solares al ritmo actual?</w:t>
      </w:r>
    </w:p>
    <w:p w14:paraId="003BEDC7" w14:textId="77777777" w:rsidR="00F02703" w:rsidRPr="00F02703" w:rsidRDefault="00F02703" w:rsidP="00F02703">
      <w:pPr>
        <w:spacing w:line="300" w:lineRule="auto"/>
        <w:jc w:val="both"/>
        <w:rPr>
          <w:rFonts w:ascii="Aptos Narrow" w:hAnsi="Aptos Narrow"/>
          <w:sz w:val="22"/>
          <w:szCs w:val="22"/>
          <w:lang w:val="es-419"/>
        </w:rPr>
      </w:pPr>
      <w:r w:rsidRPr="00F02703">
        <w:rPr>
          <w:rFonts w:ascii="Aptos Narrow" w:hAnsi="Aptos Narrow"/>
          <w:sz w:val="22"/>
          <w:szCs w:val="22"/>
          <w:lang w:val="es-419"/>
        </w:rPr>
        <w:t>Y la verdad honesta es que no lo sabemos. No es que tengamos una probabilidad precisa para cada opción: es que hay preguntas donde ni siquiera podemos asignar probabilidades confiables. Eso tiene nombre y lo vamos a estudiar: se llama incertidumbre profunda, y es distinta del riesgo ordinario. Cuando el futuro es así de incierto, la pregunta de cuál es la política óptima pierde sentido, porque la política óptima depende del escenario que ocurra, y no sabemos cuál ocurrirá. Hay que cambiar de pregunta.</w:t>
      </w:r>
    </w:p>
    <w:p w14:paraId="161DAC8F" w14:textId="77777777" w:rsidR="00F02703" w:rsidRPr="00F02703" w:rsidRDefault="00F02703" w:rsidP="00F02703">
      <w:pPr>
        <w:spacing w:before="280" w:after="120"/>
        <w:rPr>
          <w:rFonts w:ascii="Aptos Narrow" w:hAnsi="Aptos Narrow"/>
          <w:sz w:val="22"/>
          <w:szCs w:val="22"/>
          <w:lang w:val="es-419"/>
        </w:rPr>
      </w:pPr>
      <w:r w:rsidRPr="00F02703">
        <w:rPr>
          <w:rFonts w:ascii="Aptos Narrow" w:hAnsi="Aptos Narrow"/>
          <w:b/>
          <w:bCs/>
          <w:color w:val="1F3864"/>
          <w:sz w:val="22"/>
          <w:szCs w:val="22"/>
          <w:lang w:val="es-419"/>
        </w:rPr>
        <w:lastRenderedPageBreak/>
        <w:t>Segmento 4 — Pregunta orientadora y cierre</w:t>
      </w:r>
    </w:p>
    <w:p w14:paraId="0B71A573" w14:textId="77777777" w:rsidR="00F02703" w:rsidRPr="00F02703" w:rsidRDefault="00F02703" w:rsidP="00F02703">
      <w:pPr>
        <w:spacing w:line="300" w:lineRule="auto"/>
        <w:jc w:val="both"/>
        <w:rPr>
          <w:rFonts w:ascii="Aptos Narrow" w:hAnsi="Aptos Narrow"/>
          <w:sz w:val="22"/>
          <w:szCs w:val="22"/>
          <w:lang w:val="es-419"/>
        </w:rPr>
      </w:pPr>
      <w:r w:rsidRPr="00F02703">
        <w:rPr>
          <w:rFonts w:ascii="Aptos Narrow" w:hAnsi="Aptos Narrow"/>
          <w:sz w:val="22"/>
          <w:szCs w:val="22"/>
          <w:lang w:val="es-419"/>
        </w:rPr>
        <w:t>Esa es la pregunta que quiero que lleven al foro y a toda la semana. Piénsenlo con lo que ya saben del ciclo inversión-capacidad: ¿el Cargo por Confiabilidad estabiliza el sistema colombiano, o introduce nuevas oscilaciones y un posible lock-in en generación térmica? Escriban su hipótesis inicial. Al final de la semana la van a poder defender con un modelo simulado bajo varios escenarios, y no solo con intuición.</w:t>
      </w:r>
    </w:p>
    <w:p w14:paraId="21E4D0CD" w14:textId="77777777" w:rsidR="00F02703" w:rsidRPr="00F02703" w:rsidRDefault="00F02703" w:rsidP="00F02703">
      <w:pPr>
        <w:spacing w:line="300" w:lineRule="auto"/>
        <w:jc w:val="both"/>
        <w:rPr>
          <w:rFonts w:ascii="Aptos Narrow" w:hAnsi="Aptos Narrow"/>
          <w:sz w:val="22"/>
          <w:szCs w:val="22"/>
          <w:lang w:val="es-419"/>
        </w:rPr>
      </w:pPr>
      <w:r w:rsidRPr="00F02703">
        <w:rPr>
          <w:rFonts w:ascii="Aptos Narrow" w:hAnsi="Aptos Narrow"/>
          <w:sz w:val="22"/>
          <w:szCs w:val="22"/>
          <w:lang w:val="es-419"/>
        </w:rPr>
        <w:t>En las próximas lecciones vamos a hacer tres cosas. Primero, entender mejor cómo los ciclos y los retardos generan los distintos modos de comportamiento de un sistema. Segundo, aprender dónde se insertan las intervenciones de política dentro de una estructura de stocks y flujos, para poder modelarlas. Y tercero, y quizás lo más valioso que se llevarán del curso para su vida profesional, aprender a decidir bajo incertidumbre profunda: a dejar de buscar la estrategia óptima para un futuro que no conocemos, y a buscar en cambio la estrategia robusta, la que funciona suficientemente bien en todos los futuros posibles. Empecemos.</w:t>
      </w:r>
    </w:p>
    <w:p w14:paraId="622B11F5" w14:textId="77777777" w:rsidR="00F02703" w:rsidRPr="00F02703" w:rsidRDefault="00F02703" w:rsidP="00F02703">
      <w:pPr>
        <w:pBdr>
          <w:top w:val="single" w:sz="6" w:space="6" w:color="CCCCCC"/>
        </w:pBdr>
        <w:spacing w:before="280" w:after="120"/>
        <w:rPr>
          <w:rFonts w:ascii="Aptos Narrow" w:hAnsi="Aptos Narrow"/>
          <w:sz w:val="22"/>
          <w:szCs w:val="22"/>
          <w:lang w:val="es-419"/>
        </w:rPr>
      </w:pPr>
      <w:r w:rsidRPr="00F02703">
        <w:rPr>
          <w:rFonts w:ascii="Aptos Narrow" w:hAnsi="Aptos Narrow"/>
          <w:b/>
          <w:bCs/>
          <w:color w:val="9C6500"/>
          <w:sz w:val="22"/>
          <w:szCs w:val="22"/>
          <w:lang w:val="es-419"/>
        </w:rPr>
        <w:t>Datos por verificar antes de grabar</w:t>
      </w:r>
    </w:p>
    <w:p w14:paraId="295CCCFB" w14:textId="77777777" w:rsidR="00F02703" w:rsidRPr="00F02703" w:rsidRDefault="00F02703" w:rsidP="00F02703">
      <w:pPr>
        <w:spacing w:after="120"/>
        <w:rPr>
          <w:rFonts w:ascii="Aptos Narrow" w:hAnsi="Aptos Narrow"/>
          <w:sz w:val="22"/>
          <w:szCs w:val="22"/>
          <w:lang w:val="es-419"/>
        </w:rPr>
      </w:pPr>
      <w:r w:rsidRPr="00F02703">
        <w:rPr>
          <w:rFonts w:ascii="Aptos Narrow" w:hAnsi="Aptos Narrow"/>
          <w:i/>
          <w:iCs/>
          <w:color w:val="555555"/>
          <w:sz w:val="22"/>
          <w:szCs w:val="22"/>
          <w:lang w:val="es-419"/>
        </w:rPr>
        <w:t>Verificar las series y fuentes de: subastas FNCER 2019–2024 (resultados, capacidad adjudicada, precios) y precio de bolsa del mismo periodo, con datos de UPME/XM/MME. Confirmar el alcance y vigencia de la Ley 2099 de 2021 en materia de incentivos a FNCER. El Cargo por Confiabilidad se menciona como mecanismo (Resolución CREG 071/2006 según el syllabus) sin afirmar cifras; su evaluación se desarrolla en 5.2 y en el Lab 4. El guion plantea preguntas abiertas y no afirma que el CxC haya producido lock-in: eso es justamente lo que el foro y el modelo deben examinar.</w:t>
      </w:r>
    </w:p>
    <w:p w14:paraId="1F580CFF" w14:textId="77777777" w:rsidR="00B225C9" w:rsidRPr="00F02703" w:rsidRDefault="00B225C9" w:rsidP="006A2647">
      <w:pPr>
        <w:pStyle w:val="Heading2"/>
        <w:rPr>
          <w:rFonts w:ascii="Aptos Narrow" w:hAnsi="Aptos Narrow"/>
          <w:sz w:val="22"/>
          <w:szCs w:val="22"/>
          <w:lang w:val="es-419"/>
        </w:rPr>
      </w:pPr>
    </w:p>
    <w:sectPr w:rsidR="00B225C9" w:rsidRPr="00F0270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2DE16" w14:textId="77777777" w:rsidR="003A6F04" w:rsidRDefault="003A6F04" w:rsidP="00DC6E4E">
      <w:pPr>
        <w:spacing w:after="0" w:line="240" w:lineRule="auto"/>
      </w:pPr>
      <w:r>
        <w:separator/>
      </w:r>
    </w:p>
  </w:endnote>
  <w:endnote w:type="continuationSeparator" w:id="0">
    <w:p w14:paraId="1583A8B6" w14:textId="77777777" w:rsidR="003A6F04" w:rsidRDefault="003A6F04"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9695B" w14:textId="77777777" w:rsidR="003A6F04" w:rsidRDefault="003A6F04" w:rsidP="00DC6E4E">
      <w:pPr>
        <w:spacing w:after="0" w:line="240" w:lineRule="auto"/>
      </w:pPr>
      <w:r>
        <w:separator/>
      </w:r>
    </w:p>
  </w:footnote>
  <w:footnote w:type="continuationSeparator" w:id="0">
    <w:p w14:paraId="6B1D4089" w14:textId="77777777" w:rsidR="003A6F04" w:rsidRDefault="003A6F04"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30204"/>
    <w:rsid w:val="00063BF6"/>
    <w:rsid w:val="0007105B"/>
    <w:rsid w:val="00080A5D"/>
    <w:rsid w:val="000C147F"/>
    <w:rsid w:val="000D061B"/>
    <w:rsid w:val="0016424E"/>
    <w:rsid w:val="00190B63"/>
    <w:rsid w:val="001928AB"/>
    <w:rsid w:val="00195469"/>
    <w:rsid w:val="001D4C6D"/>
    <w:rsid w:val="002338A3"/>
    <w:rsid w:val="00263F53"/>
    <w:rsid w:val="002B0F3E"/>
    <w:rsid w:val="002B2F6D"/>
    <w:rsid w:val="002B54E7"/>
    <w:rsid w:val="002C1903"/>
    <w:rsid w:val="002D2D04"/>
    <w:rsid w:val="002D3CE9"/>
    <w:rsid w:val="002E43EE"/>
    <w:rsid w:val="003A6F04"/>
    <w:rsid w:val="003C4859"/>
    <w:rsid w:val="003E57AD"/>
    <w:rsid w:val="00406455"/>
    <w:rsid w:val="00416939"/>
    <w:rsid w:val="00442043"/>
    <w:rsid w:val="0045781F"/>
    <w:rsid w:val="00477C9E"/>
    <w:rsid w:val="004D07B2"/>
    <w:rsid w:val="00566DB3"/>
    <w:rsid w:val="005950CD"/>
    <w:rsid w:val="005C61BF"/>
    <w:rsid w:val="005C6777"/>
    <w:rsid w:val="006006AF"/>
    <w:rsid w:val="00636DF5"/>
    <w:rsid w:val="00653F28"/>
    <w:rsid w:val="00684053"/>
    <w:rsid w:val="00690B44"/>
    <w:rsid w:val="006A2647"/>
    <w:rsid w:val="006A403D"/>
    <w:rsid w:val="006B3AAC"/>
    <w:rsid w:val="0073061D"/>
    <w:rsid w:val="007722A8"/>
    <w:rsid w:val="00774065"/>
    <w:rsid w:val="007D3681"/>
    <w:rsid w:val="007D5182"/>
    <w:rsid w:val="007E46B6"/>
    <w:rsid w:val="00812C9A"/>
    <w:rsid w:val="00814EC7"/>
    <w:rsid w:val="0082442A"/>
    <w:rsid w:val="00824BC0"/>
    <w:rsid w:val="00845267"/>
    <w:rsid w:val="008641BD"/>
    <w:rsid w:val="008B3B28"/>
    <w:rsid w:val="008E2E48"/>
    <w:rsid w:val="009222D0"/>
    <w:rsid w:val="0093616B"/>
    <w:rsid w:val="0094593B"/>
    <w:rsid w:val="009572D0"/>
    <w:rsid w:val="00961FA9"/>
    <w:rsid w:val="009668D6"/>
    <w:rsid w:val="009B6C32"/>
    <w:rsid w:val="00A56AB4"/>
    <w:rsid w:val="00A64527"/>
    <w:rsid w:val="00A67E34"/>
    <w:rsid w:val="00A82BB6"/>
    <w:rsid w:val="00A96C6A"/>
    <w:rsid w:val="00AB3AE4"/>
    <w:rsid w:val="00AB7F9E"/>
    <w:rsid w:val="00B17459"/>
    <w:rsid w:val="00B225C9"/>
    <w:rsid w:val="00B77AC9"/>
    <w:rsid w:val="00BB53F1"/>
    <w:rsid w:val="00BC56C4"/>
    <w:rsid w:val="00C04E34"/>
    <w:rsid w:val="00C25715"/>
    <w:rsid w:val="00C74969"/>
    <w:rsid w:val="00CA7B83"/>
    <w:rsid w:val="00CC1613"/>
    <w:rsid w:val="00CF7A5D"/>
    <w:rsid w:val="00D13B8D"/>
    <w:rsid w:val="00D45F58"/>
    <w:rsid w:val="00D64E13"/>
    <w:rsid w:val="00D752A9"/>
    <w:rsid w:val="00D918A4"/>
    <w:rsid w:val="00DC52DD"/>
    <w:rsid w:val="00DC6E4E"/>
    <w:rsid w:val="00DD0613"/>
    <w:rsid w:val="00E20D7E"/>
    <w:rsid w:val="00E27FCE"/>
    <w:rsid w:val="00E315C7"/>
    <w:rsid w:val="00E325F2"/>
    <w:rsid w:val="00E54F8F"/>
    <w:rsid w:val="00EA748F"/>
    <w:rsid w:val="00EB4998"/>
    <w:rsid w:val="00EB7720"/>
    <w:rsid w:val="00EC0C2E"/>
    <w:rsid w:val="00F02703"/>
    <w:rsid w:val="00F07D53"/>
    <w:rsid w:val="00F2295E"/>
    <w:rsid w:val="00F34652"/>
    <w:rsid w:val="00F86456"/>
    <w:rsid w:val="00F87ED4"/>
    <w:rsid w:val="00FB5012"/>
    <w:rsid w:val="00FC18DC"/>
    <w:rsid w:val="00FD13F6"/>
    <w:rsid w:val="00FE554A"/>
    <w:rsid w:val="14E837E6"/>
    <w:rsid w:val="2AA860A7"/>
    <w:rsid w:val="3DC34E97"/>
    <w:rsid w:val="407DCF26"/>
    <w:rsid w:val="475E6035"/>
    <w:rsid w:val="6E466B20"/>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31</cp:revision>
  <cp:lastPrinted>2026-05-29T16:52:00Z</cp:lastPrinted>
  <dcterms:created xsi:type="dcterms:W3CDTF">2026-07-08T00:06:00Z</dcterms:created>
  <dcterms:modified xsi:type="dcterms:W3CDTF">2026-07-19T23:34:00Z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