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DB274C" w:rsidRDefault="00E325F2" w:rsidP="00214F5F">
      <w:pPr>
        <w:pStyle w:val="Heading1"/>
        <w:jc w:val="center"/>
        <w:rPr>
          <w:rFonts w:ascii="Aptos Narrow" w:hAnsi="Aptos Narrow"/>
          <w:b/>
          <w:bCs/>
          <w:lang w:val="es-419"/>
        </w:rPr>
      </w:pPr>
      <w:bookmarkStart w:id="0" w:name="_Toc228135348"/>
      <w:r w:rsidRPr="32259A76">
        <w:rPr>
          <w:rFonts w:ascii="Aptos Narrow" w:hAnsi="Aptos Narrow"/>
          <w:b/>
          <w:bCs/>
          <w:lang w:val="es-419"/>
        </w:rPr>
        <w:t>SCRIPT</w:t>
      </w:r>
      <w:r w:rsidR="00CA7B83" w:rsidRPr="32259A76">
        <w:rPr>
          <w:rFonts w:ascii="Aptos Narrow" w:hAnsi="Aptos Narrow"/>
          <w:b/>
          <w:bCs/>
          <w:lang w:val="es-419"/>
        </w:rPr>
        <w:t xml:space="preserve"> SUGERIDO</w:t>
      </w:r>
      <w:bookmarkEnd w:id="0"/>
    </w:p>
    <w:p w14:paraId="684DCEE4" w14:textId="0BF315C2" w:rsidR="60513B82" w:rsidRPr="00745760" w:rsidRDefault="60513B82" w:rsidP="32259A76">
      <w:pPr>
        <w:pStyle w:val="Heading2"/>
        <w:jc w:val="both"/>
        <w:rPr>
          <w:rFonts w:ascii="Aptos Narrow" w:eastAsia="Aptos Narrow" w:hAnsi="Aptos Narrow" w:cs="Aptos Narrow"/>
          <w:sz w:val="22"/>
          <w:szCs w:val="22"/>
          <w:lang w:val="es-419"/>
        </w:rPr>
      </w:pPr>
      <w:r w:rsidRPr="32259A76">
        <w:rPr>
          <w:rFonts w:ascii="Aptos Narrow" w:eastAsia="Aptos Narrow" w:hAnsi="Aptos Narrow" w:cs="Aptos Narrow"/>
          <w:sz w:val="22"/>
          <w:szCs w:val="22"/>
        </w:rPr>
        <w:t>SEMANA 6: Integración — Análisis Sistémico Completo con Dimensión de Gobernanza</w:t>
      </w:r>
    </w:p>
    <w:p w14:paraId="7A805233" w14:textId="2B186A80" w:rsidR="60513B82" w:rsidRPr="00ED2F36" w:rsidRDefault="60513B82" w:rsidP="32259A76">
      <w:pPr>
        <w:spacing w:after="80"/>
        <w:jc w:val="both"/>
        <w:rPr>
          <w:rFonts w:ascii="Aptos Narrow" w:eastAsia="Aptos Narrow" w:hAnsi="Aptos Narrow" w:cs="Aptos Narrow"/>
          <w:color w:val="B85042"/>
          <w:sz w:val="22"/>
          <w:szCs w:val="22"/>
          <w:lang w:val="es-419"/>
        </w:rPr>
      </w:pPr>
      <w:r w:rsidRPr="32259A76">
        <w:rPr>
          <w:rFonts w:ascii="Aptos Narrow" w:eastAsia="Aptos Narrow" w:hAnsi="Aptos Narrow" w:cs="Aptos Narrow"/>
          <w:i/>
          <w:iCs/>
          <w:color w:val="B85042"/>
          <w:sz w:val="22"/>
          <w:szCs w:val="22"/>
          <w:lang w:val="es-CO"/>
        </w:rPr>
        <w:t>Caso ancla: Proyecto eólico en La Guajira — comunidades Wayuu, consulta previa y licencia social</w:t>
      </w:r>
    </w:p>
    <w:p w14:paraId="02BD9F54" w14:textId="61EF0986" w:rsidR="60513B82" w:rsidRPr="00ED2F36" w:rsidRDefault="60513B82" w:rsidP="32259A76">
      <w:pPr>
        <w:pBdr>
          <w:bottom w:val="single" w:sz="8" w:space="6" w:color="1E2761"/>
        </w:pBdr>
        <w:spacing w:after="120"/>
        <w:jc w:val="both"/>
        <w:rPr>
          <w:rFonts w:ascii="Aptos Narrow" w:eastAsia="Aptos Narrow" w:hAnsi="Aptos Narrow" w:cs="Aptos Narrow"/>
          <w:color w:val="000000" w:themeColor="text1"/>
          <w:sz w:val="22"/>
          <w:szCs w:val="22"/>
          <w:lang w:val="es-419"/>
        </w:rPr>
      </w:pPr>
      <w:r w:rsidRPr="32259A76">
        <w:rPr>
          <w:rFonts w:ascii="Aptos Narrow" w:eastAsia="Aptos Narrow" w:hAnsi="Aptos Narrow" w:cs="Aptos Narrow"/>
          <w:b/>
          <w:bCs/>
          <w:color w:val="1E2761"/>
          <w:sz w:val="22"/>
          <w:szCs w:val="22"/>
          <w:lang w:val="es-CO"/>
        </w:rPr>
        <w:t xml:space="preserve">Resultados de Aprendizaje verificados: </w:t>
      </w:r>
      <w:r w:rsidRPr="32259A76">
        <w:rPr>
          <w:rFonts w:ascii="Aptos Narrow" w:eastAsia="Aptos Narrow" w:hAnsi="Aptos Narrow" w:cs="Aptos Narrow"/>
          <w:color w:val="000000" w:themeColor="text1"/>
          <w:sz w:val="22"/>
          <w:szCs w:val="22"/>
          <w:lang w:val="es-CO"/>
        </w:rPr>
        <w:t>RAC 4 (alto) · RAC 1, 2, 3 (alto: integración)</w:t>
      </w:r>
      <w:r w:rsidRPr="32259A76">
        <w:rPr>
          <w:rFonts w:ascii="Aptos Narrow" w:eastAsia="Aptos Narrow" w:hAnsi="Aptos Narrow" w:cs="Aptos Narrow"/>
          <w:color w:val="5C6478"/>
          <w:sz w:val="22"/>
          <w:szCs w:val="22"/>
          <w:lang w:val="es-CO"/>
        </w:rPr>
        <w:t xml:space="preserve">  ·  </w:t>
      </w:r>
      <w:r w:rsidRPr="32259A76">
        <w:rPr>
          <w:rFonts w:ascii="Aptos Narrow" w:eastAsia="Aptos Narrow" w:hAnsi="Aptos Narrow" w:cs="Aptos Narrow"/>
          <w:b/>
          <w:bCs/>
          <w:color w:val="1E2761"/>
          <w:sz w:val="22"/>
          <w:szCs w:val="22"/>
          <w:lang w:val="es-CO"/>
        </w:rPr>
        <w:t xml:space="preserve">RA del programa: </w:t>
      </w:r>
      <w:r w:rsidRPr="32259A76">
        <w:rPr>
          <w:rFonts w:ascii="Aptos Narrow" w:eastAsia="Aptos Narrow" w:hAnsi="Aptos Narrow" w:cs="Aptos Narrow"/>
          <w:color w:val="000000" w:themeColor="text1"/>
          <w:sz w:val="22"/>
          <w:szCs w:val="22"/>
          <w:lang w:val="es-CO"/>
        </w:rPr>
        <w:t>RA1.5, RA2.5, RA3.5, RA4, RA-Ética, RA-Comunicación</w:t>
      </w:r>
    </w:p>
    <w:p w14:paraId="5C42D289" w14:textId="7F0F5652" w:rsidR="60513B82" w:rsidRPr="005D2C25" w:rsidRDefault="60513B82" w:rsidP="32259A76">
      <w:pPr>
        <w:spacing w:before="60" w:after="60" w:line="300" w:lineRule="auto"/>
        <w:jc w:val="both"/>
        <w:rPr>
          <w:rFonts w:ascii="Aptos Narrow" w:eastAsia="Aptos Narrow" w:hAnsi="Aptos Narrow" w:cs="Aptos Narrow"/>
          <w:color w:val="000000" w:themeColor="text1"/>
          <w:sz w:val="22"/>
          <w:szCs w:val="22"/>
          <w:lang w:val="es-419"/>
        </w:rPr>
      </w:pPr>
      <w:r w:rsidRPr="32259A76">
        <w:rPr>
          <w:rFonts w:ascii="Aptos Narrow" w:eastAsia="Aptos Narrow" w:hAnsi="Aptos Narrow" w:cs="Aptos Narrow"/>
          <w:color w:val="000000" w:themeColor="text1"/>
          <w:sz w:val="22"/>
          <w:szCs w:val="22"/>
          <w:lang w:val="es-CO"/>
        </w:rPr>
        <w:t>Semana integradora que demuestra cómo combinar todas las herramientas del curso (complejidad, redes y dinámica de sistemas) con la dimensión que los modelos cuantitativos no capturan: actores con intereses en conflicto, gobernanza policéntrica, justicia energética y consulta previa. En Colombia, la licencia social es tan determinante para la viabilidad de un proyecto como su TIR financiera. Así, como complemento al análisis económico, el estudiante analiza el caso Windpeshi desde cuatro capas complementarias (estructura física, dinámica de mercado, red de actores, gobernanza) y produce un informe de consultoría sistémica integrado que sirve como "ensayo general" del proyecto final. La sesión sincrónica incluye una actividad experiencial breve de negociación multi-actor.</w:t>
      </w:r>
    </w:p>
    <w:p w14:paraId="3DA5A7DB" w14:textId="5D26B2F0" w:rsidR="004A2836" w:rsidRPr="00DB274C" w:rsidRDefault="00684053" w:rsidP="00724EB6">
      <w:pPr>
        <w:spacing w:before="200" w:after="100"/>
        <w:rPr>
          <w:rFonts w:ascii="Aptos Narrow" w:hAnsi="Aptos Narrow"/>
          <w:b/>
          <w:bCs/>
          <w:color w:val="065A82"/>
          <w:sz w:val="22"/>
          <w:szCs w:val="22"/>
          <w:lang w:val="es-419"/>
        </w:rPr>
      </w:pPr>
      <w:r w:rsidRPr="00DB274C">
        <w:rPr>
          <w:rFonts w:ascii="Aptos Narrow" w:hAnsi="Aptos Narrow"/>
          <w:b/>
          <w:bCs/>
          <w:color w:val="065A82"/>
          <w:sz w:val="22"/>
          <w:szCs w:val="22"/>
          <w:lang w:val="es-419"/>
        </w:rPr>
        <w:t>Bloque Autónomo — 10 horas (secuencia Mo → Co → Pr → Ev → Proy)</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DB274C" w14:paraId="74BA0B68" w14:textId="77777777" w:rsidTr="32259A76">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DB274C" w:rsidRDefault="00724EB6" w:rsidP="00724EB6">
            <w:pPr>
              <w:jc w:val="center"/>
              <w:rPr>
                <w:rFonts w:ascii="Aptos Narrow" w:hAnsi="Aptos Narrow"/>
                <w:sz w:val="22"/>
                <w:szCs w:val="22"/>
              </w:rPr>
            </w:pPr>
            <w:r w:rsidRPr="00DB274C">
              <w:rPr>
                <w:rFonts w:ascii="Aptos Narrow" w:hAnsi="Aptos Narrow"/>
                <w:b/>
                <w:bCs/>
                <w:color w:val="FFFFFF"/>
                <w:sz w:val="22"/>
                <w:szCs w:val="22"/>
              </w:rPr>
              <w:t>Cód.</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DB274C" w:rsidRDefault="00724EB6" w:rsidP="00724EB6">
            <w:pPr>
              <w:jc w:val="center"/>
              <w:rPr>
                <w:rFonts w:ascii="Aptos Narrow" w:hAnsi="Aptos Narrow"/>
                <w:b/>
                <w:bCs/>
                <w:sz w:val="22"/>
                <w:szCs w:val="22"/>
              </w:rPr>
            </w:pPr>
            <w:r w:rsidRPr="00DB274C">
              <w:rPr>
                <w:rFonts w:ascii="Aptos Narrow" w:hAnsi="Aptos Narrow"/>
                <w:b/>
                <w:bCs/>
                <w:sz w:val="22"/>
                <w:szCs w:val="22"/>
              </w:rPr>
              <w:t>Momento</w:t>
            </w:r>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DB274C" w:rsidRDefault="00724EB6" w:rsidP="00724EB6">
            <w:pPr>
              <w:jc w:val="center"/>
              <w:rPr>
                <w:rFonts w:ascii="Aptos Narrow" w:hAnsi="Aptos Narrow"/>
                <w:sz w:val="22"/>
                <w:szCs w:val="22"/>
                <w:lang w:val="es-419"/>
              </w:rPr>
            </w:pPr>
            <w:r w:rsidRPr="00DB274C">
              <w:rPr>
                <w:rFonts w:ascii="Aptos Narrow" w:hAnsi="Aptos Narrow"/>
                <w:b/>
                <w:bCs/>
                <w:color w:val="FFFFFF"/>
                <w:sz w:val="22"/>
                <w:szCs w:val="22"/>
                <w:lang w:val="es-419"/>
              </w:rPr>
              <w:t>Descripción</w:t>
            </w:r>
          </w:p>
        </w:tc>
      </w:tr>
      <w:tr w:rsidR="004F6622" w:rsidRPr="00FD452B" w14:paraId="48B2D932" w14:textId="77777777" w:rsidTr="32259A76">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Contenidos</w:t>
            </w:r>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337922C5" w14:textId="0B926936" w:rsidR="32259A76" w:rsidRDefault="32259A76" w:rsidP="32259A76">
            <w:pPr>
              <w:spacing w:after="40"/>
              <w:jc w:val="both"/>
              <w:rPr>
                <w:rFonts w:ascii="Aptos Narrow" w:eastAsia="Aptos Narrow" w:hAnsi="Aptos Narrow" w:cs="Aptos Narrow"/>
                <w:color w:val="000000" w:themeColor="text1"/>
                <w:sz w:val="20"/>
                <w:szCs w:val="20"/>
                <w:lang w:val="es-CO"/>
              </w:rPr>
            </w:pPr>
            <w:r w:rsidRPr="32259A76">
              <w:rPr>
                <w:rFonts w:ascii="Aptos Narrow" w:eastAsia="Aptos Narrow" w:hAnsi="Aptos Narrow" w:cs="Aptos Narrow"/>
                <w:color w:val="000000" w:themeColor="text1"/>
                <w:sz w:val="20"/>
                <w:szCs w:val="20"/>
                <w:lang w:val="es-CO"/>
              </w:rPr>
              <w:t>Video-lecciones 6.1–6.4 (47 min): integración redes + dinámica (framework multi-capa); el proyecto energético como sistema socio-técnico-ambiental; gobernanza policéntrica de Ostrom aplicada a Colombia; las 3 dimensiones de justicia energética de Sovacool (distributiva, procedimental, de reconocimiento); comunicación de complejidad a audiencias no técnicas. Lectura: Ostrom Cap. 1; Informe Contraloría sobre FNCER en La Guajira; Sovacool et al. (2017).</w:t>
            </w:r>
          </w:p>
        </w:tc>
      </w:tr>
    </w:tbl>
    <w:p w14:paraId="3F81575C" w14:textId="77777777" w:rsidR="00724EB6" w:rsidRPr="00DB274C" w:rsidRDefault="00724EB6" w:rsidP="006A2647">
      <w:pPr>
        <w:pStyle w:val="Heading2"/>
        <w:rPr>
          <w:rFonts w:ascii="Aptos Narrow" w:hAnsi="Aptos Narrow"/>
          <w:sz w:val="22"/>
          <w:szCs w:val="22"/>
        </w:rPr>
      </w:pPr>
    </w:p>
    <w:p w14:paraId="29CA0D02" w14:textId="77777777" w:rsidR="00724EB6" w:rsidRPr="00DB274C" w:rsidRDefault="00724EB6">
      <w:pPr>
        <w:rPr>
          <w:rFonts w:ascii="Aptos Narrow" w:eastAsia="Calibri" w:hAnsi="Aptos Narrow" w:cs="Calibri"/>
          <w:b/>
          <w:bCs/>
          <w:color w:val="065A82"/>
          <w:sz w:val="22"/>
          <w:szCs w:val="22"/>
          <w:lang w:val="es-CO" w:eastAsia="es-MX"/>
        </w:rPr>
      </w:pPr>
      <w:r w:rsidRPr="00DB274C">
        <w:rPr>
          <w:rFonts w:ascii="Aptos Narrow" w:hAnsi="Aptos Narrow"/>
          <w:sz w:val="22"/>
          <w:szCs w:val="22"/>
          <w:lang w:val="es-419"/>
        </w:rPr>
        <w:br w:type="page"/>
      </w:r>
    </w:p>
    <w:p w14:paraId="31A0717A" w14:textId="777663C2" w:rsidR="006A2647" w:rsidRPr="00DB274C" w:rsidRDefault="006A2647" w:rsidP="006A2647">
      <w:pPr>
        <w:pStyle w:val="Heading2"/>
        <w:rPr>
          <w:rFonts w:ascii="Aptos Narrow" w:hAnsi="Aptos Narrow"/>
          <w:sz w:val="22"/>
          <w:szCs w:val="22"/>
          <w:lang w:val="es-419"/>
        </w:rPr>
      </w:pPr>
      <w:r w:rsidRPr="00DB274C">
        <w:rPr>
          <w:rFonts w:ascii="Aptos Narrow" w:hAnsi="Aptos Narrow"/>
          <w:sz w:val="22"/>
          <w:szCs w:val="22"/>
        </w:rPr>
        <w:t xml:space="preserve">SCRIPT </w:t>
      </w:r>
      <w:r w:rsidRPr="00DB274C">
        <w:rPr>
          <w:rFonts w:ascii="Aptos Narrow" w:hAnsi="Aptos Narrow"/>
          <w:sz w:val="22"/>
          <w:szCs w:val="22"/>
          <w:lang w:val="es-419"/>
        </w:rPr>
        <w:t xml:space="preserve">~ </w:t>
      </w:r>
      <w:r w:rsidR="001F0BA5" w:rsidRPr="00DB274C">
        <w:rPr>
          <w:rFonts w:ascii="Aptos Narrow" w:hAnsi="Aptos Narrow"/>
          <w:sz w:val="22"/>
          <w:szCs w:val="22"/>
          <w:lang w:val="es-419"/>
        </w:rPr>
        <w:t>1</w:t>
      </w:r>
      <w:r w:rsidRPr="00DB274C">
        <w:rPr>
          <w:rFonts w:ascii="Aptos Narrow" w:hAnsi="Aptos Narrow"/>
          <w:sz w:val="22"/>
          <w:szCs w:val="22"/>
          <w:lang w:val="es-419"/>
        </w:rPr>
        <w:t>5 min</w:t>
      </w:r>
    </w:p>
    <w:p w14:paraId="275108A0" w14:textId="77777777" w:rsidR="00075730" w:rsidRPr="002F249B" w:rsidRDefault="00CF7577" w:rsidP="00075730">
      <w:pPr>
        <w:spacing w:after="60"/>
        <w:rPr>
          <w:rFonts w:ascii="Aptos Narrow" w:hAnsi="Aptos Narrow"/>
          <w:sz w:val="22"/>
          <w:szCs w:val="22"/>
          <w:lang w:val="es-419"/>
        </w:rPr>
      </w:pPr>
      <w:r w:rsidRPr="002F249B">
        <w:rPr>
          <w:rFonts w:ascii="Aptos Narrow" w:hAnsi="Aptos Narrow"/>
          <w:b/>
          <w:bCs/>
          <w:color w:val="1F3864"/>
          <w:sz w:val="22"/>
          <w:szCs w:val="22"/>
          <w:lang w:val="es-419"/>
        </w:rPr>
        <w:t xml:space="preserve">Alcance de </w:t>
      </w:r>
      <w:r w:rsidR="0046288E" w:rsidRPr="002F249B">
        <w:rPr>
          <w:rFonts w:ascii="Aptos Narrow" w:hAnsi="Aptos Narrow"/>
          <w:b/>
          <w:bCs/>
          <w:color w:val="1F3864"/>
          <w:sz w:val="22"/>
          <w:szCs w:val="22"/>
          <w:lang w:val="es-419"/>
        </w:rPr>
        <w:t>6</w:t>
      </w:r>
      <w:r w:rsidR="00EE7087" w:rsidRPr="002F249B">
        <w:rPr>
          <w:rFonts w:ascii="Aptos Narrow" w:hAnsi="Aptos Narrow"/>
          <w:b/>
          <w:bCs/>
          <w:color w:val="1F3864"/>
          <w:sz w:val="22"/>
          <w:szCs w:val="22"/>
          <w:lang w:val="es-419"/>
        </w:rPr>
        <w:t>.1</w:t>
      </w:r>
      <w:r w:rsidR="00D70891" w:rsidRPr="002F249B">
        <w:rPr>
          <w:rFonts w:ascii="Aptos Narrow" w:hAnsi="Aptos Narrow"/>
          <w:b/>
          <w:bCs/>
          <w:color w:val="1F3864"/>
          <w:sz w:val="22"/>
          <w:szCs w:val="22"/>
          <w:lang w:val="es-419"/>
        </w:rPr>
        <w:t>:</w:t>
      </w:r>
      <w:r w:rsidR="00D70891" w:rsidRPr="002F249B">
        <w:rPr>
          <w:rFonts w:ascii="Aptos Narrow" w:hAnsi="Aptos Narrow"/>
          <w:sz w:val="22"/>
          <w:szCs w:val="22"/>
          <w:lang w:val="es-419"/>
        </w:rPr>
        <w:t xml:space="preserve"> </w:t>
      </w:r>
      <w:r w:rsidR="00075730" w:rsidRPr="002F249B">
        <w:rPr>
          <w:rFonts w:ascii="Aptos Narrow" w:hAnsi="Aptos Narrow"/>
          <w:sz w:val="22"/>
          <w:szCs w:val="22"/>
          <w:lang w:val="es-419"/>
        </w:rPr>
        <w:t>Integración de redes y dinámica en un framework multi-capa; el proyecto como sistema socio-técnico-ambiental; las cuatro capas de análisis y sus acoplamientos</w:t>
      </w:r>
    </w:p>
    <w:p w14:paraId="16F33559" w14:textId="77777777" w:rsidR="00075730" w:rsidRPr="002F249B" w:rsidRDefault="00075730" w:rsidP="00075730">
      <w:pPr>
        <w:spacing w:before="280" w:after="120"/>
        <w:rPr>
          <w:rFonts w:ascii="Aptos Narrow" w:hAnsi="Aptos Narrow"/>
          <w:sz w:val="22"/>
          <w:szCs w:val="22"/>
          <w:lang w:val="es-419"/>
        </w:rPr>
      </w:pPr>
      <w:r w:rsidRPr="002F249B">
        <w:rPr>
          <w:rFonts w:ascii="Aptos Narrow" w:hAnsi="Aptos Narrow"/>
          <w:b/>
          <w:bCs/>
          <w:color w:val="1F3864"/>
          <w:sz w:val="22"/>
          <w:szCs w:val="22"/>
          <w:lang w:val="es-419"/>
        </w:rPr>
        <w:t>Segmento 1 — De herramientas sueltas a un análisis integrado</w:t>
      </w:r>
    </w:p>
    <w:p w14:paraId="0B524D36"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Durante cinco semanas hemos ido acumulando herramientas, y cada una nos dio una forma distinta de mirar un sistema energético. El pensamiento de complejidad nos enseñó a ver retroalimentaciones, no linealidad y eventos extremos. El análisis de redes nos permitió mapear la estructura de las conexiones, físicas y sociales, y encontrar los puntos críticos. La dinámica de sistemas nos dio la capacidad de simular la evolución en el tiempo y de decidir bajo incertidumbre. Cada una respondió preguntas que las otras no podían responder.</w:t>
      </w:r>
    </w:p>
    <w:p w14:paraId="6F68B4BB"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Pero las hemos usado por separado, semana a semana, sobre casos distintos. Esta semana hacemos algo diferente y más exigente: las vamos a aplicar todas al mismo caso, al mismo tiempo, y vamos a ver qué aparece en las junturas. Porque el hallazgo más interesante de un análisis integrado casi nunca está dentro de una capa: está en cómo una capa afecta a otra.</w:t>
      </w:r>
    </w:p>
    <w:p w14:paraId="1EEA58E8"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Y vamos a hacerlo sobre un caso donde el análisis puramente técnico ya demostró ser insuficiente. Como vimos en la cápsula de apertura, un proyecto eólico en La Guajira puede ser rentable, técnicamente sólido y necesario para el país, y aun así no construirse. Si nuestras herramientas no explican eso, entonces les falta algo. Esta lección es sobre qué les falta y cómo agregarlo.</w:t>
      </w:r>
    </w:p>
    <w:p w14:paraId="1F617035" w14:textId="77777777" w:rsidR="00075730" w:rsidRPr="002F249B" w:rsidRDefault="00075730" w:rsidP="00075730">
      <w:pPr>
        <w:spacing w:before="280" w:after="120"/>
        <w:rPr>
          <w:rFonts w:ascii="Aptos Narrow" w:hAnsi="Aptos Narrow"/>
          <w:sz w:val="22"/>
          <w:szCs w:val="22"/>
          <w:lang w:val="es-419"/>
        </w:rPr>
      </w:pPr>
      <w:r w:rsidRPr="002F249B">
        <w:rPr>
          <w:rFonts w:ascii="Aptos Narrow" w:hAnsi="Aptos Narrow"/>
          <w:b/>
          <w:bCs/>
          <w:color w:val="1F3864"/>
          <w:sz w:val="22"/>
          <w:szCs w:val="22"/>
          <w:lang w:val="es-419"/>
        </w:rPr>
        <w:t>Segmento 2 — El proyecto como sistema socio-técnico-ambiental</w:t>
      </w:r>
    </w:p>
    <w:p w14:paraId="781A765F"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El concepto que organiza toda la semana es el de sistema socio-técnico-ambiental. La idea es que un proyecto energético no es un artefacto técnico que casualmente ocurre en un lugar donde vive gente. Es, desde su concepción, la unión inseparable de tres dominios: uno técnico, con sus turbinas, líneas y flujos de potencia; uno ambiental, con su territorio, su ecosistema y sus recursos; y uno social, con sus comunidades, instituciones, culturas y relaciones de poder.</w:t>
      </w:r>
    </w:p>
    <w:p w14:paraId="2A3C018A"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La palabra clave es inseparable. No es que haya un proyecto técnico y además unos impactos sociales que hay que gestionar aparte. Es que el proyecto solo existe como la combinación de los tres dominios, y las decisiones de uno determinan lo que es posible en los otros. Dónde se ubica una torre es simultáneamente una decisión técnica, una decisión ambiental y una decisión social, y tratarla como si fuera solo lo primero es lo que produce sorpresas.</w:t>
      </w:r>
    </w:p>
    <w:p w14:paraId="5B13DBAE"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Quiero detenerme un momento en la dimensión ambiental y territorial, porque suele reducirse a un capítulo de permisos y es mucho más que eso. El territorio no es un espacio vacío donde se instala infraestructura: es un lugar con historia, con usos, con significados y, en muchos casos, con derechos reconocidos por la ley. Para varias comunidades del país, incluidas las de La Guajira, el territorio tiene además una dimensión cultural y espiritual que no se traduce a una cifra de compensación. Cuando un análisis trata el emplazamiento como una variable puramente técnica, a optimizar por velocidad de viento y cercanía a la red, está omitiendo información que resulta decisiva para la viabilidad real del proyecto. No por sensibilidad, sino por precisión: esa información determina si el proyecto se construye o no.</w:t>
      </w:r>
    </w:p>
    <w:p w14:paraId="23DF862B"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Esto explica un patrón que se repite en el sector. La forma tradicional de trabajar es secuencial: primero los ingenieros diseñan el proyecto óptimo desde lo técnico y lo económico, y cuando ya está definido, se lo entregan al área social y ambiental para que consiga los permisos y la aceptación. En esa secuencia, lo social llega al final, cuando las decisiones importantes ya se tomaron y hay poco margen para cambiarlas. Y entonces lo social solo puede aparecer como un obstáculo, nunca como un insumo de diseño. El enfoque socio-técnico-ambiental invierte eso: si los tres dominios son inseparables, tienen que analizarse en paralelo desde el comienzo, porque un diseño que ignora una de las tres dimensiones no es un diseño óptimo con un problema pendiente, es sencillamente un mal diseño.</w:t>
      </w:r>
    </w:p>
    <w:p w14:paraId="512ADEEF" w14:textId="77777777" w:rsidR="00075730" w:rsidRPr="002F249B" w:rsidRDefault="00075730" w:rsidP="00075730">
      <w:pPr>
        <w:pBdr>
          <w:left w:val="single" w:sz="18" w:space="12" w:color="9C6500"/>
        </w:pBdr>
        <w:spacing w:before="120"/>
        <w:rPr>
          <w:rFonts w:ascii="Aptos Narrow" w:hAnsi="Aptos Narrow"/>
          <w:sz w:val="22"/>
          <w:szCs w:val="22"/>
          <w:lang w:val="es-419"/>
        </w:rPr>
      </w:pPr>
      <w:r w:rsidRPr="002F249B">
        <w:rPr>
          <w:rFonts w:ascii="Aptos Narrow" w:hAnsi="Aptos Narrow"/>
          <w:b/>
          <w:bCs/>
          <w:color w:val="9C6500"/>
          <w:sz w:val="22"/>
          <w:szCs w:val="22"/>
          <w:lang w:val="es-419"/>
        </w:rPr>
        <w:t xml:space="preserve">[QUIZ EMBEBIDO] </w:t>
      </w:r>
      <w:r w:rsidRPr="002F249B">
        <w:rPr>
          <w:rFonts w:ascii="Aptos Narrow" w:hAnsi="Aptos Narrow"/>
          <w:i/>
          <w:iCs/>
          <w:color w:val="555555"/>
          <w:sz w:val="22"/>
          <w:szCs w:val="22"/>
          <w:lang w:val="es-419"/>
        </w:rPr>
        <w:t>Se describe un proceso de desarrollo de proyecto donde el diseño técnico y financiero se completa primero y luego se traslada al equipo social para gestionar permisos y aceptación. El estudiante debe identificar qué supuesto sobre la naturaleza del sistema subyace a ese proceso y qué riesgos genera desde la perspectiva socio-técnico-ambiental.</w:t>
      </w:r>
    </w:p>
    <w:p w14:paraId="74B76351" w14:textId="77777777" w:rsidR="00075730" w:rsidRPr="002F249B" w:rsidRDefault="00075730" w:rsidP="00075730">
      <w:pPr>
        <w:spacing w:before="280" w:after="120"/>
        <w:rPr>
          <w:rFonts w:ascii="Aptos Narrow" w:hAnsi="Aptos Narrow"/>
          <w:sz w:val="22"/>
          <w:szCs w:val="22"/>
          <w:lang w:val="es-419"/>
        </w:rPr>
      </w:pPr>
      <w:r w:rsidRPr="002F249B">
        <w:rPr>
          <w:rFonts w:ascii="Aptos Narrow" w:hAnsi="Aptos Narrow"/>
          <w:b/>
          <w:bCs/>
          <w:color w:val="1F3864"/>
          <w:sz w:val="22"/>
          <w:szCs w:val="22"/>
          <w:lang w:val="es-419"/>
        </w:rPr>
        <w:t>Segmento 3 — Las cuatro capas de análisis</w:t>
      </w:r>
    </w:p>
    <w:p w14:paraId="3A6A1B3A"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Para hacer operativo ese concepto, vamos a trabajar con un framework de cuatro capas, que es exactamente el que aplicarán al caso en la práctica de esta semana. Cada capa usa una herramienta que ya dominan y responde una pregunta distinta.</w:t>
      </w:r>
    </w:p>
    <w:p w14:paraId="13A36334"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La primera capa es la estructura física. Aquí usamos análisis de redes: representamos el sistema de transmisión como un grafo y examinamos cómo se conecta el proyecto al sistema nacional, qué capacidad de evacuación existe y dónde están los cuellos de botella. La pregunta de esta capa es si la energía que el proyecto produciría puede efectivamente llegar a donde se necesita. Un parque eólico sin líneas suficientes para evacuar su energía es un parque que genera menos de lo que podría, o que directamente no puede operar a plena capacidad.</w:t>
      </w:r>
    </w:p>
    <w:p w14:paraId="7E218147"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La segunda capa es la dinámica de mercado. Aquí usamos dinámica de sistemas: extendemos el modelo de stocks y flujos para incorporar la entrada de esa nueva capacidad y observar sus efectos en el tiempo sobre el precio, sobre la capacidad total del sistema y sobre las decisiones de inversión de los demás actores. La pregunta es qué le hace este proyecto al sistema, y qué le hace el sistema al proyecto.</w:t>
      </w:r>
    </w:p>
    <w:p w14:paraId="66697441"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La tercera capa es la red de actores. Volvemos a redes, pero ahora en su versión social: mapeamos quiénes son los actores relevantes, qué relaciones tienen entre ellos, dónde están las alianzas y los conflictos, y quién ocupa posiciones de intermediación con influencia desproporcionada. La pregunta es quién decide, quién influye y quién puede bloquear.</w:t>
      </w:r>
    </w:p>
    <w:p w14:paraId="769DDE5E"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Y la cuarta capa es la gobernanza y la justicia. Aquí entran las herramientas nuevas de esta semana: cómo se distribuye la autoridad entre múltiples instituciones, cómo funciona la consulta previa, y cómo se reparten costos y beneficios entre quienes ponen el territorio y quienes reciben la energía. La pregunta de esta capa es bajo qué reglas se decide, y si ese proceso y ese reparto son legítimos.</w:t>
      </w:r>
    </w:p>
    <w:p w14:paraId="2168A68C"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Un apunte sobre el orden en que presenté las capas, porque puede inducir a error. Las enumeré de lo físico a lo social, que es el orden en que las aprendimos y el que resulta cómodo para explicar. Pero eso no significa que el análisis deba hacerse en ese orden, ni que las primeras capas sean más fundamentales que las últimas. De hecho, en un caso como el de La Guajira, empezar por la capa de gobernanza y actores puede ser lo más sensato, porque los hallazgos de esa capa condicionan qué configuraciones técnicas son siquiera viables, y por tanto qué vale la pena modelar en las otras. Un trazado de línea que es óptimo en la capa física pero inviable en la capa social no merece ser optimizado con detalle. Piensen en las capas como cuatro lentes que se aplican sobre el mismo objeto y que se informan mutuamente, no como cuatro etapas de un proceso lineal. En la práctica se recorren varias veces, ajustando cada una con lo que revelan las demás.</w:t>
      </w:r>
    </w:p>
    <w:p w14:paraId="46CA2000" w14:textId="77777777" w:rsidR="00075730" w:rsidRPr="002F249B" w:rsidRDefault="00075730" w:rsidP="00075730">
      <w:pPr>
        <w:spacing w:before="280" w:after="120"/>
        <w:rPr>
          <w:rFonts w:ascii="Aptos Narrow" w:hAnsi="Aptos Narrow"/>
          <w:sz w:val="22"/>
          <w:szCs w:val="22"/>
          <w:lang w:val="es-419"/>
        </w:rPr>
      </w:pPr>
      <w:r w:rsidRPr="002F249B">
        <w:rPr>
          <w:rFonts w:ascii="Aptos Narrow" w:hAnsi="Aptos Narrow"/>
          <w:b/>
          <w:bCs/>
          <w:color w:val="1F3864"/>
          <w:sz w:val="22"/>
          <w:szCs w:val="22"/>
          <w:lang w:val="es-419"/>
        </w:rPr>
        <w:t>Segmento 4 — Lo interesante está en los acoplamientos</w:t>
      </w:r>
    </w:p>
    <w:p w14:paraId="533A835B"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Ahora viene lo importante, y es la razón de ser de esta semana. Las cuatro capas no son cuatro informes separados que se grapan al final. El valor del análisis integrado está en los acoplamientos, en cómo lo que ocurre en una capa se propaga a las otras.</w:t>
      </w:r>
    </w:p>
    <w:p w14:paraId="06CE0E5B"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Veamos algunos acoplamientos concretos del caso. Una restricción de la capa física, digamos que la línea de transmisión necesaria para evacuar la energía debe atravesar cierto territorio, se convierte de inmediato en un asunto de la capa de gobernanza, porque ese trazado exige acuerdos con las comunidades por donde pasa. Un retraso originado en la capa social, por un proceso de consulta que toma más tiempo del previsto, se traduce directamente en la capa de dinámica de mercado como un retardo mayor en la entrada de capacidad, y ya sabemos de la semana pasada lo que los retardos le hacen a un sistema. Y una decisión de la capa de mercado, como comprometer capacidad firme en una subasta con una fecha determinada, genera presión sobre los tiempos de la capa social, lo que puede deteriorar la calidad del proceso de relacionamiento con las comunidades y, paradójicamente, terminar retrasando más el proyecto.</w:t>
      </w:r>
    </w:p>
    <w:p w14:paraId="2A0979CC"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Fíjense en ese último ejemplo, porque es un lazo de retroalimentación que atraviesa capas: la presión de cronograma empeora el proceso social, el proceso social deteriorado genera oposición, la oposición genera más retraso, y el retraso aumenta la presión. Es exactamente el tipo de dinámica que estudiamos en el módulo anterior, solo que ahora uno de sus tramos vive en un dominio que ningún modelo cuantitativo capturaba. Poder ver ese lazo completo, atravesando lo técnico, lo económico y lo social, es lo que distingue un análisis sistémico de una suma de análisis sectoriales.</w:t>
      </w:r>
    </w:p>
    <w:p w14:paraId="48925E8D" w14:textId="77777777" w:rsidR="00075730" w:rsidRPr="002F249B" w:rsidRDefault="00075730" w:rsidP="00075730">
      <w:pPr>
        <w:pBdr>
          <w:left w:val="single" w:sz="18" w:space="12" w:color="9C6500"/>
        </w:pBdr>
        <w:spacing w:before="120"/>
        <w:rPr>
          <w:rFonts w:ascii="Aptos Narrow" w:hAnsi="Aptos Narrow"/>
          <w:sz w:val="22"/>
          <w:szCs w:val="22"/>
          <w:lang w:val="es-419"/>
        </w:rPr>
      </w:pPr>
      <w:r w:rsidRPr="002F249B">
        <w:rPr>
          <w:rFonts w:ascii="Aptos Narrow" w:hAnsi="Aptos Narrow"/>
          <w:b/>
          <w:bCs/>
          <w:color w:val="9C6500"/>
          <w:sz w:val="22"/>
          <w:szCs w:val="22"/>
          <w:lang w:val="es-419"/>
        </w:rPr>
        <w:t xml:space="preserve">[QUIZ EMBEBIDO] </w:t>
      </w:r>
      <w:r w:rsidRPr="002F249B">
        <w:rPr>
          <w:rFonts w:ascii="Aptos Narrow" w:hAnsi="Aptos Narrow"/>
          <w:i/>
          <w:iCs/>
          <w:color w:val="555555"/>
          <w:sz w:val="22"/>
          <w:szCs w:val="22"/>
          <w:lang w:val="es-419"/>
        </w:rPr>
        <w:t>Se plantea una situación donde un compromiso de entrada en operación adquirido en una subasta presiona el cronograma de relacionamiento con las comunidades. El estudiante debe trazar el lazo de retroalimentación que atraviesa las capas de mercado, social y de tiempos del proyecto, e indicar si es de refuerzo o de balance.</w:t>
      </w:r>
    </w:p>
    <w:p w14:paraId="32422017" w14:textId="77777777" w:rsidR="00075730" w:rsidRPr="002F249B" w:rsidRDefault="00075730" w:rsidP="00075730">
      <w:pPr>
        <w:spacing w:before="280" w:after="120"/>
        <w:rPr>
          <w:rFonts w:ascii="Aptos Narrow" w:hAnsi="Aptos Narrow"/>
          <w:sz w:val="22"/>
          <w:szCs w:val="22"/>
          <w:lang w:val="es-419"/>
        </w:rPr>
      </w:pPr>
      <w:r w:rsidRPr="002F249B">
        <w:rPr>
          <w:rFonts w:ascii="Aptos Narrow" w:hAnsi="Aptos Narrow"/>
          <w:b/>
          <w:bCs/>
          <w:color w:val="1F3864"/>
          <w:sz w:val="22"/>
          <w:szCs w:val="22"/>
          <w:lang w:val="es-419"/>
        </w:rPr>
        <w:t>Segmento 5 — Cierre y hacia la gobernanza</w:t>
      </w:r>
    </w:p>
    <w:p w14:paraId="2DD5D62B"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Recapitulemos. Hoy dejamos de usar las herramientas por separado y adoptamos la idea de que un proyecto energético es un sistema socio-técnico-ambiental, donde los tres dominios son inseparables y deben analizarse en paralelo, no en secuencia. Organizamos ese análisis en cuatro capas: estructura física con redes, dinámica de mercado con stocks y flujos, red de actores con redes sociales, y gobernanza y justicia con las herramientas que veremos a continuación. Y entendimos que el valor del análisis está sobre todo en los acoplamientos entre capas, donde aparecen lazos que ninguna disciplina ve por sí sola.</w:t>
      </w:r>
    </w:p>
    <w:p w14:paraId="7F85F1DB" w14:textId="77777777" w:rsidR="00075730" w:rsidRPr="002F249B" w:rsidRDefault="00075730" w:rsidP="00075730">
      <w:pPr>
        <w:spacing w:line="300" w:lineRule="auto"/>
        <w:jc w:val="both"/>
        <w:rPr>
          <w:rFonts w:ascii="Aptos Narrow" w:hAnsi="Aptos Narrow"/>
          <w:sz w:val="22"/>
          <w:szCs w:val="22"/>
          <w:lang w:val="es-419"/>
        </w:rPr>
      </w:pPr>
      <w:r w:rsidRPr="002F249B">
        <w:rPr>
          <w:rFonts w:ascii="Aptos Narrow" w:hAnsi="Aptos Narrow"/>
          <w:sz w:val="22"/>
          <w:szCs w:val="22"/>
          <w:lang w:val="es-419"/>
        </w:rPr>
        <w:t>Las tres primeras capas las pueden abordar hoy mismo con lo que ya saben. La cuarta, no todavía, y por eso las próximas dos lecciones se dedican a ella. En la lección 6.2 vamos a preguntarnos quién manda realmente en un sistema donde la autoridad está repartida entre muchas instituciones, con la idea de gobernanza policéntrica de Elinor Ostrom. Y en la 6.3 le pondremos nombre y estructura a la pregunta de si un proceso y un reparto son justos, con las tres dimensiones de la justicia energética. Nos vemos en la lección 6.2.</w:t>
      </w:r>
    </w:p>
    <w:p w14:paraId="509C4E47" w14:textId="77777777" w:rsidR="00075730" w:rsidRPr="002F249B" w:rsidRDefault="00075730" w:rsidP="00075730">
      <w:pPr>
        <w:pBdr>
          <w:top w:val="single" w:sz="6" w:space="6" w:color="CCCCCC"/>
        </w:pBdr>
        <w:spacing w:before="280" w:after="120"/>
        <w:rPr>
          <w:rFonts w:ascii="Aptos Narrow" w:hAnsi="Aptos Narrow"/>
          <w:sz w:val="22"/>
          <w:szCs w:val="22"/>
          <w:lang w:val="es-419"/>
        </w:rPr>
      </w:pPr>
      <w:r w:rsidRPr="002F249B">
        <w:rPr>
          <w:rFonts w:ascii="Aptos Narrow" w:hAnsi="Aptos Narrow"/>
          <w:b/>
          <w:bCs/>
          <w:color w:val="9C6500"/>
          <w:sz w:val="22"/>
          <w:szCs w:val="22"/>
          <w:lang w:val="es-419"/>
        </w:rPr>
        <w:t>Notas de contenido</w:t>
      </w:r>
    </w:p>
    <w:p w14:paraId="1773CD0B" w14:textId="77777777" w:rsidR="00075730" w:rsidRPr="002F249B" w:rsidRDefault="00075730" w:rsidP="00075730">
      <w:pPr>
        <w:spacing w:after="120"/>
        <w:rPr>
          <w:rFonts w:ascii="Aptos Narrow" w:hAnsi="Aptos Narrow"/>
          <w:sz w:val="22"/>
          <w:szCs w:val="22"/>
          <w:lang w:val="es-419"/>
        </w:rPr>
      </w:pPr>
      <w:r w:rsidRPr="002F249B">
        <w:rPr>
          <w:rFonts w:ascii="Aptos Narrow" w:hAnsi="Aptos Narrow"/>
          <w:i/>
          <w:iCs/>
          <w:color w:val="555555"/>
          <w:sz w:val="22"/>
          <w:szCs w:val="22"/>
          <w:lang w:val="es-419"/>
        </w:rPr>
        <w:t>Guion conceptual, sin cifras ni afirmaciones sobre hechos específicos del caso. Las cuatro capas corresponden exactamente al análisis previsto en la práctica de la semana según el documento maestro (estructura física en NetworkX, dinámica de mercado con S&amp;F extendido, red de actores, gobernanza y justicia). Los ejemplos de acoplamiento entre capas son ilustrativos y genéricos: no describen hechos verificados de un proyecto concreto. Si se decide anclar algún acoplamiento a un hecho real del caso (trazado de línea, cronograma de subasta, duración de un proceso de consulta), verificar con fuentes primarias antes de grabar y evitar atribuir responsabilidad a alguna de las partes.</w:t>
      </w:r>
    </w:p>
    <w:p w14:paraId="353FCBD7" w14:textId="508DCAE7" w:rsidR="00C20D6B" w:rsidRPr="002B4E04" w:rsidRDefault="00C20D6B" w:rsidP="001951A0">
      <w:pPr>
        <w:spacing w:after="60"/>
        <w:rPr>
          <w:rFonts w:ascii="Aptos Narrow" w:hAnsi="Aptos Narrow"/>
          <w:sz w:val="22"/>
          <w:szCs w:val="22"/>
          <w:lang w:val="es-419"/>
        </w:rPr>
      </w:pPr>
    </w:p>
    <w:sectPr w:rsidR="00C20D6B" w:rsidRPr="002B4E0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A762E" w14:textId="77777777" w:rsidR="000934BE" w:rsidRDefault="000934BE" w:rsidP="00DC6E4E">
      <w:pPr>
        <w:spacing w:after="0" w:line="240" w:lineRule="auto"/>
      </w:pPr>
      <w:r>
        <w:separator/>
      </w:r>
    </w:p>
  </w:endnote>
  <w:endnote w:type="continuationSeparator" w:id="0">
    <w:p w14:paraId="036F27CE" w14:textId="77777777" w:rsidR="000934BE" w:rsidRDefault="000934BE"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34C64" w14:textId="77777777" w:rsidR="000934BE" w:rsidRDefault="000934BE" w:rsidP="00DC6E4E">
      <w:pPr>
        <w:spacing w:after="0" w:line="240" w:lineRule="auto"/>
      </w:pPr>
      <w:r>
        <w:separator/>
      </w:r>
    </w:p>
  </w:footnote>
  <w:footnote w:type="continuationSeparator" w:id="0">
    <w:p w14:paraId="73ADBCCF" w14:textId="77777777" w:rsidR="000934BE" w:rsidRDefault="000934BE"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a:extLst xmlns:a="http://schemas.openxmlformats.org/drawingml/2006/main">
              <a:ext uri="{FF2B5EF4-FFF2-40B4-BE49-F238E27FC236}">
                <a16:creationId xmlns:a16="http://schemas.microsoft.com/office/drawing/2014/main" id="{92E37FB3-0E8F-47F8-A2D5-007C77C924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a:extLst xmlns:a="http://schemas.openxmlformats.org/drawingml/2006/main">
              <a:ext uri="{FF2B5EF4-FFF2-40B4-BE49-F238E27FC236}">
                <a16:creationId xmlns:a16="http://schemas.microsoft.com/office/drawing/2014/main" id="{9388691F-9C84-4773-AA0C-387F2CBED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59874">
    <w:abstractNumId w:val="1"/>
  </w:num>
  <w:num w:numId="2" w16cid:durableId="1543667111">
    <w:abstractNumId w:val="2"/>
  </w:num>
  <w:num w:numId="3" w16cid:durableId="1855998017">
    <w:abstractNumId w:val="0"/>
  </w:num>
  <w:num w:numId="4" w16cid:durableId="1987319963">
    <w:abstractNumId w:val="4"/>
  </w:num>
  <w:num w:numId="5" w16cid:durableId="21209047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75730"/>
    <w:rsid w:val="00080A5D"/>
    <w:rsid w:val="000934BE"/>
    <w:rsid w:val="000B0A24"/>
    <w:rsid w:val="000B724C"/>
    <w:rsid w:val="000D061B"/>
    <w:rsid w:val="000E645B"/>
    <w:rsid w:val="00114DF8"/>
    <w:rsid w:val="001221BC"/>
    <w:rsid w:val="00150753"/>
    <w:rsid w:val="00154C3B"/>
    <w:rsid w:val="00163F20"/>
    <w:rsid w:val="0016775D"/>
    <w:rsid w:val="00180B42"/>
    <w:rsid w:val="001844A9"/>
    <w:rsid w:val="001928AB"/>
    <w:rsid w:val="001951A0"/>
    <w:rsid w:val="00196827"/>
    <w:rsid w:val="001D4C6D"/>
    <w:rsid w:val="001E1FE5"/>
    <w:rsid w:val="001F0BA5"/>
    <w:rsid w:val="00214F5F"/>
    <w:rsid w:val="002338A3"/>
    <w:rsid w:val="00246D8F"/>
    <w:rsid w:val="002745D5"/>
    <w:rsid w:val="002B0F3E"/>
    <w:rsid w:val="002B1012"/>
    <w:rsid w:val="002B2F6D"/>
    <w:rsid w:val="002B4E04"/>
    <w:rsid w:val="002B54E7"/>
    <w:rsid w:val="002C1903"/>
    <w:rsid w:val="002D2D04"/>
    <w:rsid w:val="002D3CE9"/>
    <w:rsid w:val="002D532C"/>
    <w:rsid w:val="002F249B"/>
    <w:rsid w:val="002F6840"/>
    <w:rsid w:val="00326B8C"/>
    <w:rsid w:val="003349B1"/>
    <w:rsid w:val="003C4859"/>
    <w:rsid w:val="003E57AD"/>
    <w:rsid w:val="004060D2"/>
    <w:rsid w:val="00416939"/>
    <w:rsid w:val="00417B4D"/>
    <w:rsid w:val="00425546"/>
    <w:rsid w:val="00442043"/>
    <w:rsid w:val="0045781F"/>
    <w:rsid w:val="0046288E"/>
    <w:rsid w:val="004965DE"/>
    <w:rsid w:val="004A2836"/>
    <w:rsid w:val="004D07B2"/>
    <w:rsid w:val="004F095B"/>
    <w:rsid w:val="004F54A8"/>
    <w:rsid w:val="004F6622"/>
    <w:rsid w:val="005067ED"/>
    <w:rsid w:val="00536AD9"/>
    <w:rsid w:val="00551E91"/>
    <w:rsid w:val="00566DB3"/>
    <w:rsid w:val="0058732A"/>
    <w:rsid w:val="005950CD"/>
    <w:rsid w:val="005A1594"/>
    <w:rsid w:val="005A3081"/>
    <w:rsid w:val="005C61BF"/>
    <w:rsid w:val="005C6777"/>
    <w:rsid w:val="005D2C25"/>
    <w:rsid w:val="005D5078"/>
    <w:rsid w:val="005F08BA"/>
    <w:rsid w:val="006006AF"/>
    <w:rsid w:val="00623197"/>
    <w:rsid w:val="00636DF5"/>
    <w:rsid w:val="0065441E"/>
    <w:rsid w:val="00684053"/>
    <w:rsid w:val="00690DDB"/>
    <w:rsid w:val="006A2647"/>
    <w:rsid w:val="006A403D"/>
    <w:rsid w:val="006B3AAC"/>
    <w:rsid w:val="006E4137"/>
    <w:rsid w:val="00723ADE"/>
    <w:rsid w:val="00724EB6"/>
    <w:rsid w:val="0073061D"/>
    <w:rsid w:val="00745760"/>
    <w:rsid w:val="007722A8"/>
    <w:rsid w:val="00774065"/>
    <w:rsid w:val="007A2DBC"/>
    <w:rsid w:val="007A50B4"/>
    <w:rsid w:val="007D3681"/>
    <w:rsid w:val="007D5182"/>
    <w:rsid w:val="007E46B6"/>
    <w:rsid w:val="00812C9A"/>
    <w:rsid w:val="0082442A"/>
    <w:rsid w:val="00824BC0"/>
    <w:rsid w:val="008362DB"/>
    <w:rsid w:val="008426B7"/>
    <w:rsid w:val="00845267"/>
    <w:rsid w:val="00852C5C"/>
    <w:rsid w:val="008641BD"/>
    <w:rsid w:val="008727A4"/>
    <w:rsid w:val="00884E06"/>
    <w:rsid w:val="00887B17"/>
    <w:rsid w:val="00893453"/>
    <w:rsid w:val="008E2E48"/>
    <w:rsid w:val="00906562"/>
    <w:rsid w:val="00913FC8"/>
    <w:rsid w:val="009222D0"/>
    <w:rsid w:val="0093616B"/>
    <w:rsid w:val="00940915"/>
    <w:rsid w:val="009414C8"/>
    <w:rsid w:val="0094593B"/>
    <w:rsid w:val="00946A01"/>
    <w:rsid w:val="009572D0"/>
    <w:rsid w:val="00961FA9"/>
    <w:rsid w:val="009668D6"/>
    <w:rsid w:val="009822F6"/>
    <w:rsid w:val="009A50E2"/>
    <w:rsid w:val="009B6C32"/>
    <w:rsid w:val="009C0013"/>
    <w:rsid w:val="00A2411E"/>
    <w:rsid w:val="00A55028"/>
    <w:rsid w:val="00A56545"/>
    <w:rsid w:val="00A64527"/>
    <w:rsid w:val="00A67E34"/>
    <w:rsid w:val="00A74D29"/>
    <w:rsid w:val="00A96C6A"/>
    <w:rsid w:val="00AA04FA"/>
    <w:rsid w:val="00AA62F3"/>
    <w:rsid w:val="00AB3AE4"/>
    <w:rsid w:val="00AB7F9E"/>
    <w:rsid w:val="00AC64E3"/>
    <w:rsid w:val="00B0625D"/>
    <w:rsid w:val="00B17459"/>
    <w:rsid w:val="00B6253B"/>
    <w:rsid w:val="00B77AC9"/>
    <w:rsid w:val="00B9318B"/>
    <w:rsid w:val="00BB53F1"/>
    <w:rsid w:val="00BC56C4"/>
    <w:rsid w:val="00BE20D6"/>
    <w:rsid w:val="00BF33B7"/>
    <w:rsid w:val="00C013DA"/>
    <w:rsid w:val="00C04428"/>
    <w:rsid w:val="00C04E34"/>
    <w:rsid w:val="00C20D6B"/>
    <w:rsid w:val="00C2173C"/>
    <w:rsid w:val="00C25715"/>
    <w:rsid w:val="00C25FFB"/>
    <w:rsid w:val="00C4053D"/>
    <w:rsid w:val="00C52CFD"/>
    <w:rsid w:val="00C619BC"/>
    <w:rsid w:val="00C62362"/>
    <w:rsid w:val="00C74969"/>
    <w:rsid w:val="00C868C2"/>
    <w:rsid w:val="00C96E2A"/>
    <w:rsid w:val="00CA7B83"/>
    <w:rsid w:val="00CC1613"/>
    <w:rsid w:val="00CE7758"/>
    <w:rsid w:val="00CF7577"/>
    <w:rsid w:val="00CF7A5D"/>
    <w:rsid w:val="00D13B8D"/>
    <w:rsid w:val="00D165E5"/>
    <w:rsid w:val="00D2228B"/>
    <w:rsid w:val="00D346ED"/>
    <w:rsid w:val="00D45F58"/>
    <w:rsid w:val="00D5308A"/>
    <w:rsid w:val="00D64E13"/>
    <w:rsid w:val="00D70891"/>
    <w:rsid w:val="00D752A9"/>
    <w:rsid w:val="00D9304B"/>
    <w:rsid w:val="00DA76B9"/>
    <w:rsid w:val="00DB274C"/>
    <w:rsid w:val="00DB44B5"/>
    <w:rsid w:val="00DC0AC2"/>
    <w:rsid w:val="00DC52DD"/>
    <w:rsid w:val="00DC6E4E"/>
    <w:rsid w:val="00DD0613"/>
    <w:rsid w:val="00DF7938"/>
    <w:rsid w:val="00E16CAD"/>
    <w:rsid w:val="00E20D7E"/>
    <w:rsid w:val="00E27FCE"/>
    <w:rsid w:val="00E315C7"/>
    <w:rsid w:val="00E325F2"/>
    <w:rsid w:val="00E42EE7"/>
    <w:rsid w:val="00E456F7"/>
    <w:rsid w:val="00E54F8F"/>
    <w:rsid w:val="00E66287"/>
    <w:rsid w:val="00E85D03"/>
    <w:rsid w:val="00EA748F"/>
    <w:rsid w:val="00EB7720"/>
    <w:rsid w:val="00EC2C26"/>
    <w:rsid w:val="00ED1361"/>
    <w:rsid w:val="00ED2F36"/>
    <w:rsid w:val="00ED389A"/>
    <w:rsid w:val="00EE7087"/>
    <w:rsid w:val="00F04A82"/>
    <w:rsid w:val="00F07D53"/>
    <w:rsid w:val="00F2295E"/>
    <w:rsid w:val="00F35346"/>
    <w:rsid w:val="00F802ED"/>
    <w:rsid w:val="00F86456"/>
    <w:rsid w:val="00F87ED4"/>
    <w:rsid w:val="00F96F68"/>
    <w:rsid w:val="00FB5012"/>
    <w:rsid w:val="00FD13F6"/>
    <w:rsid w:val="00FD1ACF"/>
    <w:rsid w:val="00FD309D"/>
    <w:rsid w:val="00FD452B"/>
    <w:rsid w:val="00FE554A"/>
    <w:rsid w:val="00FF4464"/>
    <w:rsid w:val="00FF683A"/>
    <w:rsid w:val="1C84C21F"/>
    <w:rsid w:val="2AA860A7"/>
    <w:rsid w:val="31DDDF15"/>
    <w:rsid w:val="32259A76"/>
    <w:rsid w:val="36E2781D"/>
    <w:rsid w:val="407DCF26"/>
    <w:rsid w:val="5014D130"/>
    <w:rsid w:val="592C80BC"/>
    <w:rsid w:val="60513B82"/>
    <w:rsid w:val="656692A6"/>
    <w:rsid w:val="682CE3D8"/>
    <w:rsid w:val="743DFB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182F03"/>
  <w15:chartTrackingRefBased/>
  <w15:docId w15:val="{56385816-515C-43F9-B095-C3D27FFD2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3.xml><?xml version="1.0" encoding="utf-8"?>
<ds:datastoreItem xmlns:ds="http://schemas.openxmlformats.org/officeDocument/2006/customXml" ds:itemID="{CD08FF85-70EB-47A7-A109-1E6C547CE6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 Santacruz</cp:lastModifiedBy>
  <cp:revision>13</cp:revision>
  <cp:lastPrinted>2026-05-29T14:52:00Z</cp:lastPrinted>
  <dcterms:created xsi:type="dcterms:W3CDTF">2026-07-19T23:47:00Z</dcterms:created>
  <dcterms:modified xsi:type="dcterms:W3CDTF">2026-07-20T00:12:00Z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