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2259A76">
        <w:rPr>
          <w:rFonts w:ascii="Aptos Narrow" w:hAnsi="Aptos Narrow"/>
          <w:b/>
          <w:bCs/>
          <w:lang w:val="es-419"/>
        </w:rPr>
        <w:t>SCRIPT</w:t>
      </w:r>
      <w:r w:rsidR="00CA7B83" w:rsidRPr="32259A76">
        <w:rPr>
          <w:rFonts w:ascii="Aptos Narrow" w:hAnsi="Aptos Narrow"/>
          <w:b/>
          <w:bCs/>
          <w:lang w:val="es-419"/>
        </w:rPr>
        <w:t xml:space="preserve"> SUGERIDO</w:t>
      </w:r>
      <w:bookmarkEnd w:id="0"/>
    </w:p>
    <w:p w14:paraId="684DCEE4" w14:textId="0BF315C2" w:rsidR="60513B82" w:rsidRPr="00745760" w:rsidRDefault="60513B82" w:rsidP="32259A76">
      <w:pPr>
        <w:pStyle w:val="Heading2"/>
        <w:jc w:val="both"/>
        <w:rPr>
          <w:rFonts w:ascii="Aptos Narrow" w:eastAsia="Aptos Narrow" w:hAnsi="Aptos Narrow" w:cs="Aptos Narrow"/>
          <w:sz w:val="22"/>
          <w:szCs w:val="22"/>
          <w:lang w:val="es-419"/>
        </w:rPr>
      </w:pPr>
      <w:r w:rsidRPr="32259A76">
        <w:rPr>
          <w:rFonts w:ascii="Aptos Narrow" w:eastAsia="Aptos Narrow" w:hAnsi="Aptos Narrow" w:cs="Aptos Narrow"/>
          <w:sz w:val="22"/>
          <w:szCs w:val="22"/>
        </w:rPr>
        <w:t>SEMANA 6: Integración — Análisis Sistémico Completo con Dimensión de Gobernanza</w:t>
      </w:r>
    </w:p>
    <w:p w14:paraId="7A805233" w14:textId="2B186A80" w:rsidR="60513B82" w:rsidRPr="00ED2F36" w:rsidRDefault="60513B82" w:rsidP="32259A76">
      <w:pPr>
        <w:spacing w:after="80"/>
        <w:jc w:val="both"/>
        <w:rPr>
          <w:rFonts w:ascii="Aptos Narrow" w:eastAsia="Aptos Narrow" w:hAnsi="Aptos Narrow" w:cs="Aptos Narrow"/>
          <w:color w:val="B85042"/>
          <w:sz w:val="22"/>
          <w:szCs w:val="22"/>
          <w:lang w:val="es-419"/>
        </w:rPr>
      </w:pPr>
      <w:r w:rsidRPr="32259A76">
        <w:rPr>
          <w:rFonts w:ascii="Aptos Narrow" w:eastAsia="Aptos Narrow" w:hAnsi="Aptos Narrow" w:cs="Aptos Narrow"/>
          <w:i/>
          <w:iCs/>
          <w:color w:val="B85042"/>
          <w:sz w:val="22"/>
          <w:szCs w:val="22"/>
          <w:lang w:val="es-CO"/>
        </w:rPr>
        <w:t>Caso ancla: Proyecto eólico en La Guajira — comunidades Wayuu, consulta previa y licencia social</w:t>
      </w:r>
    </w:p>
    <w:p w14:paraId="02BD9F54" w14:textId="61EF0986" w:rsidR="60513B82" w:rsidRPr="00ED2F36" w:rsidRDefault="60513B82" w:rsidP="32259A76">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b/>
          <w:bCs/>
          <w:color w:val="1E2761"/>
          <w:sz w:val="22"/>
          <w:szCs w:val="22"/>
          <w:lang w:val="es-CO"/>
        </w:rPr>
        <w:t xml:space="preserve">Resultados de Aprendizaje verificados: </w:t>
      </w:r>
      <w:r w:rsidRPr="32259A76">
        <w:rPr>
          <w:rFonts w:ascii="Aptos Narrow" w:eastAsia="Aptos Narrow" w:hAnsi="Aptos Narrow" w:cs="Aptos Narrow"/>
          <w:color w:val="000000" w:themeColor="text1"/>
          <w:sz w:val="22"/>
          <w:szCs w:val="22"/>
          <w:lang w:val="es-CO"/>
        </w:rPr>
        <w:t xml:space="preserve">RAC 4 (alto) · RAC 1, 2, 3 (alto: </w:t>
      </w:r>
      <w:proofErr w:type="gramStart"/>
      <w:r w:rsidRPr="32259A76">
        <w:rPr>
          <w:rFonts w:ascii="Aptos Narrow" w:eastAsia="Aptos Narrow" w:hAnsi="Aptos Narrow" w:cs="Aptos Narrow"/>
          <w:color w:val="000000" w:themeColor="text1"/>
          <w:sz w:val="22"/>
          <w:szCs w:val="22"/>
          <w:lang w:val="es-CO"/>
        </w:rPr>
        <w:t>integración)</w:t>
      </w:r>
      <w:r w:rsidRPr="32259A76">
        <w:rPr>
          <w:rFonts w:ascii="Aptos Narrow" w:eastAsia="Aptos Narrow" w:hAnsi="Aptos Narrow" w:cs="Aptos Narrow"/>
          <w:color w:val="5C6478"/>
          <w:sz w:val="22"/>
          <w:szCs w:val="22"/>
          <w:lang w:val="es-CO"/>
        </w:rPr>
        <w:t xml:space="preserve">  ·</w:t>
      </w:r>
      <w:proofErr w:type="gramEnd"/>
      <w:r w:rsidRPr="32259A76">
        <w:rPr>
          <w:rFonts w:ascii="Aptos Narrow" w:eastAsia="Aptos Narrow" w:hAnsi="Aptos Narrow" w:cs="Aptos Narrow"/>
          <w:color w:val="5C6478"/>
          <w:sz w:val="22"/>
          <w:szCs w:val="22"/>
          <w:lang w:val="es-CO"/>
        </w:rPr>
        <w:t xml:space="preserve">  </w:t>
      </w:r>
      <w:r w:rsidRPr="32259A76">
        <w:rPr>
          <w:rFonts w:ascii="Aptos Narrow" w:eastAsia="Aptos Narrow" w:hAnsi="Aptos Narrow" w:cs="Aptos Narrow"/>
          <w:b/>
          <w:bCs/>
          <w:color w:val="1E2761"/>
          <w:sz w:val="22"/>
          <w:szCs w:val="22"/>
          <w:lang w:val="es-CO"/>
        </w:rPr>
        <w:t xml:space="preserve">RA del programa: </w:t>
      </w:r>
      <w:r w:rsidRPr="32259A76">
        <w:rPr>
          <w:rFonts w:ascii="Aptos Narrow" w:eastAsia="Aptos Narrow" w:hAnsi="Aptos Narrow" w:cs="Aptos Narrow"/>
          <w:color w:val="000000" w:themeColor="text1"/>
          <w:sz w:val="22"/>
          <w:szCs w:val="22"/>
          <w:lang w:val="es-CO"/>
        </w:rPr>
        <w:t>RA1.5, RA2.5, RA3.5, RA4, RA-Ética, RA-Comunicación</w:t>
      </w:r>
    </w:p>
    <w:p w14:paraId="5C42D289" w14:textId="7F0F5652" w:rsidR="60513B82" w:rsidRPr="005D2C25" w:rsidRDefault="60513B82" w:rsidP="32259A76">
      <w:pPr>
        <w:spacing w:before="60" w:after="60" w:line="300" w:lineRule="auto"/>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color w:val="000000" w:themeColor="text1"/>
          <w:sz w:val="22"/>
          <w:szCs w:val="22"/>
          <w:lang w:val="es-CO"/>
        </w:rPr>
        <w:t xml:space="preserve">Semana integradora que demuestra cómo combinar todas las herramientas del curso (complejidad, redes y dinámica de sistemas) con la dimensión que los modelos cuantitativos no capturan: actores con intereses en conflicto, gobernanza policéntrica, justicia energética y consulta previa. En Colombia, la licencia social es tan determinante para la viabilidad de un proyecto como su TIR financiera. Así, como complemento al análisis económico, el estudiante analiza el caso </w:t>
      </w:r>
      <w:proofErr w:type="spellStart"/>
      <w:r w:rsidRPr="32259A76">
        <w:rPr>
          <w:rFonts w:ascii="Aptos Narrow" w:eastAsia="Aptos Narrow" w:hAnsi="Aptos Narrow" w:cs="Aptos Narrow"/>
          <w:color w:val="000000" w:themeColor="text1"/>
          <w:sz w:val="22"/>
          <w:szCs w:val="22"/>
          <w:lang w:val="es-CO"/>
        </w:rPr>
        <w:t>Windpeshi</w:t>
      </w:r>
      <w:proofErr w:type="spellEnd"/>
      <w:r w:rsidRPr="32259A76">
        <w:rPr>
          <w:rFonts w:ascii="Aptos Narrow" w:eastAsia="Aptos Narrow" w:hAnsi="Aptos Narrow" w:cs="Aptos Narrow"/>
          <w:color w:val="000000" w:themeColor="text1"/>
          <w:sz w:val="22"/>
          <w:szCs w:val="22"/>
          <w:lang w:val="es-CO"/>
        </w:rPr>
        <w:t xml:space="preserve"> desde cuatro capas complementarias (estructura física, dinámica de mercado, red de actores, gobernanza) y produce un informe de consultoría sistémica integrado que sirve como "ensayo general" del proyecto final. La sesión sincrónica incluye una actividad experiencial breve de negociación </w:t>
      </w:r>
      <w:proofErr w:type="spellStart"/>
      <w:r w:rsidRPr="32259A76">
        <w:rPr>
          <w:rFonts w:ascii="Aptos Narrow" w:eastAsia="Aptos Narrow" w:hAnsi="Aptos Narrow" w:cs="Aptos Narrow"/>
          <w:color w:val="000000" w:themeColor="text1"/>
          <w:sz w:val="22"/>
          <w:szCs w:val="22"/>
          <w:lang w:val="es-CO"/>
        </w:rPr>
        <w:t>multi-actor</w:t>
      </w:r>
      <w:proofErr w:type="spellEnd"/>
      <w:r w:rsidRPr="32259A76">
        <w:rPr>
          <w:rFonts w:ascii="Aptos Narrow" w:eastAsia="Aptos Narrow" w:hAnsi="Aptos Narrow" w:cs="Aptos Narrow"/>
          <w:color w:val="000000" w:themeColor="text1"/>
          <w:sz w:val="22"/>
          <w:szCs w:val="22"/>
          <w:lang w:val="es-CO"/>
        </w:rPr>
        <w:t>.</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2259A76">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2259A76">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37922C5" w14:textId="0B926936" w:rsidR="32259A76" w:rsidRDefault="32259A76" w:rsidP="32259A76">
            <w:pPr>
              <w:spacing w:after="40"/>
              <w:jc w:val="both"/>
              <w:rPr>
                <w:rFonts w:ascii="Aptos Narrow" w:eastAsia="Aptos Narrow" w:hAnsi="Aptos Narrow" w:cs="Aptos Narrow"/>
                <w:color w:val="000000" w:themeColor="text1"/>
                <w:sz w:val="20"/>
                <w:szCs w:val="20"/>
                <w:lang w:val="es-CO"/>
              </w:rPr>
            </w:pPr>
            <w:r w:rsidRPr="32259A76">
              <w:rPr>
                <w:rFonts w:ascii="Aptos Narrow" w:eastAsia="Aptos Narrow" w:hAnsi="Aptos Narrow" w:cs="Aptos Narrow"/>
                <w:color w:val="000000" w:themeColor="text1"/>
                <w:sz w:val="20"/>
                <w:szCs w:val="20"/>
                <w:lang w:val="es-CO"/>
              </w:rPr>
              <w:t>Video-lecciones 6.1–6.4 (47 min): integración redes + dinámica (</w:t>
            </w:r>
            <w:proofErr w:type="spellStart"/>
            <w:r w:rsidRPr="32259A76">
              <w:rPr>
                <w:rFonts w:ascii="Aptos Narrow" w:eastAsia="Aptos Narrow" w:hAnsi="Aptos Narrow" w:cs="Aptos Narrow"/>
                <w:color w:val="000000" w:themeColor="text1"/>
                <w:sz w:val="20"/>
                <w:szCs w:val="20"/>
                <w:lang w:val="es-CO"/>
              </w:rPr>
              <w:t>framework</w:t>
            </w:r>
            <w:proofErr w:type="spellEnd"/>
            <w:r w:rsidRPr="32259A76">
              <w:rPr>
                <w:rFonts w:ascii="Aptos Narrow" w:eastAsia="Aptos Narrow" w:hAnsi="Aptos Narrow" w:cs="Aptos Narrow"/>
                <w:color w:val="000000" w:themeColor="text1"/>
                <w:sz w:val="20"/>
                <w:szCs w:val="20"/>
                <w:lang w:val="es-CO"/>
              </w:rPr>
              <w:t xml:space="preserve"> </w:t>
            </w:r>
            <w:proofErr w:type="spellStart"/>
            <w:r w:rsidRPr="32259A76">
              <w:rPr>
                <w:rFonts w:ascii="Aptos Narrow" w:eastAsia="Aptos Narrow" w:hAnsi="Aptos Narrow" w:cs="Aptos Narrow"/>
                <w:color w:val="000000" w:themeColor="text1"/>
                <w:sz w:val="20"/>
                <w:szCs w:val="20"/>
                <w:lang w:val="es-CO"/>
              </w:rPr>
              <w:t>multi-capa</w:t>
            </w:r>
            <w:proofErr w:type="spellEnd"/>
            <w:r w:rsidRPr="32259A76">
              <w:rPr>
                <w:rFonts w:ascii="Aptos Narrow" w:eastAsia="Aptos Narrow" w:hAnsi="Aptos Narrow" w:cs="Aptos Narrow"/>
                <w:color w:val="000000" w:themeColor="text1"/>
                <w:sz w:val="20"/>
                <w:szCs w:val="20"/>
                <w:lang w:val="es-CO"/>
              </w:rPr>
              <w:t xml:space="preserve">); el proyecto energético como sistema </w:t>
            </w:r>
            <w:proofErr w:type="gramStart"/>
            <w:r w:rsidRPr="32259A76">
              <w:rPr>
                <w:rFonts w:ascii="Aptos Narrow" w:eastAsia="Aptos Narrow" w:hAnsi="Aptos Narrow" w:cs="Aptos Narrow"/>
                <w:color w:val="000000" w:themeColor="text1"/>
                <w:sz w:val="20"/>
                <w:szCs w:val="20"/>
                <w:lang w:val="es-CO"/>
              </w:rPr>
              <w:t>socio-técnico</w:t>
            </w:r>
            <w:proofErr w:type="gramEnd"/>
            <w:r w:rsidRPr="32259A76">
              <w:rPr>
                <w:rFonts w:ascii="Aptos Narrow" w:eastAsia="Aptos Narrow" w:hAnsi="Aptos Narrow" w:cs="Aptos Narrow"/>
                <w:color w:val="000000" w:themeColor="text1"/>
                <w:sz w:val="20"/>
                <w:szCs w:val="20"/>
                <w:lang w:val="es-CO"/>
              </w:rPr>
              <w:t xml:space="preserve">-ambiental; gobernanza policéntrica de Ostrom aplicada a Colombia; las 3 dimensiones de justicia energética de </w:t>
            </w:r>
            <w:proofErr w:type="spellStart"/>
            <w:r w:rsidRPr="32259A76">
              <w:rPr>
                <w:rFonts w:ascii="Aptos Narrow" w:eastAsia="Aptos Narrow" w:hAnsi="Aptos Narrow" w:cs="Aptos Narrow"/>
                <w:color w:val="000000" w:themeColor="text1"/>
                <w:sz w:val="20"/>
                <w:szCs w:val="20"/>
                <w:lang w:val="es-CO"/>
              </w:rPr>
              <w:t>Sovacool</w:t>
            </w:r>
            <w:proofErr w:type="spellEnd"/>
            <w:r w:rsidRPr="32259A76">
              <w:rPr>
                <w:rFonts w:ascii="Aptos Narrow" w:eastAsia="Aptos Narrow" w:hAnsi="Aptos Narrow" w:cs="Aptos Narrow"/>
                <w:color w:val="000000" w:themeColor="text1"/>
                <w:sz w:val="20"/>
                <w:szCs w:val="20"/>
                <w:lang w:val="es-CO"/>
              </w:rPr>
              <w:t xml:space="preserve"> (distributiva, procedimental, de reconocimiento); comunicación de complejidad a audiencias no técnicas. Lectura: Ostrom Cap. 1; Informe Contraloría sobre FNCER en La Guajira; </w:t>
            </w:r>
            <w:proofErr w:type="spellStart"/>
            <w:r w:rsidRPr="32259A76">
              <w:rPr>
                <w:rFonts w:ascii="Aptos Narrow" w:eastAsia="Aptos Narrow" w:hAnsi="Aptos Narrow" w:cs="Aptos Narrow"/>
                <w:color w:val="000000" w:themeColor="text1"/>
                <w:sz w:val="20"/>
                <w:szCs w:val="20"/>
                <w:lang w:val="es-CO"/>
              </w:rPr>
              <w:t>Sovacool</w:t>
            </w:r>
            <w:proofErr w:type="spellEnd"/>
            <w:r w:rsidRPr="32259A76">
              <w:rPr>
                <w:rFonts w:ascii="Aptos Narrow" w:eastAsia="Aptos Narrow" w:hAnsi="Aptos Narrow" w:cs="Aptos Narrow"/>
                <w:color w:val="000000" w:themeColor="text1"/>
                <w:sz w:val="20"/>
                <w:szCs w:val="20"/>
                <w:lang w:val="es-CO"/>
              </w:rPr>
              <w:t xml:space="preserve"> et al. (2017).</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3A16E63E" w14:textId="77777777" w:rsidR="001F4259" w:rsidRPr="001F4259" w:rsidRDefault="00CF7577" w:rsidP="001F4259">
      <w:pPr>
        <w:spacing w:after="60"/>
        <w:rPr>
          <w:rFonts w:ascii="Aptos Narrow" w:hAnsi="Aptos Narrow"/>
          <w:sz w:val="22"/>
          <w:szCs w:val="22"/>
          <w:lang w:val="es-419"/>
        </w:rPr>
      </w:pPr>
      <w:r w:rsidRPr="002F249B">
        <w:rPr>
          <w:rFonts w:ascii="Aptos Narrow" w:hAnsi="Aptos Narrow"/>
          <w:b/>
          <w:bCs/>
          <w:color w:val="1F3864"/>
          <w:sz w:val="22"/>
          <w:szCs w:val="22"/>
          <w:lang w:val="es-419"/>
        </w:rPr>
        <w:t xml:space="preserve">Alcance de </w:t>
      </w:r>
      <w:r w:rsidR="0046288E" w:rsidRPr="002F249B">
        <w:rPr>
          <w:rFonts w:ascii="Aptos Narrow" w:hAnsi="Aptos Narrow"/>
          <w:b/>
          <w:bCs/>
          <w:color w:val="1F3864"/>
          <w:sz w:val="22"/>
          <w:szCs w:val="22"/>
          <w:lang w:val="es-419"/>
        </w:rPr>
        <w:t>6</w:t>
      </w:r>
      <w:r w:rsidR="00EE7087" w:rsidRPr="002F249B">
        <w:rPr>
          <w:rFonts w:ascii="Aptos Narrow" w:hAnsi="Aptos Narrow"/>
          <w:b/>
          <w:bCs/>
          <w:color w:val="1F3864"/>
          <w:sz w:val="22"/>
          <w:szCs w:val="22"/>
          <w:lang w:val="es-419"/>
        </w:rPr>
        <w:t>.</w:t>
      </w:r>
      <w:r w:rsidR="004A2495">
        <w:rPr>
          <w:rFonts w:ascii="Aptos Narrow" w:hAnsi="Aptos Narrow"/>
          <w:b/>
          <w:bCs/>
          <w:color w:val="1F3864"/>
          <w:sz w:val="22"/>
          <w:szCs w:val="22"/>
          <w:lang w:val="es-419"/>
        </w:rPr>
        <w:t>2</w:t>
      </w:r>
      <w:r w:rsidR="00D70891" w:rsidRPr="002F249B">
        <w:rPr>
          <w:rFonts w:ascii="Aptos Narrow" w:hAnsi="Aptos Narrow"/>
          <w:b/>
          <w:bCs/>
          <w:color w:val="1F3864"/>
          <w:sz w:val="22"/>
          <w:szCs w:val="22"/>
          <w:lang w:val="es-419"/>
        </w:rPr>
        <w:t>:</w:t>
      </w:r>
      <w:r w:rsidR="00D70891" w:rsidRPr="002F249B">
        <w:rPr>
          <w:rFonts w:ascii="Aptos Narrow" w:hAnsi="Aptos Narrow"/>
          <w:sz w:val="22"/>
          <w:szCs w:val="22"/>
          <w:lang w:val="es-419"/>
        </w:rPr>
        <w:t xml:space="preserve"> </w:t>
      </w:r>
      <w:r w:rsidR="001F4259" w:rsidRPr="001F4259">
        <w:rPr>
          <w:rFonts w:ascii="Aptos Narrow" w:hAnsi="Aptos Narrow"/>
          <w:sz w:val="22"/>
          <w:szCs w:val="22"/>
          <w:lang w:val="es-419"/>
        </w:rPr>
        <w:t>Mapeo de actores y tipos de poder; gobernanza policéntrica de Ostrom; múltiples centros de autoridad en el sector energético colombiano; qué hace funcionar un arreglo policéntrico</w:t>
      </w:r>
    </w:p>
    <w:p w14:paraId="5A01430D" w14:textId="77777777" w:rsidR="001F4259" w:rsidRPr="001F4259" w:rsidRDefault="001F4259" w:rsidP="001F4259">
      <w:pPr>
        <w:spacing w:before="280" w:after="120"/>
        <w:rPr>
          <w:rFonts w:ascii="Aptos Narrow" w:hAnsi="Aptos Narrow"/>
          <w:sz w:val="22"/>
          <w:szCs w:val="22"/>
          <w:lang w:val="es-419"/>
        </w:rPr>
      </w:pPr>
      <w:r w:rsidRPr="001F4259">
        <w:rPr>
          <w:rFonts w:ascii="Aptos Narrow" w:hAnsi="Aptos Narrow"/>
          <w:b/>
          <w:bCs/>
          <w:color w:val="1F3864"/>
          <w:sz w:val="22"/>
          <w:szCs w:val="22"/>
          <w:lang w:val="es-419"/>
        </w:rPr>
        <w:t>Segmento 1 — La pregunta que parece simple</w:t>
      </w:r>
    </w:p>
    <w:p w14:paraId="7D7623C8"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Vamos a trabajar la cuarta capa del </w:t>
      </w:r>
      <w:proofErr w:type="spellStart"/>
      <w:r w:rsidRPr="001F4259">
        <w:rPr>
          <w:rFonts w:ascii="Aptos Narrow" w:hAnsi="Aptos Narrow"/>
          <w:sz w:val="22"/>
          <w:szCs w:val="22"/>
          <w:lang w:val="es-419"/>
        </w:rPr>
        <w:t>framework</w:t>
      </w:r>
      <w:proofErr w:type="spellEnd"/>
      <w:r w:rsidRPr="001F4259">
        <w:rPr>
          <w:rFonts w:ascii="Aptos Narrow" w:hAnsi="Aptos Narrow"/>
          <w:sz w:val="22"/>
          <w:szCs w:val="22"/>
          <w:lang w:val="es-419"/>
        </w:rPr>
        <w:t>, la de gobernanza, y empezamos por una pregunta que parece trivial y no lo es: en un proyecto energético, ¿quién decide?</w:t>
      </w:r>
    </w:p>
    <w:p w14:paraId="3847BC99"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La respuesta ingenua sería nombrar a la autoridad competente y listo. Pero piensen en lo que hace falta para que un parque eólico exista en Colombia. Hace falta una licencia ambiental, que otorga una autoridad ambiental. Hace falta cumplir reglas del mercado eléctrico, que fija un regulador. Hace falta conexión a la red, que depende de la planeación de la transmisión y del operador del sistema. Hace falta, si el proyecto afecta comunidades étnicas, un proceso de consulta previa, con su propio marco institucional. Hacen falta permisos y acuerdos locales. Y hace falta, aunque no aparezca en ningún formulario, la aceptación de quienes viven en el territorio.</w:t>
      </w:r>
    </w:p>
    <w:p w14:paraId="331B06AF"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Fíjense en lo que acabamos de describir: no hay un decisor único. Hay muchos actores, cada uno con autoridad real sobre una parte del problema, y ninguno con control sobre el conjunto. Ninguno puede, por sí solo, hacer que el proyecto exista; pero varios pueden, por sí solos, hacer que no exista. Esa asimetría es la característica definitoria del terreno en el que se juegan los proyectos energéticos, y tiene un nombre técnico que vamos a estudiar hoy.</w:t>
      </w:r>
    </w:p>
    <w:p w14:paraId="2EDC3DE5" w14:textId="77777777" w:rsidR="001F4259" w:rsidRPr="001F4259" w:rsidRDefault="001F4259" w:rsidP="001F4259">
      <w:pPr>
        <w:spacing w:before="280" w:after="120"/>
        <w:rPr>
          <w:rFonts w:ascii="Aptos Narrow" w:hAnsi="Aptos Narrow"/>
          <w:sz w:val="22"/>
          <w:szCs w:val="22"/>
          <w:lang w:val="es-419"/>
        </w:rPr>
      </w:pPr>
      <w:r w:rsidRPr="001F4259">
        <w:rPr>
          <w:rFonts w:ascii="Aptos Narrow" w:hAnsi="Aptos Narrow"/>
          <w:b/>
          <w:bCs/>
          <w:color w:val="1F3864"/>
          <w:sz w:val="22"/>
          <w:szCs w:val="22"/>
          <w:lang w:val="es-419"/>
        </w:rPr>
        <w:t>Segmento 2 — Mapear actores y distinguir tipos de poder</w:t>
      </w:r>
    </w:p>
    <w:p w14:paraId="523F3742"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Antes del concepto, la herramienta. En la lección 3.3 aprendimos a modelar redes de actores y a leer las centralidades en clave de poder e influencia. Vamos a refinar eso, porque en gobernanza el poder no es una sola cosa, y confundir sus tipos lleva a errores graves de estrategia.</w:t>
      </w:r>
    </w:p>
    <w:p w14:paraId="5E37BA3D"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Hay un poder formal, el que la ley asigna: la facultad de otorgar o negar una licencia, de fijar una tarifa, de aprobar una conexión. Es visible, está escrito y se sabe quién lo tiene. Hay un poder de veto de hecho, que es la capacidad efectiva de impedir que algo </w:t>
      </w:r>
      <w:proofErr w:type="gramStart"/>
      <w:r w:rsidRPr="001F4259">
        <w:rPr>
          <w:rFonts w:ascii="Aptos Narrow" w:hAnsi="Aptos Narrow"/>
          <w:sz w:val="22"/>
          <w:szCs w:val="22"/>
          <w:lang w:val="es-419"/>
        </w:rPr>
        <w:t>ocurra</w:t>
      </w:r>
      <w:proofErr w:type="gramEnd"/>
      <w:r w:rsidRPr="001F4259">
        <w:rPr>
          <w:rFonts w:ascii="Aptos Narrow" w:hAnsi="Aptos Narrow"/>
          <w:sz w:val="22"/>
          <w:szCs w:val="22"/>
          <w:lang w:val="es-419"/>
        </w:rPr>
        <w:t xml:space="preserve"> aunque no se tenga la facultad legal de prohibirlo. Una comunidad que no da su aceptación puede detener un proyecto sin firmar ninguna resolución. Hay un poder de agenda, que es la capacidad de decidir qué se discute y qué no, cuáles alternativas están sobre la mesa y cuáles ni se mencionan; es un poder silencioso y enormemente influyente. Y hay un poder de información, el de quien produce, controla o interpreta los datos técnicos con los que todos los demás deciden.</w:t>
      </w:r>
    </w:p>
    <w:p w14:paraId="1AF09925"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Esta distinción tiene consecuencias prácticas inmediatas. Un mapa de actores que solo registre el poder formal va a subestimar gravemente a los actores con poder de veto de hecho, y ese es exactamente el error que produce las sorpresas del tipo que vimos en la cápsula de apertura. En la práctica de esta semana, cuando construyan la red de actores del caso, quiero que para cada nodo se pregunten no solo qué puede </w:t>
      </w:r>
      <w:r w:rsidRPr="001F4259">
        <w:rPr>
          <w:rFonts w:ascii="Aptos Narrow" w:hAnsi="Aptos Narrow"/>
          <w:sz w:val="22"/>
          <w:szCs w:val="22"/>
          <w:lang w:val="es-419"/>
        </w:rPr>
        <w:lastRenderedPageBreak/>
        <w:t>hacer legalmente, sino qué puede impedir en la práctica, qué puede poner o sacar de la conversación, y qué información controla.</w:t>
      </w:r>
    </w:p>
    <w:p w14:paraId="1B2FD1E6" w14:textId="77777777" w:rsidR="001F4259" w:rsidRPr="001F4259" w:rsidRDefault="001F4259" w:rsidP="001F4259">
      <w:pPr>
        <w:pBdr>
          <w:left w:val="single" w:sz="18" w:space="12" w:color="9C6500"/>
        </w:pBdr>
        <w:spacing w:before="120"/>
        <w:rPr>
          <w:rFonts w:ascii="Aptos Narrow" w:hAnsi="Aptos Narrow"/>
          <w:sz w:val="22"/>
          <w:szCs w:val="22"/>
          <w:lang w:val="es-419"/>
        </w:rPr>
      </w:pPr>
      <w:r w:rsidRPr="001F4259">
        <w:rPr>
          <w:rFonts w:ascii="Aptos Narrow" w:hAnsi="Aptos Narrow"/>
          <w:b/>
          <w:bCs/>
          <w:color w:val="9C6500"/>
          <w:sz w:val="22"/>
          <w:szCs w:val="22"/>
          <w:lang w:val="es-419"/>
        </w:rPr>
        <w:t xml:space="preserve">[QUIZ EMBEBIDO] </w:t>
      </w:r>
      <w:r w:rsidRPr="001F4259">
        <w:rPr>
          <w:rFonts w:ascii="Aptos Narrow" w:hAnsi="Aptos Narrow"/>
          <w:i/>
          <w:iCs/>
          <w:color w:val="555555"/>
          <w:sz w:val="22"/>
          <w:szCs w:val="22"/>
          <w:lang w:val="es-419"/>
        </w:rPr>
        <w:t>Se listan cuatro actores de un proyecto energético con descripciones de lo que cada uno puede hacer. El estudiante debe identificar qué tipo de poder ejerce cada uno (formal, de veto de hecho, de agenda o de información) y explicar por qué un mapa que solo considere el poder formal produciría un análisis incompleto.</w:t>
      </w:r>
    </w:p>
    <w:p w14:paraId="1494138A" w14:textId="77777777" w:rsidR="001F4259" w:rsidRPr="001F4259" w:rsidRDefault="001F4259" w:rsidP="001F4259">
      <w:pPr>
        <w:spacing w:before="280" w:after="120"/>
        <w:rPr>
          <w:rFonts w:ascii="Aptos Narrow" w:hAnsi="Aptos Narrow"/>
          <w:sz w:val="22"/>
          <w:szCs w:val="22"/>
          <w:lang w:val="es-419"/>
        </w:rPr>
      </w:pPr>
      <w:r w:rsidRPr="001F4259">
        <w:rPr>
          <w:rFonts w:ascii="Aptos Narrow" w:hAnsi="Aptos Narrow"/>
          <w:b/>
          <w:bCs/>
          <w:color w:val="1F3864"/>
          <w:sz w:val="22"/>
          <w:szCs w:val="22"/>
          <w:lang w:val="es-419"/>
        </w:rPr>
        <w:t>Segmento 3 — Gobernanza policéntrica: la idea de Ostrom</w:t>
      </w:r>
    </w:p>
    <w:p w14:paraId="0FBE4457"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El concepto que da nombre a este arreglo viene de Elinor Ostrom, y se llama gobernanza policéntrica. Policéntrico significa, literalmente, con muchos centros. Ostrom describió sistemas donde la autoridad no está concentrada en un único centro jerárquico, sino repartida entre múltiples unidades de decisión que operan con cierta autonomía, en distintos niveles y escalas, y que interactúan entre sí.</w:t>
      </w:r>
    </w:p>
    <w:p w14:paraId="115081B8"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El aporte de Ostrom fue en buena medida una corrección a una idea muy extendida. Durante décadas se asumió que los recursos compartidos solo podían gestionarse bien de dos maneras: o por el Estado, con regulación centralizada, o por el mercado, con propiedad privada. La investigación de Ostrom mostró, con evidencia empírica de comunidades reales alrededor del mundo, que existía una tercera vía: arreglos institucionales construidos por los propios usuarios de un recurso, con reglas propias, que en muchos casos funcionaban mejor que las alternativas centralizadas. Ese trabajo le valió el Premio Nobel de Economía.</w:t>
      </w:r>
    </w:p>
    <w:p w14:paraId="588D2797"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Para nosotros la utilidad es doble. Primero, descriptiva: la gobernanza policéntrica describe con precisión lo que efectivamente ocurre en un proyecto energético colombiano, donde el regulador, la autoridad ambiental, el ministerio, las autoridades locales y las autoridades propias de las comunidades étnicas coexisten con jurisdicciones que se traslapan. </w:t>
      </w:r>
      <w:proofErr w:type="gramStart"/>
      <w:r w:rsidRPr="001F4259">
        <w:rPr>
          <w:rFonts w:ascii="Aptos Narrow" w:hAnsi="Aptos Narrow"/>
          <w:sz w:val="22"/>
          <w:szCs w:val="22"/>
          <w:lang w:val="es-419"/>
        </w:rPr>
        <w:t>Reconocer</w:t>
      </w:r>
      <w:proofErr w:type="gramEnd"/>
      <w:r w:rsidRPr="001F4259">
        <w:rPr>
          <w:rFonts w:ascii="Aptos Narrow" w:hAnsi="Aptos Narrow"/>
          <w:sz w:val="22"/>
          <w:szCs w:val="22"/>
          <w:lang w:val="es-419"/>
        </w:rPr>
        <w:t xml:space="preserve"> que el sistema es policéntrico, y no jerárquico, ya evita el error de buscar un único interlocutor que resuelva todo. Segundo, normativa: Ostrom no solo describió estos arreglos, sino que identificó qué características los hacen funcionar bien o mal, y eso nos da criterios para evaluar y para proponer mejoras.</w:t>
      </w:r>
    </w:p>
    <w:p w14:paraId="3A34AB17"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Ahora bien, sería un error leer el </w:t>
      </w:r>
      <w:proofErr w:type="spellStart"/>
      <w:r w:rsidRPr="001F4259">
        <w:rPr>
          <w:rFonts w:ascii="Aptos Narrow" w:hAnsi="Aptos Narrow"/>
          <w:sz w:val="22"/>
          <w:szCs w:val="22"/>
          <w:lang w:val="es-419"/>
        </w:rPr>
        <w:t>policentrismo</w:t>
      </w:r>
      <w:proofErr w:type="spellEnd"/>
      <w:r w:rsidRPr="001F4259">
        <w:rPr>
          <w:rFonts w:ascii="Aptos Narrow" w:hAnsi="Aptos Narrow"/>
          <w:sz w:val="22"/>
          <w:szCs w:val="22"/>
          <w:lang w:val="es-419"/>
        </w:rPr>
        <w:t xml:space="preserve"> como automáticamente bueno, y quiero ser cuidadoso aquí. Un sistema con muchos centros tiene ventajas reales: distintos niveles pueden ajustarse a condiciones locales distintas, el conocimiento se aprovecha </w:t>
      </w:r>
      <w:proofErr w:type="spellStart"/>
      <w:r w:rsidRPr="001F4259">
        <w:rPr>
          <w:rFonts w:ascii="Aptos Narrow" w:hAnsi="Aptos Narrow"/>
          <w:sz w:val="22"/>
          <w:szCs w:val="22"/>
          <w:lang w:val="es-419"/>
        </w:rPr>
        <w:t>donde</w:t>
      </w:r>
      <w:proofErr w:type="spellEnd"/>
      <w:r w:rsidRPr="001F4259">
        <w:rPr>
          <w:rFonts w:ascii="Aptos Narrow" w:hAnsi="Aptos Narrow"/>
          <w:sz w:val="22"/>
          <w:szCs w:val="22"/>
          <w:lang w:val="es-419"/>
        </w:rPr>
        <w:t xml:space="preserve"> está, y si un centro falla el sistema entero no colapsa, porque hay redundancia institucional. Pero también tiene costos igual de reales: coordinar muchos centros es lento y caro, las competencias traslapadas generan ambigüedad sobre quién responde por qué, y esa ambigüedad puede usarse para eludir responsabilidades o para bloquear indefinidamente. Un desarrollador que enfrenta media docena de ventanillas con requisitos que no siempre encajan entre sí no está viendo un sistema virtuoso, está viendo un costo de transacción muy alto.</w:t>
      </w:r>
    </w:p>
    <w:p w14:paraId="11946607"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Así que la pregunta útil no es si el </w:t>
      </w:r>
      <w:proofErr w:type="spellStart"/>
      <w:r w:rsidRPr="001F4259">
        <w:rPr>
          <w:rFonts w:ascii="Aptos Narrow" w:hAnsi="Aptos Narrow"/>
          <w:sz w:val="22"/>
          <w:szCs w:val="22"/>
          <w:lang w:val="es-419"/>
        </w:rPr>
        <w:t>policentrismo</w:t>
      </w:r>
      <w:proofErr w:type="spellEnd"/>
      <w:r w:rsidRPr="001F4259">
        <w:rPr>
          <w:rFonts w:ascii="Aptos Narrow" w:hAnsi="Aptos Narrow"/>
          <w:sz w:val="22"/>
          <w:szCs w:val="22"/>
          <w:lang w:val="es-419"/>
        </w:rPr>
        <w:t xml:space="preserve"> es bueno o malo, sino qué tan bien articulados están esos múltiples centros. Un arreglo policéntrico funciona cuando los centros se comunican, se reconocen mutuamente y tienen formas de resolver sus diferencias; funciona mal cuando operan aislados, se </w:t>
      </w:r>
      <w:r w:rsidRPr="001F4259">
        <w:rPr>
          <w:rFonts w:ascii="Aptos Narrow" w:hAnsi="Aptos Narrow"/>
          <w:sz w:val="22"/>
          <w:szCs w:val="22"/>
          <w:lang w:val="es-419"/>
        </w:rPr>
        <w:lastRenderedPageBreak/>
        <w:t xml:space="preserve">contradicen o compiten. Esa distinción, entre </w:t>
      </w:r>
      <w:proofErr w:type="spellStart"/>
      <w:r w:rsidRPr="001F4259">
        <w:rPr>
          <w:rFonts w:ascii="Aptos Narrow" w:hAnsi="Aptos Narrow"/>
          <w:sz w:val="22"/>
          <w:szCs w:val="22"/>
          <w:lang w:val="es-419"/>
        </w:rPr>
        <w:t>policentrismo</w:t>
      </w:r>
      <w:proofErr w:type="spellEnd"/>
      <w:r w:rsidRPr="001F4259">
        <w:rPr>
          <w:rFonts w:ascii="Aptos Narrow" w:hAnsi="Aptos Narrow"/>
          <w:sz w:val="22"/>
          <w:szCs w:val="22"/>
          <w:lang w:val="es-419"/>
        </w:rPr>
        <w:t xml:space="preserve"> articulado y </w:t>
      </w:r>
      <w:proofErr w:type="spellStart"/>
      <w:r w:rsidRPr="001F4259">
        <w:rPr>
          <w:rFonts w:ascii="Aptos Narrow" w:hAnsi="Aptos Narrow"/>
          <w:sz w:val="22"/>
          <w:szCs w:val="22"/>
          <w:lang w:val="es-419"/>
        </w:rPr>
        <w:t>policentrismo</w:t>
      </w:r>
      <w:proofErr w:type="spellEnd"/>
      <w:r w:rsidRPr="001F4259">
        <w:rPr>
          <w:rFonts w:ascii="Aptos Narrow" w:hAnsi="Aptos Narrow"/>
          <w:sz w:val="22"/>
          <w:szCs w:val="22"/>
          <w:lang w:val="es-419"/>
        </w:rPr>
        <w:t xml:space="preserve"> fragmentado, es probablemente la más útil que se pueden llevar de esta lección para analizar casos reales, y aplica tanto al sector energético colombiano como a cualquier otro sistema de gobernanza compleja.</w:t>
      </w:r>
    </w:p>
    <w:p w14:paraId="051AD7C3" w14:textId="77777777" w:rsidR="001F4259" w:rsidRPr="001F4259" w:rsidRDefault="001F4259" w:rsidP="001F4259">
      <w:pPr>
        <w:spacing w:before="280" w:after="120"/>
        <w:rPr>
          <w:rFonts w:ascii="Aptos Narrow" w:hAnsi="Aptos Narrow"/>
          <w:sz w:val="22"/>
          <w:szCs w:val="22"/>
          <w:lang w:val="es-419"/>
        </w:rPr>
      </w:pPr>
      <w:r w:rsidRPr="001F4259">
        <w:rPr>
          <w:rFonts w:ascii="Aptos Narrow" w:hAnsi="Aptos Narrow"/>
          <w:b/>
          <w:bCs/>
          <w:color w:val="1F3864"/>
          <w:sz w:val="22"/>
          <w:szCs w:val="22"/>
          <w:lang w:val="es-419"/>
        </w:rPr>
        <w:t>Segmento 4 — Qué hace que un arreglo policéntrico funcione</w:t>
      </w:r>
    </w:p>
    <w:p w14:paraId="71D416AC"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De los principios que Ostrom identificó en arreglos exitosos, quiero destacar cuatro que se aplican directamente a nuestro caso.</w:t>
      </w:r>
    </w:p>
    <w:p w14:paraId="7076C595"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El primero es que las reglas deben ajustarse a las condiciones locales. Una norma diseñada en el centro del país que ignora las particularidades sociales, culturales y territoriales de una región específica tiende a funcionar mal, no por mala voluntad sino por desajuste. El segundo es que quienes se ven afectados por las reglas deben poder participar en su formulación. Esto es más profundo que informar o socializar: es participar en la definición. Un arreglo donde unos deciden y otros solo son notificados es frágil, porque los notificados no tienen razones propias para sostenerlo.</w:t>
      </w:r>
    </w:p>
    <w:p w14:paraId="1786E423"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El tercero es que debe haber mecanismos de resolución de conflictos que sean accesibles, ágiles y percibidos como legítimos por todas las partes. Los conflictos van a ocurrir, eso es inevitable; lo que distingue a un buen arreglo es que existan canales para tramitarlos antes de que escalen. Cuando el único canal disponible es la vía judicial o la protesta, el sistema ya está funcionando mal. Y el cuarto es que los derechos de las comunidades a organizarse y a definir sus propias reglas sean efectivamente reconocidos por las autoridades externas, no solo en el papel.</w:t>
      </w:r>
    </w:p>
    <w:p w14:paraId="2CEAC1B2"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Fíjense en cómo estos principios convierten una intuición vaga sobre relacionamiento comunitario en criterios de evaluación concretos. En lugar de decir que hubo problemas sociales, un análisis riguroso puede preguntar: ¿las reglas del proceso se ajustaron a las condiciones locales? ¿participaron las comunidades en definirlas o solo fueron informadas? ¿existían mecanismos accesibles para tramitar los desacuerdos? ¿se reconoció efectivamente la autoridad propia de la comunidad? Esas preguntas se pueden responder con evidencia, y sus respuestas señalan dónde intervenir. Eso es lo que distingue un diagnóstico de gobernanza de una opinión sobre relaciones comunitarias.</w:t>
      </w:r>
    </w:p>
    <w:p w14:paraId="45159F3B" w14:textId="77777777" w:rsidR="001F4259" w:rsidRPr="001F4259" w:rsidRDefault="001F4259" w:rsidP="001F4259">
      <w:pPr>
        <w:pBdr>
          <w:left w:val="single" w:sz="18" w:space="12" w:color="9C6500"/>
        </w:pBdr>
        <w:spacing w:before="120"/>
        <w:rPr>
          <w:rFonts w:ascii="Aptos Narrow" w:hAnsi="Aptos Narrow"/>
          <w:sz w:val="22"/>
          <w:szCs w:val="22"/>
          <w:lang w:val="es-419"/>
        </w:rPr>
      </w:pPr>
      <w:r w:rsidRPr="001F4259">
        <w:rPr>
          <w:rFonts w:ascii="Aptos Narrow" w:hAnsi="Aptos Narrow"/>
          <w:b/>
          <w:bCs/>
          <w:color w:val="9C6500"/>
          <w:sz w:val="22"/>
          <w:szCs w:val="22"/>
          <w:lang w:val="es-419"/>
        </w:rPr>
        <w:t xml:space="preserve">[QUIZ EMBEBIDO] </w:t>
      </w:r>
      <w:r w:rsidRPr="001F4259">
        <w:rPr>
          <w:rFonts w:ascii="Aptos Narrow" w:hAnsi="Aptos Narrow"/>
          <w:i/>
          <w:iCs/>
          <w:color w:val="555555"/>
          <w:sz w:val="22"/>
          <w:szCs w:val="22"/>
          <w:lang w:val="es-419"/>
        </w:rPr>
        <w:t>Se describe un proceso de relacionamiento donde la empresa presenta el proyecto ya definido a la comunidad en varias reuniones informativas y responde preguntas. El estudiante debe evaluar ese proceso a la luz de los principios de gobernanza policéntrica e identificar cuál o cuáles se estarían incumpliendo.</w:t>
      </w:r>
    </w:p>
    <w:p w14:paraId="698A84E8" w14:textId="77777777" w:rsidR="001F4259" w:rsidRPr="001F4259" w:rsidRDefault="001F4259" w:rsidP="001F4259">
      <w:pPr>
        <w:spacing w:before="280" w:after="120"/>
        <w:rPr>
          <w:rFonts w:ascii="Aptos Narrow" w:hAnsi="Aptos Narrow"/>
          <w:sz w:val="22"/>
          <w:szCs w:val="22"/>
          <w:lang w:val="es-419"/>
        </w:rPr>
      </w:pPr>
      <w:r w:rsidRPr="001F4259">
        <w:rPr>
          <w:rFonts w:ascii="Aptos Narrow" w:hAnsi="Aptos Narrow"/>
          <w:b/>
          <w:bCs/>
          <w:color w:val="1F3864"/>
          <w:sz w:val="22"/>
          <w:szCs w:val="22"/>
          <w:lang w:val="es-419"/>
        </w:rPr>
        <w:t>Segmento 5 — Cierre y hacia la justicia energética</w:t>
      </w:r>
    </w:p>
    <w:p w14:paraId="02199665"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Recapitulemos. Hoy respondimos la pregunta de quién decide, y la respuesta fue que en un proyecto energético colombiano no decide uno solo: hay múltiples centros de autoridad con jurisdicciones traslapadas, donde ninguno puede por sí mismo hacer que el proyecto </w:t>
      </w:r>
      <w:proofErr w:type="gramStart"/>
      <w:r w:rsidRPr="001F4259">
        <w:rPr>
          <w:rFonts w:ascii="Aptos Narrow" w:hAnsi="Aptos Narrow"/>
          <w:sz w:val="22"/>
          <w:szCs w:val="22"/>
          <w:lang w:val="es-419"/>
        </w:rPr>
        <w:t>exista</w:t>
      </w:r>
      <w:proofErr w:type="gramEnd"/>
      <w:r w:rsidRPr="001F4259">
        <w:rPr>
          <w:rFonts w:ascii="Aptos Narrow" w:hAnsi="Aptos Narrow"/>
          <w:sz w:val="22"/>
          <w:szCs w:val="22"/>
          <w:lang w:val="es-419"/>
        </w:rPr>
        <w:t xml:space="preserve"> pero varios pueden impedirlo. Aprendimos a distinguir cuatro tipos de poder, formal, de veto de hecho, de agenda y de información, y por </w:t>
      </w:r>
      <w:r w:rsidRPr="001F4259">
        <w:rPr>
          <w:rFonts w:ascii="Aptos Narrow" w:hAnsi="Aptos Narrow"/>
          <w:sz w:val="22"/>
          <w:szCs w:val="22"/>
          <w:lang w:val="es-419"/>
        </w:rPr>
        <w:lastRenderedPageBreak/>
        <w:t>qué un mapa que solo vea el primero produce sorpresas. Conocimos la gobernanza policéntrica de Ostrom, útil tanto para describir lo que hay como para evaluarlo, y cuatro principios que permiten convertir intuiciones sobre lo social en criterios verificables.</w:t>
      </w:r>
    </w:p>
    <w:p w14:paraId="2AAB5990"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 xml:space="preserve">Pero noten que todo lo de hoy fue sobre el proceso: quién participa, bajo qué reglas, con qué canales. Nos falta una pregunta distinta </w:t>
      </w:r>
      <w:proofErr w:type="spellStart"/>
      <w:r w:rsidRPr="001F4259">
        <w:rPr>
          <w:rFonts w:ascii="Aptos Narrow" w:hAnsi="Aptos Narrow"/>
          <w:sz w:val="22"/>
          <w:szCs w:val="22"/>
          <w:lang w:val="es-419"/>
        </w:rPr>
        <w:t>y</w:t>
      </w:r>
      <w:proofErr w:type="spellEnd"/>
      <w:r w:rsidRPr="001F4259">
        <w:rPr>
          <w:rFonts w:ascii="Aptos Narrow" w:hAnsi="Aptos Narrow"/>
          <w:sz w:val="22"/>
          <w:szCs w:val="22"/>
          <w:lang w:val="es-419"/>
        </w:rPr>
        <w:t xml:space="preserve"> igual de importante, que es sobre el resultado. Aunque un proceso haya sido impecable, todavía cabe preguntar cómo se reparten los beneficios y los costos de la transición energética: quién pone el territorio y quién recibe la energía, quién asume los impactos y quién las utilidades.</w:t>
      </w:r>
    </w:p>
    <w:p w14:paraId="0A97BDFD" w14:textId="77777777" w:rsidR="001F4259" w:rsidRPr="001F4259" w:rsidRDefault="001F4259" w:rsidP="001F4259">
      <w:pPr>
        <w:spacing w:line="300" w:lineRule="auto"/>
        <w:jc w:val="both"/>
        <w:rPr>
          <w:rFonts w:ascii="Aptos Narrow" w:hAnsi="Aptos Narrow"/>
          <w:sz w:val="22"/>
          <w:szCs w:val="22"/>
          <w:lang w:val="es-419"/>
        </w:rPr>
      </w:pPr>
      <w:r w:rsidRPr="001F4259">
        <w:rPr>
          <w:rFonts w:ascii="Aptos Narrow" w:hAnsi="Aptos Narrow"/>
          <w:sz w:val="22"/>
          <w:szCs w:val="22"/>
          <w:lang w:val="es-419"/>
        </w:rPr>
        <w:t>Esa es la pregunta de la justicia energética, y es el tema de la próxima lección. Veremos que se descompone en tres dimensiones bien definidas, distributiva, procedimental y de reconocimiento, que nos permitirán analizar con precisión la pregunta que abrió la semana en el foro: ¿está siendo justa la transición energética colombiana? Nos vemos en la lección 6.3.</w:t>
      </w:r>
    </w:p>
    <w:p w14:paraId="7A6040C3" w14:textId="77777777" w:rsidR="001F4259" w:rsidRPr="001F4259" w:rsidRDefault="001F4259" w:rsidP="001F4259">
      <w:pPr>
        <w:pBdr>
          <w:top w:val="single" w:sz="6" w:space="6" w:color="CCCCCC"/>
        </w:pBdr>
        <w:spacing w:before="280" w:after="120"/>
        <w:rPr>
          <w:rFonts w:ascii="Aptos Narrow" w:hAnsi="Aptos Narrow"/>
          <w:sz w:val="22"/>
          <w:szCs w:val="22"/>
          <w:lang w:val="es-419"/>
        </w:rPr>
      </w:pPr>
      <w:r w:rsidRPr="001F4259">
        <w:rPr>
          <w:rFonts w:ascii="Aptos Narrow" w:hAnsi="Aptos Narrow"/>
          <w:b/>
          <w:bCs/>
          <w:color w:val="9C6500"/>
          <w:sz w:val="22"/>
          <w:szCs w:val="22"/>
          <w:lang w:val="es-419"/>
        </w:rPr>
        <w:t>Notas de contenido y verificación</w:t>
      </w:r>
    </w:p>
    <w:p w14:paraId="59A17F56" w14:textId="77777777" w:rsidR="001F4259" w:rsidRPr="001F4259" w:rsidRDefault="001F4259" w:rsidP="001F4259">
      <w:pPr>
        <w:spacing w:after="120"/>
        <w:rPr>
          <w:rFonts w:ascii="Aptos Narrow" w:hAnsi="Aptos Narrow"/>
          <w:sz w:val="22"/>
          <w:szCs w:val="22"/>
          <w:lang w:val="es-419"/>
        </w:rPr>
      </w:pPr>
      <w:r w:rsidRPr="001F4259">
        <w:rPr>
          <w:rFonts w:ascii="Aptos Narrow" w:hAnsi="Aptos Narrow"/>
          <w:i/>
          <w:iCs/>
          <w:color w:val="555555"/>
          <w:sz w:val="22"/>
          <w:szCs w:val="22"/>
          <w:lang w:val="es-419"/>
        </w:rPr>
        <w:t>La gobernanza policéntrica y los principios de diseño siguen a Ostrom (</w:t>
      </w:r>
      <w:proofErr w:type="spellStart"/>
      <w:r w:rsidRPr="001F4259">
        <w:rPr>
          <w:rFonts w:ascii="Aptos Narrow" w:hAnsi="Aptos Narrow"/>
          <w:i/>
          <w:iCs/>
          <w:color w:val="555555"/>
          <w:sz w:val="22"/>
          <w:szCs w:val="22"/>
          <w:lang w:val="es-419"/>
        </w:rPr>
        <w:t>Governing</w:t>
      </w:r>
      <w:proofErr w:type="spellEnd"/>
      <w:r w:rsidRPr="001F4259">
        <w:rPr>
          <w:rFonts w:ascii="Aptos Narrow" w:hAnsi="Aptos Narrow"/>
          <w:i/>
          <w:iCs/>
          <w:color w:val="555555"/>
          <w:sz w:val="22"/>
          <w:szCs w:val="22"/>
          <w:lang w:val="es-419"/>
        </w:rPr>
        <w:t xml:space="preserve"> </w:t>
      </w:r>
      <w:proofErr w:type="spellStart"/>
      <w:r w:rsidRPr="001F4259">
        <w:rPr>
          <w:rFonts w:ascii="Aptos Narrow" w:hAnsi="Aptos Narrow"/>
          <w:i/>
          <w:iCs/>
          <w:color w:val="555555"/>
          <w:sz w:val="22"/>
          <w:szCs w:val="22"/>
          <w:lang w:val="es-419"/>
        </w:rPr>
        <w:t>the</w:t>
      </w:r>
      <w:proofErr w:type="spellEnd"/>
      <w:r w:rsidRPr="001F4259">
        <w:rPr>
          <w:rFonts w:ascii="Aptos Narrow" w:hAnsi="Aptos Narrow"/>
          <w:i/>
          <w:iCs/>
          <w:color w:val="555555"/>
          <w:sz w:val="22"/>
          <w:szCs w:val="22"/>
          <w:lang w:val="es-419"/>
        </w:rPr>
        <w:t xml:space="preserve"> Commons, Cap. 1; y Ostrom 2010, gobernanza policéntrica), fuentes de la semana. Los principios se presentan de forma resumida y adaptada al caso; verificar el fraseo si se quiere citar la formulación original. El guion describe funciones institucionales de forma genérica (autoridad ambiental, regulador, ministerio, operador, autoridades propias) sin atribuir actuaciones concretas a entidades específicas; si se decide nombrar entidades y sus competencias exactas (CREG, ANLA, MME, XM, Ministerio del Interior), verificar el reparto vigente de competencias y el marco de consulta previa antes de grabar. El guion no emite juicio sobre el desempeño de ninguna entidad ni sobre el caso concreto: entrega criterios para que el estudiante lo evalúe con evidencia.</w:t>
      </w:r>
    </w:p>
    <w:p w14:paraId="1773CD0B" w14:textId="239EE1E2" w:rsidR="00075730" w:rsidRPr="002F249B" w:rsidRDefault="00075730" w:rsidP="004A2495">
      <w:pPr>
        <w:spacing w:after="60"/>
        <w:rPr>
          <w:rFonts w:ascii="Aptos Narrow" w:hAnsi="Aptos Narrow"/>
          <w:sz w:val="22"/>
          <w:szCs w:val="22"/>
          <w:lang w:val="es-419"/>
        </w:rPr>
      </w:pPr>
    </w:p>
    <w:p w14:paraId="353FCBD7" w14:textId="508DCAE7" w:rsidR="00C20D6B" w:rsidRPr="002B4E04" w:rsidRDefault="00C20D6B" w:rsidP="001951A0">
      <w:pPr>
        <w:spacing w:after="60"/>
        <w:rPr>
          <w:rFonts w:ascii="Aptos Narrow" w:hAnsi="Aptos Narrow"/>
          <w:sz w:val="22"/>
          <w:szCs w:val="22"/>
          <w:lang w:val="es-419"/>
        </w:rPr>
      </w:pPr>
    </w:p>
    <w:sectPr w:rsidR="00C20D6B" w:rsidRPr="002B4E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DD52" w14:textId="77777777" w:rsidR="00744AAA" w:rsidRDefault="00744AAA" w:rsidP="00DC6E4E">
      <w:pPr>
        <w:spacing w:after="0" w:line="240" w:lineRule="auto"/>
      </w:pPr>
      <w:r>
        <w:separator/>
      </w:r>
    </w:p>
  </w:endnote>
  <w:endnote w:type="continuationSeparator" w:id="0">
    <w:p w14:paraId="3080290B" w14:textId="77777777" w:rsidR="00744AAA" w:rsidRDefault="00744AAA"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AA49" w14:textId="77777777" w:rsidR="00744AAA" w:rsidRDefault="00744AAA" w:rsidP="00DC6E4E">
      <w:pPr>
        <w:spacing w:after="0" w:line="240" w:lineRule="auto"/>
      </w:pPr>
      <w:r>
        <w:separator/>
      </w:r>
    </w:p>
  </w:footnote>
  <w:footnote w:type="continuationSeparator" w:id="0">
    <w:p w14:paraId="1D095C07" w14:textId="77777777" w:rsidR="00744AAA" w:rsidRDefault="00744AAA"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92E37FB3-0E8F-47F8-A2D5-007C77C92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9388691F-9C84-4773-AA0C-387F2CBED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75730"/>
    <w:rsid w:val="00080A5D"/>
    <w:rsid w:val="000B0A24"/>
    <w:rsid w:val="000B724C"/>
    <w:rsid w:val="000D061B"/>
    <w:rsid w:val="000E645B"/>
    <w:rsid w:val="00114DF8"/>
    <w:rsid w:val="001221BC"/>
    <w:rsid w:val="00150753"/>
    <w:rsid w:val="00154C3B"/>
    <w:rsid w:val="00163F20"/>
    <w:rsid w:val="0016775D"/>
    <w:rsid w:val="00180B42"/>
    <w:rsid w:val="001844A9"/>
    <w:rsid w:val="001928AB"/>
    <w:rsid w:val="001951A0"/>
    <w:rsid w:val="00196827"/>
    <w:rsid w:val="001C0064"/>
    <w:rsid w:val="001D4C6D"/>
    <w:rsid w:val="001E1FE5"/>
    <w:rsid w:val="001F0BA5"/>
    <w:rsid w:val="001F4259"/>
    <w:rsid w:val="00214F5F"/>
    <w:rsid w:val="002338A3"/>
    <w:rsid w:val="00246D8F"/>
    <w:rsid w:val="002745D5"/>
    <w:rsid w:val="002B0F3E"/>
    <w:rsid w:val="002B1012"/>
    <w:rsid w:val="002B2F6D"/>
    <w:rsid w:val="002B4E04"/>
    <w:rsid w:val="002B54E7"/>
    <w:rsid w:val="002C1903"/>
    <w:rsid w:val="002D2D04"/>
    <w:rsid w:val="002D3CE9"/>
    <w:rsid w:val="002D532C"/>
    <w:rsid w:val="002F249B"/>
    <w:rsid w:val="002F6840"/>
    <w:rsid w:val="00326B8C"/>
    <w:rsid w:val="003349B1"/>
    <w:rsid w:val="003C4859"/>
    <w:rsid w:val="003E57AD"/>
    <w:rsid w:val="004060D2"/>
    <w:rsid w:val="00416939"/>
    <w:rsid w:val="00417B4D"/>
    <w:rsid w:val="00425546"/>
    <w:rsid w:val="00442043"/>
    <w:rsid w:val="0045781F"/>
    <w:rsid w:val="0046288E"/>
    <w:rsid w:val="004965DE"/>
    <w:rsid w:val="004A2495"/>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2C25"/>
    <w:rsid w:val="005D5078"/>
    <w:rsid w:val="005F08BA"/>
    <w:rsid w:val="006006AF"/>
    <w:rsid w:val="00623197"/>
    <w:rsid w:val="00636DF5"/>
    <w:rsid w:val="0065441E"/>
    <w:rsid w:val="00684053"/>
    <w:rsid w:val="00690DDB"/>
    <w:rsid w:val="006A2647"/>
    <w:rsid w:val="006A403D"/>
    <w:rsid w:val="006B3AAC"/>
    <w:rsid w:val="006C116D"/>
    <w:rsid w:val="006E4137"/>
    <w:rsid w:val="00723ADE"/>
    <w:rsid w:val="00724EB6"/>
    <w:rsid w:val="0073061D"/>
    <w:rsid w:val="00744AAA"/>
    <w:rsid w:val="00745760"/>
    <w:rsid w:val="007722A8"/>
    <w:rsid w:val="00774065"/>
    <w:rsid w:val="007A2DBC"/>
    <w:rsid w:val="007A50B4"/>
    <w:rsid w:val="007D3681"/>
    <w:rsid w:val="007D5182"/>
    <w:rsid w:val="007E46B6"/>
    <w:rsid w:val="00812C9A"/>
    <w:rsid w:val="0082442A"/>
    <w:rsid w:val="00824BC0"/>
    <w:rsid w:val="008362DB"/>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14C8"/>
    <w:rsid w:val="0094593B"/>
    <w:rsid w:val="00946A01"/>
    <w:rsid w:val="009572D0"/>
    <w:rsid w:val="00961FA9"/>
    <w:rsid w:val="009668D6"/>
    <w:rsid w:val="009822F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A49CB"/>
    <w:rsid w:val="00BB53F1"/>
    <w:rsid w:val="00BC56C4"/>
    <w:rsid w:val="00BE20D6"/>
    <w:rsid w:val="00BF33B7"/>
    <w:rsid w:val="00C013DA"/>
    <w:rsid w:val="00C04428"/>
    <w:rsid w:val="00C04E34"/>
    <w:rsid w:val="00C20D6B"/>
    <w:rsid w:val="00C2173C"/>
    <w:rsid w:val="00C25715"/>
    <w:rsid w:val="00C25FFB"/>
    <w:rsid w:val="00C4053D"/>
    <w:rsid w:val="00C52CFD"/>
    <w:rsid w:val="00C619BC"/>
    <w:rsid w:val="00C62362"/>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66287"/>
    <w:rsid w:val="00E85D03"/>
    <w:rsid w:val="00EA748F"/>
    <w:rsid w:val="00EB7720"/>
    <w:rsid w:val="00EC2C26"/>
    <w:rsid w:val="00ED1361"/>
    <w:rsid w:val="00ED2F36"/>
    <w:rsid w:val="00ED389A"/>
    <w:rsid w:val="00EE7087"/>
    <w:rsid w:val="00F04A82"/>
    <w:rsid w:val="00F07D53"/>
    <w:rsid w:val="00F2295E"/>
    <w:rsid w:val="00F35346"/>
    <w:rsid w:val="00F802ED"/>
    <w:rsid w:val="00F86456"/>
    <w:rsid w:val="00F87ED4"/>
    <w:rsid w:val="00F96F68"/>
    <w:rsid w:val="00FB5012"/>
    <w:rsid w:val="00FD13F6"/>
    <w:rsid w:val="00FD1ACF"/>
    <w:rsid w:val="00FD309D"/>
    <w:rsid w:val="00FD452B"/>
    <w:rsid w:val="00FE554A"/>
    <w:rsid w:val="00FF4464"/>
    <w:rsid w:val="00FF683A"/>
    <w:rsid w:val="1C84C21F"/>
    <w:rsid w:val="2AA860A7"/>
    <w:rsid w:val="31DDDF15"/>
    <w:rsid w:val="32259A76"/>
    <w:rsid w:val="36E2781D"/>
    <w:rsid w:val="407DCF26"/>
    <w:rsid w:val="5014D130"/>
    <w:rsid w:val="592C80BC"/>
    <w:rsid w:val="60513B82"/>
    <w:rsid w:val="656692A6"/>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7</cp:revision>
  <cp:lastPrinted>2026-05-29T12:52:00Z</cp:lastPrinted>
  <dcterms:created xsi:type="dcterms:W3CDTF">2026-07-20T00:12:00Z</dcterms:created>
  <dcterms:modified xsi:type="dcterms:W3CDTF">2026-07-20T00:14:00Z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