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83D0" w14:textId="609C470A" w:rsidR="006A2647" w:rsidRPr="00DB274C" w:rsidRDefault="00E325F2" w:rsidP="00214F5F">
      <w:pPr>
        <w:pStyle w:val="Heading1"/>
        <w:jc w:val="center"/>
        <w:rPr>
          <w:rFonts w:ascii="Aptos Narrow" w:hAnsi="Aptos Narrow"/>
          <w:b/>
          <w:bCs/>
          <w:lang w:val="es-419"/>
        </w:rPr>
      </w:pPr>
      <w:bookmarkStart w:id="0" w:name="_Toc228135348"/>
      <w:r w:rsidRPr="32259A76">
        <w:rPr>
          <w:rFonts w:ascii="Aptos Narrow" w:hAnsi="Aptos Narrow"/>
          <w:b/>
          <w:bCs/>
          <w:lang w:val="es-419"/>
        </w:rPr>
        <w:t>SCRIPT</w:t>
      </w:r>
      <w:r w:rsidR="00CA7B83" w:rsidRPr="32259A76">
        <w:rPr>
          <w:rFonts w:ascii="Aptos Narrow" w:hAnsi="Aptos Narrow"/>
          <w:b/>
          <w:bCs/>
          <w:lang w:val="es-419"/>
        </w:rPr>
        <w:t xml:space="preserve"> SUGERIDO</w:t>
      </w:r>
      <w:bookmarkEnd w:id="0"/>
    </w:p>
    <w:p w14:paraId="684DCEE4" w14:textId="0BF315C2" w:rsidR="60513B82" w:rsidRPr="00745760" w:rsidRDefault="60513B82" w:rsidP="32259A76">
      <w:pPr>
        <w:pStyle w:val="Heading2"/>
        <w:jc w:val="both"/>
        <w:rPr>
          <w:rFonts w:ascii="Aptos Narrow" w:eastAsia="Aptos Narrow" w:hAnsi="Aptos Narrow" w:cs="Aptos Narrow"/>
          <w:sz w:val="22"/>
          <w:szCs w:val="22"/>
          <w:lang w:val="es-419"/>
        </w:rPr>
      </w:pPr>
      <w:r w:rsidRPr="32259A76">
        <w:rPr>
          <w:rFonts w:ascii="Aptos Narrow" w:eastAsia="Aptos Narrow" w:hAnsi="Aptos Narrow" w:cs="Aptos Narrow"/>
          <w:sz w:val="22"/>
          <w:szCs w:val="22"/>
        </w:rPr>
        <w:t>SEMANA 6: Integración — Análisis Sistémico Completo con Dimensión de Gobernanza</w:t>
      </w:r>
    </w:p>
    <w:p w14:paraId="7A805233" w14:textId="2B186A80" w:rsidR="60513B82" w:rsidRPr="00ED2F36" w:rsidRDefault="60513B82" w:rsidP="32259A76">
      <w:pPr>
        <w:spacing w:after="80"/>
        <w:jc w:val="both"/>
        <w:rPr>
          <w:rFonts w:ascii="Aptos Narrow" w:eastAsia="Aptos Narrow" w:hAnsi="Aptos Narrow" w:cs="Aptos Narrow"/>
          <w:color w:val="B85042"/>
          <w:sz w:val="22"/>
          <w:szCs w:val="22"/>
          <w:lang w:val="es-419"/>
        </w:rPr>
      </w:pPr>
      <w:r w:rsidRPr="32259A76">
        <w:rPr>
          <w:rFonts w:ascii="Aptos Narrow" w:eastAsia="Aptos Narrow" w:hAnsi="Aptos Narrow" w:cs="Aptos Narrow"/>
          <w:i/>
          <w:iCs/>
          <w:color w:val="B85042"/>
          <w:sz w:val="22"/>
          <w:szCs w:val="22"/>
          <w:lang w:val="es-CO"/>
        </w:rPr>
        <w:t>Caso ancla: Proyecto eólico en La Guajira — comunidades Wayuu, consulta previa y licencia social</w:t>
      </w:r>
    </w:p>
    <w:p w14:paraId="02BD9F54" w14:textId="61EF0986" w:rsidR="60513B82" w:rsidRPr="00ED2F36" w:rsidRDefault="60513B82" w:rsidP="32259A76">
      <w:pPr>
        <w:pBdr>
          <w:bottom w:val="single" w:sz="8" w:space="6" w:color="1E2761"/>
        </w:pBdr>
        <w:spacing w:after="120"/>
        <w:jc w:val="both"/>
        <w:rPr>
          <w:rFonts w:ascii="Aptos Narrow" w:eastAsia="Aptos Narrow" w:hAnsi="Aptos Narrow" w:cs="Aptos Narrow"/>
          <w:color w:val="000000" w:themeColor="text1"/>
          <w:sz w:val="22"/>
          <w:szCs w:val="22"/>
          <w:lang w:val="es-419"/>
        </w:rPr>
      </w:pPr>
      <w:r w:rsidRPr="32259A76">
        <w:rPr>
          <w:rFonts w:ascii="Aptos Narrow" w:eastAsia="Aptos Narrow" w:hAnsi="Aptos Narrow" w:cs="Aptos Narrow"/>
          <w:b/>
          <w:bCs/>
          <w:color w:val="1E2761"/>
          <w:sz w:val="22"/>
          <w:szCs w:val="22"/>
          <w:lang w:val="es-CO"/>
        </w:rPr>
        <w:t xml:space="preserve">Resultados de Aprendizaje verificados: </w:t>
      </w:r>
      <w:r w:rsidRPr="32259A76">
        <w:rPr>
          <w:rFonts w:ascii="Aptos Narrow" w:eastAsia="Aptos Narrow" w:hAnsi="Aptos Narrow" w:cs="Aptos Narrow"/>
          <w:color w:val="000000" w:themeColor="text1"/>
          <w:sz w:val="22"/>
          <w:szCs w:val="22"/>
          <w:lang w:val="es-CO"/>
        </w:rPr>
        <w:t xml:space="preserve">RAC 4 (alto) · RAC 1, 2, 3 (alto: </w:t>
      </w:r>
      <w:proofErr w:type="gramStart"/>
      <w:r w:rsidRPr="32259A76">
        <w:rPr>
          <w:rFonts w:ascii="Aptos Narrow" w:eastAsia="Aptos Narrow" w:hAnsi="Aptos Narrow" w:cs="Aptos Narrow"/>
          <w:color w:val="000000" w:themeColor="text1"/>
          <w:sz w:val="22"/>
          <w:szCs w:val="22"/>
          <w:lang w:val="es-CO"/>
        </w:rPr>
        <w:t>integración)</w:t>
      </w:r>
      <w:r w:rsidRPr="32259A76">
        <w:rPr>
          <w:rFonts w:ascii="Aptos Narrow" w:eastAsia="Aptos Narrow" w:hAnsi="Aptos Narrow" w:cs="Aptos Narrow"/>
          <w:color w:val="5C6478"/>
          <w:sz w:val="22"/>
          <w:szCs w:val="22"/>
          <w:lang w:val="es-CO"/>
        </w:rPr>
        <w:t xml:space="preserve">  ·</w:t>
      </w:r>
      <w:proofErr w:type="gramEnd"/>
      <w:r w:rsidRPr="32259A76">
        <w:rPr>
          <w:rFonts w:ascii="Aptos Narrow" w:eastAsia="Aptos Narrow" w:hAnsi="Aptos Narrow" w:cs="Aptos Narrow"/>
          <w:color w:val="5C6478"/>
          <w:sz w:val="22"/>
          <w:szCs w:val="22"/>
          <w:lang w:val="es-CO"/>
        </w:rPr>
        <w:t xml:space="preserve">  </w:t>
      </w:r>
      <w:r w:rsidRPr="32259A76">
        <w:rPr>
          <w:rFonts w:ascii="Aptos Narrow" w:eastAsia="Aptos Narrow" w:hAnsi="Aptos Narrow" w:cs="Aptos Narrow"/>
          <w:b/>
          <w:bCs/>
          <w:color w:val="1E2761"/>
          <w:sz w:val="22"/>
          <w:szCs w:val="22"/>
          <w:lang w:val="es-CO"/>
        </w:rPr>
        <w:t xml:space="preserve">RA del programa: </w:t>
      </w:r>
      <w:r w:rsidRPr="32259A76">
        <w:rPr>
          <w:rFonts w:ascii="Aptos Narrow" w:eastAsia="Aptos Narrow" w:hAnsi="Aptos Narrow" w:cs="Aptos Narrow"/>
          <w:color w:val="000000" w:themeColor="text1"/>
          <w:sz w:val="22"/>
          <w:szCs w:val="22"/>
          <w:lang w:val="es-CO"/>
        </w:rPr>
        <w:t>RA1.5, RA2.5, RA3.5, RA4, RA-Ética, RA-Comunicación</w:t>
      </w:r>
    </w:p>
    <w:p w14:paraId="5C42D289" w14:textId="7F0F5652" w:rsidR="60513B82" w:rsidRPr="005D2C25" w:rsidRDefault="60513B82" w:rsidP="32259A76">
      <w:pPr>
        <w:spacing w:before="60" w:after="60" w:line="300" w:lineRule="auto"/>
        <w:jc w:val="both"/>
        <w:rPr>
          <w:rFonts w:ascii="Aptos Narrow" w:eastAsia="Aptos Narrow" w:hAnsi="Aptos Narrow" w:cs="Aptos Narrow"/>
          <w:color w:val="000000" w:themeColor="text1"/>
          <w:sz w:val="22"/>
          <w:szCs w:val="22"/>
          <w:lang w:val="es-419"/>
        </w:rPr>
      </w:pPr>
      <w:r w:rsidRPr="32259A76">
        <w:rPr>
          <w:rFonts w:ascii="Aptos Narrow" w:eastAsia="Aptos Narrow" w:hAnsi="Aptos Narrow" w:cs="Aptos Narrow"/>
          <w:color w:val="000000" w:themeColor="text1"/>
          <w:sz w:val="22"/>
          <w:szCs w:val="22"/>
          <w:lang w:val="es-CO"/>
        </w:rPr>
        <w:t xml:space="preserve">Semana integradora que demuestra cómo combinar todas las herramientas del curso (complejidad, redes y dinámica de sistemas) con la dimensión que los modelos cuantitativos no capturan: actores con intereses en conflicto, gobernanza policéntrica, justicia energética y consulta previa. En Colombia, la licencia social es tan determinante para la viabilidad de un proyecto como su TIR financiera. Así, como complemento al análisis económico, el estudiante analiza el caso </w:t>
      </w:r>
      <w:proofErr w:type="spellStart"/>
      <w:r w:rsidRPr="32259A76">
        <w:rPr>
          <w:rFonts w:ascii="Aptos Narrow" w:eastAsia="Aptos Narrow" w:hAnsi="Aptos Narrow" w:cs="Aptos Narrow"/>
          <w:color w:val="000000" w:themeColor="text1"/>
          <w:sz w:val="22"/>
          <w:szCs w:val="22"/>
          <w:lang w:val="es-CO"/>
        </w:rPr>
        <w:t>Windpeshi</w:t>
      </w:r>
      <w:proofErr w:type="spellEnd"/>
      <w:r w:rsidRPr="32259A76">
        <w:rPr>
          <w:rFonts w:ascii="Aptos Narrow" w:eastAsia="Aptos Narrow" w:hAnsi="Aptos Narrow" w:cs="Aptos Narrow"/>
          <w:color w:val="000000" w:themeColor="text1"/>
          <w:sz w:val="22"/>
          <w:szCs w:val="22"/>
          <w:lang w:val="es-CO"/>
        </w:rPr>
        <w:t xml:space="preserve"> desde cuatro capas complementarias (estructura física, dinámica de mercado, red de actores, gobernanza) y produce un informe de consultoría sistémica integrado que sirve como "ensayo general" del proyecto final. La sesión sincrónica incluye una actividad experiencial breve de negociación </w:t>
      </w:r>
      <w:proofErr w:type="spellStart"/>
      <w:r w:rsidRPr="32259A76">
        <w:rPr>
          <w:rFonts w:ascii="Aptos Narrow" w:eastAsia="Aptos Narrow" w:hAnsi="Aptos Narrow" w:cs="Aptos Narrow"/>
          <w:color w:val="000000" w:themeColor="text1"/>
          <w:sz w:val="22"/>
          <w:szCs w:val="22"/>
          <w:lang w:val="es-CO"/>
        </w:rPr>
        <w:t>multi-actor</w:t>
      </w:r>
      <w:proofErr w:type="spellEnd"/>
      <w:r w:rsidRPr="32259A76">
        <w:rPr>
          <w:rFonts w:ascii="Aptos Narrow" w:eastAsia="Aptos Narrow" w:hAnsi="Aptos Narrow" w:cs="Aptos Narrow"/>
          <w:color w:val="000000" w:themeColor="text1"/>
          <w:sz w:val="22"/>
          <w:szCs w:val="22"/>
          <w:lang w:val="es-CO"/>
        </w:rPr>
        <w:t>.</w:t>
      </w:r>
    </w:p>
    <w:p w14:paraId="3DA5A7DB" w14:textId="5D26B2F0" w:rsidR="004A2836" w:rsidRPr="00DB274C" w:rsidRDefault="00684053" w:rsidP="00724EB6">
      <w:pPr>
        <w:spacing w:before="200" w:after="100"/>
        <w:rPr>
          <w:rFonts w:ascii="Aptos Narrow" w:hAnsi="Aptos Narrow"/>
          <w:b/>
          <w:bCs/>
          <w:color w:val="065A82"/>
          <w:sz w:val="22"/>
          <w:szCs w:val="22"/>
          <w:lang w:val="es-419"/>
        </w:rPr>
      </w:pPr>
      <w:r w:rsidRPr="00DB274C">
        <w:rPr>
          <w:rFonts w:ascii="Aptos Narrow" w:hAnsi="Aptos Narrow"/>
          <w:b/>
          <w:bCs/>
          <w:color w:val="065A82"/>
          <w:sz w:val="22"/>
          <w:szCs w:val="22"/>
          <w:lang w:val="es-419"/>
        </w:rPr>
        <w:t xml:space="preserve">Bloque Autónomo — 10 horas (secuencia Mo → Co → Pr → </w:t>
      </w:r>
      <w:proofErr w:type="spellStart"/>
      <w:r w:rsidRPr="00DB274C">
        <w:rPr>
          <w:rFonts w:ascii="Aptos Narrow" w:hAnsi="Aptos Narrow"/>
          <w:b/>
          <w:bCs/>
          <w:color w:val="065A82"/>
          <w:sz w:val="22"/>
          <w:szCs w:val="22"/>
          <w:lang w:val="es-419"/>
        </w:rPr>
        <w:t>Ev</w:t>
      </w:r>
      <w:proofErr w:type="spellEnd"/>
      <w:r w:rsidRPr="00DB274C">
        <w:rPr>
          <w:rFonts w:ascii="Aptos Narrow" w:hAnsi="Aptos Narrow"/>
          <w:b/>
          <w:bCs/>
          <w:color w:val="065A82"/>
          <w:sz w:val="22"/>
          <w:szCs w:val="22"/>
          <w:lang w:val="es-419"/>
        </w:rPr>
        <w:t xml:space="preserve"> → </w:t>
      </w:r>
      <w:proofErr w:type="spellStart"/>
      <w:r w:rsidRPr="00DB274C">
        <w:rPr>
          <w:rFonts w:ascii="Aptos Narrow" w:hAnsi="Aptos Narrow"/>
          <w:b/>
          <w:bCs/>
          <w:color w:val="065A82"/>
          <w:sz w:val="22"/>
          <w:szCs w:val="22"/>
          <w:lang w:val="es-419"/>
        </w:rPr>
        <w:t>Proy</w:t>
      </w:r>
      <w:proofErr w:type="spellEnd"/>
      <w:r w:rsidRPr="00DB274C">
        <w:rPr>
          <w:rFonts w:ascii="Aptos Narrow" w:hAnsi="Aptos Narrow"/>
          <w:b/>
          <w:bCs/>
          <w:color w:val="065A82"/>
          <w:sz w:val="22"/>
          <w:szCs w:val="22"/>
          <w:lang w:val="es-419"/>
        </w:rPr>
        <w:t>)</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2"/>
        <w:gridCol w:w="1492"/>
        <w:gridCol w:w="7076"/>
      </w:tblGrid>
      <w:tr w:rsidR="00724EB6" w:rsidRPr="00DB274C" w14:paraId="74BA0B68" w14:textId="77777777" w:rsidTr="32259A76">
        <w:trPr>
          <w:tblHeader/>
        </w:trPr>
        <w:tc>
          <w:tcPr>
            <w:tcW w:w="66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17255C3F" w14:textId="0D38FFF0" w:rsidR="00724EB6" w:rsidRPr="00DB274C" w:rsidRDefault="00724EB6" w:rsidP="00724EB6">
            <w:pPr>
              <w:jc w:val="center"/>
              <w:rPr>
                <w:rFonts w:ascii="Aptos Narrow" w:hAnsi="Aptos Narrow"/>
                <w:sz w:val="22"/>
                <w:szCs w:val="22"/>
              </w:rPr>
            </w:pPr>
            <w:proofErr w:type="spellStart"/>
            <w:r w:rsidRPr="00DB274C">
              <w:rPr>
                <w:rFonts w:ascii="Aptos Narrow" w:hAnsi="Aptos Narrow"/>
                <w:b/>
                <w:bCs/>
                <w:color w:val="FFFFFF"/>
                <w:sz w:val="22"/>
                <w:szCs w:val="22"/>
              </w:rPr>
              <w:t>Cód</w:t>
            </w:r>
            <w:proofErr w:type="spellEnd"/>
            <w:r w:rsidRPr="00DB274C">
              <w:rPr>
                <w:rFonts w:ascii="Aptos Narrow" w:hAnsi="Aptos Narrow"/>
                <w:b/>
                <w:bCs/>
                <w:color w:val="FFFFFF"/>
                <w:sz w:val="22"/>
                <w:szCs w:val="22"/>
              </w:rPr>
              <w:t>.</w:t>
            </w:r>
          </w:p>
        </w:tc>
        <w:tc>
          <w:tcPr>
            <w:tcW w:w="149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0F508EA4" w14:textId="6BD6E725" w:rsidR="00724EB6" w:rsidRPr="00DB274C" w:rsidRDefault="00724EB6" w:rsidP="00724EB6">
            <w:pPr>
              <w:jc w:val="center"/>
              <w:rPr>
                <w:rFonts w:ascii="Aptos Narrow" w:hAnsi="Aptos Narrow"/>
                <w:b/>
                <w:bCs/>
                <w:sz w:val="22"/>
                <w:szCs w:val="22"/>
              </w:rPr>
            </w:pPr>
            <w:proofErr w:type="spellStart"/>
            <w:r w:rsidRPr="00DB274C">
              <w:rPr>
                <w:rFonts w:ascii="Aptos Narrow" w:hAnsi="Aptos Narrow"/>
                <w:b/>
                <w:bCs/>
                <w:sz w:val="22"/>
                <w:szCs w:val="22"/>
              </w:rPr>
              <w:t>Momento</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207CF46F" w14:textId="5A71FBA9" w:rsidR="00724EB6" w:rsidRPr="00DB274C" w:rsidRDefault="00724EB6" w:rsidP="00724EB6">
            <w:pPr>
              <w:jc w:val="center"/>
              <w:rPr>
                <w:rFonts w:ascii="Aptos Narrow" w:hAnsi="Aptos Narrow"/>
                <w:sz w:val="22"/>
                <w:szCs w:val="22"/>
                <w:lang w:val="es-419"/>
              </w:rPr>
            </w:pPr>
            <w:r w:rsidRPr="00DB274C">
              <w:rPr>
                <w:rFonts w:ascii="Aptos Narrow" w:hAnsi="Aptos Narrow"/>
                <w:b/>
                <w:bCs/>
                <w:color w:val="FFFFFF"/>
                <w:sz w:val="22"/>
                <w:szCs w:val="22"/>
                <w:lang w:val="es-419"/>
              </w:rPr>
              <w:t>Descripción</w:t>
            </w:r>
          </w:p>
        </w:tc>
      </w:tr>
      <w:tr w:rsidR="004F6622" w:rsidRPr="00FD452B" w14:paraId="48B2D932" w14:textId="77777777" w:rsidTr="32259A76">
        <w:tc>
          <w:tcPr>
            <w:tcW w:w="662" w:type="dxa"/>
            <w:tcBorders>
              <w:top w:val="single" w:sz="4" w:space="0" w:color="B0B8C9"/>
              <w:left w:val="single" w:sz="4" w:space="0" w:color="B0B8C9"/>
              <w:bottom w:val="single" w:sz="4" w:space="0" w:color="B0B8C9"/>
              <w:right w:val="single" w:sz="4" w:space="0" w:color="B0B8C9"/>
            </w:tcBorders>
            <w:shd w:val="clear" w:color="auto" w:fill="BBDEFB"/>
            <w:tcMar>
              <w:top w:w="80" w:type="dxa"/>
              <w:left w:w="120" w:type="dxa"/>
              <w:bottom w:w="80" w:type="dxa"/>
              <w:right w:w="120" w:type="dxa"/>
            </w:tcMar>
            <w:vAlign w:val="center"/>
          </w:tcPr>
          <w:p w14:paraId="507C7F15" w14:textId="7AAD914C" w:rsidR="004F6622" w:rsidRPr="00DB274C" w:rsidRDefault="004F6622" w:rsidP="004F6622">
            <w:pPr>
              <w:spacing w:after="0"/>
              <w:jc w:val="center"/>
              <w:rPr>
                <w:rFonts w:ascii="Aptos Narrow" w:hAnsi="Aptos Narrow"/>
                <w:sz w:val="20"/>
                <w:szCs w:val="20"/>
              </w:rPr>
            </w:pPr>
            <w:r w:rsidRPr="00DB274C">
              <w:rPr>
                <w:rFonts w:ascii="Aptos Narrow" w:hAnsi="Aptos Narrow"/>
                <w:b/>
                <w:bCs/>
                <w:color w:val="1E2761"/>
                <w:sz w:val="20"/>
                <w:szCs w:val="20"/>
              </w:rPr>
              <w:t>Co</w:t>
            </w:r>
          </w:p>
        </w:tc>
        <w:tc>
          <w:tcPr>
            <w:tcW w:w="1492"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532418CD" w14:textId="377268DC" w:rsidR="004F6622" w:rsidRPr="00DB274C" w:rsidRDefault="004F6622" w:rsidP="004F6622">
            <w:pPr>
              <w:spacing w:after="0"/>
              <w:jc w:val="center"/>
              <w:rPr>
                <w:rFonts w:ascii="Aptos Narrow" w:hAnsi="Aptos Narrow"/>
                <w:sz w:val="20"/>
                <w:szCs w:val="20"/>
              </w:rPr>
            </w:pPr>
            <w:proofErr w:type="spellStart"/>
            <w:r w:rsidRPr="00DB274C">
              <w:rPr>
                <w:rFonts w:ascii="Aptos Narrow" w:hAnsi="Aptos Narrow"/>
                <w:b/>
                <w:bCs/>
                <w:color w:val="1E2761"/>
                <w:sz w:val="20"/>
                <w:szCs w:val="20"/>
              </w:rPr>
              <w:t>Contenidos</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337922C5" w14:textId="0B926936" w:rsidR="32259A76" w:rsidRDefault="32259A76" w:rsidP="32259A76">
            <w:pPr>
              <w:spacing w:after="40"/>
              <w:jc w:val="both"/>
              <w:rPr>
                <w:rFonts w:ascii="Aptos Narrow" w:eastAsia="Aptos Narrow" w:hAnsi="Aptos Narrow" w:cs="Aptos Narrow"/>
                <w:color w:val="000000" w:themeColor="text1"/>
                <w:sz w:val="20"/>
                <w:szCs w:val="20"/>
                <w:lang w:val="es-CO"/>
              </w:rPr>
            </w:pPr>
            <w:r w:rsidRPr="32259A76">
              <w:rPr>
                <w:rFonts w:ascii="Aptos Narrow" w:eastAsia="Aptos Narrow" w:hAnsi="Aptos Narrow" w:cs="Aptos Narrow"/>
                <w:color w:val="000000" w:themeColor="text1"/>
                <w:sz w:val="20"/>
                <w:szCs w:val="20"/>
                <w:lang w:val="es-CO"/>
              </w:rPr>
              <w:t>Video-lecciones 6.1–6.4 (47 min): integración redes + dinámica (</w:t>
            </w:r>
            <w:proofErr w:type="spellStart"/>
            <w:r w:rsidRPr="32259A76">
              <w:rPr>
                <w:rFonts w:ascii="Aptos Narrow" w:eastAsia="Aptos Narrow" w:hAnsi="Aptos Narrow" w:cs="Aptos Narrow"/>
                <w:color w:val="000000" w:themeColor="text1"/>
                <w:sz w:val="20"/>
                <w:szCs w:val="20"/>
                <w:lang w:val="es-CO"/>
              </w:rPr>
              <w:t>framework</w:t>
            </w:r>
            <w:proofErr w:type="spellEnd"/>
            <w:r w:rsidRPr="32259A76">
              <w:rPr>
                <w:rFonts w:ascii="Aptos Narrow" w:eastAsia="Aptos Narrow" w:hAnsi="Aptos Narrow" w:cs="Aptos Narrow"/>
                <w:color w:val="000000" w:themeColor="text1"/>
                <w:sz w:val="20"/>
                <w:szCs w:val="20"/>
                <w:lang w:val="es-CO"/>
              </w:rPr>
              <w:t xml:space="preserve"> </w:t>
            </w:r>
            <w:proofErr w:type="spellStart"/>
            <w:r w:rsidRPr="32259A76">
              <w:rPr>
                <w:rFonts w:ascii="Aptos Narrow" w:eastAsia="Aptos Narrow" w:hAnsi="Aptos Narrow" w:cs="Aptos Narrow"/>
                <w:color w:val="000000" w:themeColor="text1"/>
                <w:sz w:val="20"/>
                <w:szCs w:val="20"/>
                <w:lang w:val="es-CO"/>
              </w:rPr>
              <w:t>multi-capa</w:t>
            </w:r>
            <w:proofErr w:type="spellEnd"/>
            <w:r w:rsidRPr="32259A76">
              <w:rPr>
                <w:rFonts w:ascii="Aptos Narrow" w:eastAsia="Aptos Narrow" w:hAnsi="Aptos Narrow" w:cs="Aptos Narrow"/>
                <w:color w:val="000000" w:themeColor="text1"/>
                <w:sz w:val="20"/>
                <w:szCs w:val="20"/>
                <w:lang w:val="es-CO"/>
              </w:rPr>
              <w:t xml:space="preserve">); el proyecto energético como sistema </w:t>
            </w:r>
            <w:proofErr w:type="gramStart"/>
            <w:r w:rsidRPr="32259A76">
              <w:rPr>
                <w:rFonts w:ascii="Aptos Narrow" w:eastAsia="Aptos Narrow" w:hAnsi="Aptos Narrow" w:cs="Aptos Narrow"/>
                <w:color w:val="000000" w:themeColor="text1"/>
                <w:sz w:val="20"/>
                <w:szCs w:val="20"/>
                <w:lang w:val="es-CO"/>
              </w:rPr>
              <w:t>socio-técnico</w:t>
            </w:r>
            <w:proofErr w:type="gramEnd"/>
            <w:r w:rsidRPr="32259A76">
              <w:rPr>
                <w:rFonts w:ascii="Aptos Narrow" w:eastAsia="Aptos Narrow" w:hAnsi="Aptos Narrow" w:cs="Aptos Narrow"/>
                <w:color w:val="000000" w:themeColor="text1"/>
                <w:sz w:val="20"/>
                <w:szCs w:val="20"/>
                <w:lang w:val="es-CO"/>
              </w:rPr>
              <w:t xml:space="preserve">-ambiental; gobernanza policéntrica de Ostrom aplicada a Colombia; las 3 dimensiones de justicia energética de </w:t>
            </w:r>
            <w:proofErr w:type="spellStart"/>
            <w:r w:rsidRPr="32259A76">
              <w:rPr>
                <w:rFonts w:ascii="Aptos Narrow" w:eastAsia="Aptos Narrow" w:hAnsi="Aptos Narrow" w:cs="Aptos Narrow"/>
                <w:color w:val="000000" w:themeColor="text1"/>
                <w:sz w:val="20"/>
                <w:szCs w:val="20"/>
                <w:lang w:val="es-CO"/>
              </w:rPr>
              <w:t>Sovacool</w:t>
            </w:r>
            <w:proofErr w:type="spellEnd"/>
            <w:r w:rsidRPr="32259A76">
              <w:rPr>
                <w:rFonts w:ascii="Aptos Narrow" w:eastAsia="Aptos Narrow" w:hAnsi="Aptos Narrow" w:cs="Aptos Narrow"/>
                <w:color w:val="000000" w:themeColor="text1"/>
                <w:sz w:val="20"/>
                <w:szCs w:val="20"/>
                <w:lang w:val="es-CO"/>
              </w:rPr>
              <w:t xml:space="preserve"> (distributiva, procedimental, de reconocimiento); comunicación de complejidad a audiencias no técnicas. Lectura: Ostrom Cap. 1; Informe Contraloría sobre FNCER en La Guajira; </w:t>
            </w:r>
            <w:proofErr w:type="spellStart"/>
            <w:r w:rsidRPr="32259A76">
              <w:rPr>
                <w:rFonts w:ascii="Aptos Narrow" w:eastAsia="Aptos Narrow" w:hAnsi="Aptos Narrow" w:cs="Aptos Narrow"/>
                <w:color w:val="000000" w:themeColor="text1"/>
                <w:sz w:val="20"/>
                <w:szCs w:val="20"/>
                <w:lang w:val="es-CO"/>
              </w:rPr>
              <w:t>Sovacool</w:t>
            </w:r>
            <w:proofErr w:type="spellEnd"/>
            <w:r w:rsidRPr="32259A76">
              <w:rPr>
                <w:rFonts w:ascii="Aptos Narrow" w:eastAsia="Aptos Narrow" w:hAnsi="Aptos Narrow" w:cs="Aptos Narrow"/>
                <w:color w:val="000000" w:themeColor="text1"/>
                <w:sz w:val="20"/>
                <w:szCs w:val="20"/>
                <w:lang w:val="es-CO"/>
              </w:rPr>
              <w:t xml:space="preserve"> et al. (2017).</w:t>
            </w:r>
          </w:p>
        </w:tc>
      </w:tr>
    </w:tbl>
    <w:p w14:paraId="3F81575C" w14:textId="77777777" w:rsidR="00724EB6" w:rsidRPr="00DB274C" w:rsidRDefault="00724EB6" w:rsidP="006A2647">
      <w:pPr>
        <w:pStyle w:val="Heading2"/>
        <w:rPr>
          <w:rFonts w:ascii="Aptos Narrow" w:hAnsi="Aptos Narrow"/>
          <w:sz w:val="22"/>
          <w:szCs w:val="22"/>
        </w:rPr>
      </w:pPr>
    </w:p>
    <w:p w14:paraId="29CA0D02" w14:textId="77777777" w:rsidR="00724EB6" w:rsidRPr="00DB274C" w:rsidRDefault="00724EB6">
      <w:pPr>
        <w:rPr>
          <w:rFonts w:ascii="Aptos Narrow" w:eastAsia="Calibri" w:hAnsi="Aptos Narrow" w:cs="Calibri"/>
          <w:b/>
          <w:bCs/>
          <w:color w:val="065A82"/>
          <w:sz w:val="22"/>
          <w:szCs w:val="22"/>
          <w:lang w:val="es-CO" w:eastAsia="es-MX"/>
        </w:rPr>
      </w:pPr>
      <w:r w:rsidRPr="00DB274C">
        <w:rPr>
          <w:rFonts w:ascii="Aptos Narrow" w:hAnsi="Aptos Narrow"/>
          <w:sz w:val="22"/>
          <w:szCs w:val="22"/>
          <w:lang w:val="es-419"/>
        </w:rPr>
        <w:br w:type="page"/>
      </w:r>
    </w:p>
    <w:p w14:paraId="31A0717A" w14:textId="777663C2" w:rsidR="006A2647" w:rsidRPr="00DB274C" w:rsidRDefault="006A2647" w:rsidP="006A2647">
      <w:pPr>
        <w:pStyle w:val="Heading2"/>
        <w:rPr>
          <w:rFonts w:ascii="Aptos Narrow" w:hAnsi="Aptos Narrow"/>
          <w:sz w:val="22"/>
          <w:szCs w:val="22"/>
          <w:lang w:val="es-419"/>
        </w:rPr>
      </w:pPr>
      <w:r w:rsidRPr="00DB274C">
        <w:rPr>
          <w:rFonts w:ascii="Aptos Narrow" w:hAnsi="Aptos Narrow"/>
          <w:sz w:val="22"/>
          <w:szCs w:val="22"/>
        </w:rPr>
        <w:lastRenderedPageBreak/>
        <w:t xml:space="preserve">SCRIPT </w:t>
      </w:r>
      <w:r w:rsidRPr="00DB274C">
        <w:rPr>
          <w:rFonts w:ascii="Aptos Narrow" w:hAnsi="Aptos Narrow"/>
          <w:sz w:val="22"/>
          <w:szCs w:val="22"/>
          <w:lang w:val="es-419"/>
        </w:rPr>
        <w:t xml:space="preserve">~ </w:t>
      </w:r>
      <w:r w:rsidR="001F0BA5" w:rsidRPr="00DB274C">
        <w:rPr>
          <w:rFonts w:ascii="Aptos Narrow" w:hAnsi="Aptos Narrow"/>
          <w:sz w:val="22"/>
          <w:szCs w:val="22"/>
          <w:lang w:val="es-419"/>
        </w:rPr>
        <w:t>1</w:t>
      </w:r>
      <w:r w:rsidRPr="00DB274C">
        <w:rPr>
          <w:rFonts w:ascii="Aptos Narrow" w:hAnsi="Aptos Narrow"/>
          <w:sz w:val="22"/>
          <w:szCs w:val="22"/>
          <w:lang w:val="es-419"/>
        </w:rPr>
        <w:t>5 min</w:t>
      </w:r>
    </w:p>
    <w:p w14:paraId="684F48E8" w14:textId="77777777" w:rsidR="00486D2F" w:rsidRPr="00486D2F" w:rsidRDefault="00CF7577" w:rsidP="00486D2F">
      <w:pPr>
        <w:spacing w:after="60"/>
        <w:rPr>
          <w:rFonts w:ascii="Aptos Narrow" w:hAnsi="Aptos Narrow"/>
          <w:sz w:val="22"/>
          <w:szCs w:val="22"/>
          <w:lang w:val="es-419"/>
        </w:rPr>
      </w:pPr>
      <w:r w:rsidRPr="00486D2F">
        <w:rPr>
          <w:rFonts w:ascii="Aptos Narrow" w:hAnsi="Aptos Narrow"/>
          <w:b/>
          <w:bCs/>
          <w:color w:val="1F3864"/>
          <w:sz w:val="22"/>
          <w:szCs w:val="22"/>
          <w:lang w:val="es-419"/>
        </w:rPr>
        <w:t xml:space="preserve">Alcance de </w:t>
      </w:r>
      <w:r w:rsidR="0046288E" w:rsidRPr="00486D2F">
        <w:rPr>
          <w:rFonts w:ascii="Aptos Narrow" w:hAnsi="Aptos Narrow"/>
          <w:b/>
          <w:bCs/>
          <w:color w:val="1F3864"/>
          <w:sz w:val="22"/>
          <w:szCs w:val="22"/>
          <w:lang w:val="es-419"/>
        </w:rPr>
        <w:t>6</w:t>
      </w:r>
      <w:r w:rsidR="00EE7087" w:rsidRPr="00486D2F">
        <w:rPr>
          <w:rFonts w:ascii="Aptos Narrow" w:hAnsi="Aptos Narrow"/>
          <w:b/>
          <w:bCs/>
          <w:color w:val="1F3864"/>
          <w:sz w:val="22"/>
          <w:szCs w:val="22"/>
          <w:lang w:val="es-419"/>
        </w:rPr>
        <w:t>.</w:t>
      </w:r>
      <w:r w:rsidR="00EC07EB" w:rsidRPr="00486D2F">
        <w:rPr>
          <w:rFonts w:ascii="Aptos Narrow" w:hAnsi="Aptos Narrow"/>
          <w:b/>
          <w:bCs/>
          <w:color w:val="1F3864"/>
          <w:sz w:val="22"/>
          <w:szCs w:val="22"/>
          <w:lang w:val="es-419"/>
        </w:rPr>
        <w:t>3</w:t>
      </w:r>
      <w:r w:rsidR="00D70891" w:rsidRPr="00486D2F">
        <w:rPr>
          <w:rFonts w:ascii="Aptos Narrow" w:hAnsi="Aptos Narrow"/>
          <w:b/>
          <w:bCs/>
          <w:color w:val="1F3864"/>
          <w:sz w:val="22"/>
          <w:szCs w:val="22"/>
          <w:lang w:val="es-419"/>
        </w:rPr>
        <w:t>:</w:t>
      </w:r>
      <w:r w:rsidR="00D70891" w:rsidRPr="00486D2F">
        <w:rPr>
          <w:rFonts w:ascii="Aptos Narrow" w:hAnsi="Aptos Narrow"/>
          <w:sz w:val="22"/>
          <w:szCs w:val="22"/>
          <w:lang w:val="es-419"/>
        </w:rPr>
        <w:t xml:space="preserve"> </w:t>
      </w:r>
      <w:r w:rsidR="00486D2F" w:rsidRPr="00486D2F">
        <w:rPr>
          <w:rFonts w:ascii="Aptos Narrow" w:hAnsi="Aptos Narrow"/>
          <w:sz w:val="22"/>
          <w:szCs w:val="22"/>
          <w:lang w:val="es-419"/>
        </w:rPr>
        <w:t>Las tres dimensiones de la justicia energética (distributiva, procedimental, de reconocimiento); la consulta previa como institución y como campo en disputa</w:t>
      </w:r>
    </w:p>
    <w:p w14:paraId="34811631" w14:textId="77777777" w:rsidR="00486D2F" w:rsidRPr="00486D2F" w:rsidRDefault="00486D2F" w:rsidP="00486D2F">
      <w:pPr>
        <w:spacing w:before="280" w:after="120"/>
        <w:rPr>
          <w:rFonts w:ascii="Aptos Narrow" w:hAnsi="Aptos Narrow"/>
          <w:sz w:val="22"/>
          <w:szCs w:val="22"/>
          <w:lang w:val="es-419"/>
        </w:rPr>
      </w:pPr>
      <w:r w:rsidRPr="00486D2F">
        <w:rPr>
          <w:rFonts w:ascii="Aptos Narrow" w:hAnsi="Aptos Narrow"/>
          <w:b/>
          <w:bCs/>
          <w:color w:val="1F3864"/>
          <w:sz w:val="22"/>
          <w:szCs w:val="22"/>
          <w:lang w:val="es-419"/>
        </w:rPr>
        <w:t>Segmento 1 — Por qué necesitamos un marco y no solo buenas intenciones</w:t>
      </w:r>
    </w:p>
    <w:p w14:paraId="573D25C0" w14:textId="77777777" w:rsidR="00486D2F" w:rsidRPr="00486D2F" w:rsidRDefault="00486D2F" w:rsidP="00486D2F">
      <w:pPr>
        <w:spacing w:line="300" w:lineRule="auto"/>
        <w:jc w:val="both"/>
        <w:rPr>
          <w:rFonts w:ascii="Aptos Narrow" w:hAnsi="Aptos Narrow"/>
          <w:sz w:val="22"/>
          <w:szCs w:val="22"/>
          <w:lang w:val="es-419"/>
        </w:rPr>
      </w:pPr>
      <w:r w:rsidRPr="00486D2F">
        <w:rPr>
          <w:rFonts w:ascii="Aptos Narrow" w:hAnsi="Aptos Narrow"/>
          <w:sz w:val="22"/>
          <w:szCs w:val="22"/>
          <w:lang w:val="es-419"/>
        </w:rPr>
        <w:t xml:space="preserve">En la lección anterior estudiamos el proceso: quién decide, con qué tipos de poder, bajo qué arreglo institucional. Hoy pasamos a una pregunta distinta, sobre el resultado y sobre la equidad: ¿cómo se reparten los beneficios y los costos de la transición energética, y </w:t>
      </w:r>
      <w:proofErr w:type="gramStart"/>
      <w:r w:rsidRPr="00486D2F">
        <w:rPr>
          <w:rFonts w:ascii="Aptos Narrow" w:hAnsi="Aptos Narrow"/>
          <w:sz w:val="22"/>
          <w:szCs w:val="22"/>
          <w:lang w:val="es-419"/>
        </w:rPr>
        <w:t>bajo qué condiciones</w:t>
      </w:r>
      <w:proofErr w:type="gramEnd"/>
      <w:r w:rsidRPr="00486D2F">
        <w:rPr>
          <w:rFonts w:ascii="Aptos Narrow" w:hAnsi="Aptos Narrow"/>
          <w:sz w:val="22"/>
          <w:szCs w:val="22"/>
          <w:lang w:val="es-419"/>
        </w:rPr>
        <w:t xml:space="preserve"> podemos decir que ese reparto es justo?</w:t>
      </w:r>
    </w:p>
    <w:p w14:paraId="5FDE0952" w14:textId="77777777" w:rsidR="00486D2F" w:rsidRPr="00486D2F" w:rsidRDefault="00486D2F" w:rsidP="00486D2F">
      <w:pPr>
        <w:spacing w:line="300" w:lineRule="auto"/>
        <w:jc w:val="both"/>
        <w:rPr>
          <w:rFonts w:ascii="Aptos Narrow" w:hAnsi="Aptos Narrow"/>
          <w:sz w:val="22"/>
          <w:szCs w:val="22"/>
          <w:lang w:val="es-419"/>
        </w:rPr>
      </w:pPr>
      <w:r w:rsidRPr="00486D2F">
        <w:rPr>
          <w:rFonts w:ascii="Aptos Narrow" w:hAnsi="Aptos Narrow"/>
          <w:sz w:val="22"/>
          <w:szCs w:val="22"/>
          <w:lang w:val="es-419"/>
        </w:rPr>
        <w:t>Antes de entrar, quiero justificar por qué esto es materia de un curso técnico y no un apéndice ético. Hay dos razones. La primera es instrumental y ya la conocen: en Colombia, la percepción de injusticia se traduce en oposición, la oposición en retrasos y bloqueos, y los retrasos en proyectos inviables. Si les importa la viabilidad, les tiene que importar la justicia. La segunda razón es más simple: ustedes van a tomar decisiones que afectan la vida de personas concretas, y merecen tener herramientas para pensar esas decisiones con rigor y no solo con intuición o con incomodidad.</w:t>
      </w:r>
    </w:p>
    <w:p w14:paraId="64186F12" w14:textId="77777777" w:rsidR="00486D2F" w:rsidRPr="00486D2F" w:rsidRDefault="00486D2F" w:rsidP="00486D2F">
      <w:pPr>
        <w:spacing w:line="300" w:lineRule="auto"/>
        <w:jc w:val="both"/>
        <w:rPr>
          <w:rFonts w:ascii="Aptos Narrow" w:hAnsi="Aptos Narrow"/>
          <w:sz w:val="22"/>
          <w:szCs w:val="22"/>
          <w:lang w:val="es-419"/>
        </w:rPr>
      </w:pPr>
      <w:r w:rsidRPr="00486D2F">
        <w:rPr>
          <w:rFonts w:ascii="Aptos Narrow" w:hAnsi="Aptos Narrow"/>
          <w:sz w:val="22"/>
          <w:szCs w:val="22"/>
          <w:lang w:val="es-419"/>
        </w:rPr>
        <w:t xml:space="preserve">Y ahí está el problema de las buenas intenciones. Decir que un proyecto debe ser justo, o que hay que respetar a las comunidades, no le sirve de mucho a quien tiene que diseñar un proceso o evaluar un caso, porque son afirmaciones que todos suscriben y que no le dicen a nadie qué hacer distinto. Lo que necesitamos es un marco analítico que descomponga la idea de justicia en dimensiones distinguibles, cada una con preguntas verificables. Ese marco existe y se llama justicia energética. Es un campo académico con literatura propia, y el planteamiento más usado, desarrollado entre otros por </w:t>
      </w:r>
      <w:proofErr w:type="spellStart"/>
      <w:r w:rsidRPr="00486D2F">
        <w:rPr>
          <w:rFonts w:ascii="Aptos Narrow" w:hAnsi="Aptos Narrow"/>
          <w:sz w:val="22"/>
          <w:szCs w:val="22"/>
          <w:lang w:val="es-419"/>
        </w:rPr>
        <w:t>Benjamin</w:t>
      </w:r>
      <w:proofErr w:type="spellEnd"/>
      <w:r w:rsidRPr="00486D2F">
        <w:rPr>
          <w:rFonts w:ascii="Aptos Narrow" w:hAnsi="Aptos Narrow"/>
          <w:sz w:val="22"/>
          <w:szCs w:val="22"/>
          <w:lang w:val="es-419"/>
        </w:rPr>
        <w:t xml:space="preserve"> Sovacool y colegas, la descompone en tres dimensiones.</w:t>
      </w:r>
    </w:p>
    <w:p w14:paraId="1869EF0A" w14:textId="77777777" w:rsidR="00486D2F" w:rsidRPr="00486D2F" w:rsidRDefault="00486D2F" w:rsidP="00486D2F">
      <w:pPr>
        <w:spacing w:before="280" w:after="120"/>
        <w:rPr>
          <w:rFonts w:ascii="Aptos Narrow" w:hAnsi="Aptos Narrow"/>
          <w:sz w:val="22"/>
          <w:szCs w:val="22"/>
          <w:lang w:val="es-419"/>
        </w:rPr>
      </w:pPr>
      <w:r w:rsidRPr="00486D2F">
        <w:rPr>
          <w:rFonts w:ascii="Aptos Narrow" w:hAnsi="Aptos Narrow"/>
          <w:b/>
          <w:bCs/>
          <w:color w:val="1F3864"/>
          <w:sz w:val="22"/>
          <w:szCs w:val="22"/>
          <w:lang w:val="es-419"/>
        </w:rPr>
        <w:t>Segmento 2 — Justicia distributiva: quién recibe qué</w:t>
      </w:r>
    </w:p>
    <w:p w14:paraId="330422E2" w14:textId="77777777" w:rsidR="00486D2F" w:rsidRPr="00486D2F" w:rsidRDefault="00486D2F" w:rsidP="00486D2F">
      <w:pPr>
        <w:spacing w:line="300" w:lineRule="auto"/>
        <w:jc w:val="both"/>
        <w:rPr>
          <w:rFonts w:ascii="Aptos Narrow" w:hAnsi="Aptos Narrow"/>
          <w:sz w:val="22"/>
          <w:szCs w:val="22"/>
          <w:lang w:val="es-419"/>
        </w:rPr>
      </w:pPr>
      <w:r w:rsidRPr="00486D2F">
        <w:rPr>
          <w:rFonts w:ascii="Aptos Narrow" w:hAnsi="Aptos Narrow"/>
          <w:sz w:val="22"/>
          <w:szCs w:val="22"/>
          <w:lang w:val="es-419"/>
        </w:rPr>
        <w:t>La primera dimensión es la justicia distributiva, y es la más intuitiva: se refiere a cómo se reparten los beneficios y las cargas de un sistema o un proyecto energético entre distintos grupos y territorios.</w:t>
      </w:r>
    </w:p>
    <w:p w14:paraId="40BB002F" w14:textId="77777777" w:rsidR="00486D2F" w:rsidRPr="00486D2F" w:rsidRDefault="00486D2F" w:rsidP="00486D2F">
      <w:pPr>
        <w:spacing w:line="300" w:lineRule="auto"/>
        <w:jc w:val="both"/>
        <w:rPr>
          <w:rFonts w:ascii="Aptos Narrow" w:hAnsi="Aptos Narrow"/>
          <w:sz w:val="22"/>
          <w:szCs w:val="22"/>
          <w:lang w:val="es-419"/>
        </w:rPr>
      </w:pPr>
      <w:r w:rsidRPr="00486D2F">
        <w:rPr>
          <w:rFonts w:ascii="Aptos Narrow" w:hAnsi="Aptos Narrow"/>
          <w:sz w:val="22"/>
          <w:szCs w:val="22"/>
          <w:lang w:val="es-419"/>
        </w:rPr>
        <w:t xml:space="preserve">Las preguntas de esta dimensión son concretas. ¿Quién recibe la energía que se produce? ¿Quién recibe los ingresos, los empleos y las regalías? ¿Y quién asume los costos: </w:t>
      </w:r>
      <w:proofErr w:type="gramStart"/>
      <w:r w:rsidRPr="00486D2F">
        <w:rPr>
          <w:rFonts w:ascii="Aptos Narrow" w:hAnsi="Aptos Narrow"/>
          <w:sz w:val="22"/>
          <w:szCs w:val="22"/>
          <w:lang w:val="es-419"/>
        </w:rPr>
        <w:t>la ocupación del territorio, los impactos ambientales, la alteración de sus formas de vida, la convivencia con la infraestructura?</w:t>
      </w:r>
      <w:proofErr w:type="gramEnd"/>
      <w:r w:rsidRPr="00486D2F">
        <w:rPr>
          <w:rFonts w:ascii="Aptos Narrow" w:hAnsi="Aptos Narrow"/>
          <w:sz w:val="22"/>
          <w:szCs w:val="22"/>
          <w:lang w:val="es-419"/>
        </w:rPr>
        <w:t xml:space="preserve"> La justicia distributiva pregunta si esos dos repartos, el de beneficios y el de cargas, guardan alguna proporción entre sí.</w:t>
      </w:r>
    </w:p>
    <w:p w14:paraId="6102DADF" w14:textId="77777777" w:rsidR="00486D2F" w:rsidRPr="00486D2F" w:rsidRDefault="00486D2F" w:rsidP="00486D2F">
      <w:pPr>
        <w:spacing w:line="300" w:lineRule="auto"/>
        <w:jc w:val="both"/>
        <w:rPr>
          <w:rFonts w:ascii="Aptos Narrow" w:hAnsi="Aptos Narrow"/>
          <w:sz w:val="22"/>
          <w:szCs w:val="22"/>
          <w:lang w:val="es-419"/>
        </w:rPr>
      </w:pPr>
      <w:r w:rsidRPr="00486D2F">
        <w:rPr>
          <w:rFonts w:ascii="Aptos Narrow" w:hAnsi="Aptos Narrow"/>
          <w:sz w:val="22"/>
          <w:szCs w:val="22"/>
          <w:lang w:val="es-419"/>
        </w:rPr>
        <w:t xml:space="preserve">El caso de La Guajira es analíticamente interesante justamente por esta dimensión, y por eso la literatura le ha prestado atención. Es una región que aporta un recurso natural excepcional al país y que, al mismo tiempo, ha registrado históricamente indicadores sociales críticos, incluidos problemas de acceso a servicios básicos [verificar indicadores actuales de cobertura eléctrica y condiciones socioeconómicas en La Guajira con fuentes oficiales antes de grabar]. La pregunta distributiva se vuelve muy concreta: si el territorio aporta el viento que alimentará la transición energética del país, ¿qué recibe ese territorio a cambio, y en qué plazo? </w:t>
      </w:r>
      <w:r w:rsidRPr="00486D2F">
        <w:rPr>
          <w:rFonts w:ascii="Aptos Narrow" w:hAnsi="Aptos Narrow"/>
          <w:sz w:val="22"/>
          <w:szCs w:val="22"/>
          <w:lang w:val="es-419"/>
        </w:rPr>
        <w:lastRenderedPageBreak/>
        <w:t>No es una pregunta retórica: tiene respuestas verificables en términos de energía disponible localmente, empleos, ingresos y servicios.</w:t>
      </w:r>
    </w:p>
    <w:p w14:paraId="45938802" w14:textId="77777777" w:rsidR="00486D2F" w:rsidRPr="00486D2F" w:rsidRDefault="00486D2F" w:rsidP="00486D2F">
      <w:pPr>
        <w:spacing w:line="300" w:lineRule="auto"/>
        <w:jc w:val="both"/>
        <w:rPr>
          <w:rFonts w:ascii="Aptos Narrow" w:hAnsi="Aptos Narrow"/>
          <w:sz w:val="22"/>
          <w:szCs w:val="22"/>
          <w:lang w:val="es-419"/>
        </w:rPr>
      </w:pPr>
      <w:r w:rsidRPr="00486D2F">
        <w:rPr>
          <w:rFonts w:ascii="Aptos Narrow" w:hAnsi="Aptos Narrow"/>
          <w:sz w:val="22"/>
          <w:szCs w:val="22"/>
          <w:lang w:val="es-419"/>
        </w:rPr>
        <w:t>Un matiz importante para el análisis. La justicia distributiva no exige que todos reciban lo mismo, ni que cada territorio consuma exactamente lo que produce; eso sería inviable en cualquier sistema eléctrico interconectado. Lo que exige es que el reparto tenga una justificación defendible y que quienes cargan con los costos no sean sistemáticamente los mismos que quedan por fuera de los beneficios. Esa es una vara exigente pero razonable, y se puede evaluar con datos.</w:t>
      </w:r>
    </w:p>
    <w:p w14:paraId="47D59D40" w14:textId="77777777" w:rsidR="00486D2F" w:rsidRPr="00486D2F" w:rsidRDefault="00486D2F" w:rsidP="00486D2F">
      <w:pPr>
        <w:spacing w:before="280" w:after="120"/>
        <w:rPr>
          <w:rFonts w:ascii="Aptos Narrow" w:hAnsi="Aptos Narrow"/>
          <w:sz w:val="22"/>
          <w:szCs w:val="22"/>
          <w:lang w:val="es-419"/>
        </w:rPr>
      </w:pPr>
      <w:r w:rsidRPr="00486D2F">
        <w:rPr>
          <w:rFonts w:ascii="Aptos Narrow" w:hAnsi="Aptos Narrow"/>
          <w:b/>
          <w:bCs/>
          <w:color w:val="1F3864"/>
          <w:sz w:val="22"/>
          <w:szCs w:val="22"/>
          <w:lang w:val="es-419"/>
        </w:rPr>
        <w:t>Segmento 3 — Justicia procedimental y de reconocimiento</w:t>
      </w:r>
    </w:p>
    <w:p w14:paraId="68FE88FF" w14:textId="77777777" w:rsidR="00486D2F" w:rsidRPr="00486D2F" w:rsidRDefault="00486D2F" w:rsidP="00486D2F">
      <w:pPr>
        <w:spacing w:line="300" w:lineRule="auto"/>
        <w:jc w:val="both"/>
        <w:rPr>
          <w:rFonts w:ascii="Aptos Narrow" w:hAnsi="Aptos Narrow"/>
          <w:sz w:val="22"/>
          <w:szCs w:val="22"/>
          <w:lang w:val="es-419"/>
        </w:rPr>
      </w:pPr>
      <w:r w:rsidRPr="00486D2F">
        <w:rPr>
          <w:rFonts w:ascii="Aptos Narrow" w:hAnsi="Aptos Narrow"/>
          <w:sz w:val="22"/>
          <w:szCs w:val="22"/>
          <w:lang w:val="es-419"/>
        </w:rPr>
        <w:t>La segunda dimensión es la justicia procedimental, y se refiere al proceso mediante el cual se toman las decisiones. Aquí lo que se evalúa no es el resultado sino el camino: ¿quiénes participaron y quiénes no? ¿tuvieron acceso a información comprensible y oportuna? ¿participaron cuando todavía había decisiones abiertas, o cuando ya todo estaba definido? ¿existían mecanismos reales para que sus posiciones influyeran en el resultado?</w:t>
      </w:r>
    </w:p>
    <w:p w14:paraId="07DA9C4C" w14:textId="77777777" w:rsidR="00486D2F" w:rsidRPr="00486D2F" w:rsidRDefault="00486D2F" w:rsidP="00486D2F">
      <w:pPr>
        <w:spacing w:line="300" w:lineRule="auto"/>
        <w:jc w:val="both"/>
        <w:rPr>
          <w:rFonts w:ascii="Aptos Narrow" w:hAnsi="Aptos Narrow"/>
          <w:sz w:val="22"/>
          <w:szCs w:val="22"/>
          <w:lang w:val="es-419"/>
        </w:rPr>
      </w:pPr>
      <w:r w:rsidRPr="00486D2F">
        <w:rPr>
          <w:rFonts w:ascii="Aptos Narrow" w:hAnsi="Aptos Narrow"/>
          <w:sz w:val="22"/>
          <w:szCs w:val="22"/>
          <w:lang w:val="es-419"/>
        </w:rPr>
        <w:t>Fíjense en la conexión con lo que vimos en la lección anterior sobre los principios de Ostrom: participar en la formulación de las reglas, no solo ser informado de ellas. Un proceso puede cumplir todos los requisitos legales de socialización y aun así fallar en justicia procedimental si las comunidades fueron convocadas cuando ya no había nada que decidir. Y esto tiene una consecuencia práctica que quiero subrayar: dos empresas pueden hacer exactamente el mismo número de reuniones y obtener resultados opuestos, según si esas reuniones ocurrieron antes o después de que las decisiones importantes estuvieran tomadas.</w:t>
      </w:r>
    </w:p>
    <w:p w14:paraId="68AAB42C" w14:textId="77777777" w:rsidR="00486D2F" w:rsidRPr="00486D2F" w:rsidRDefault="00486D2F" w:rsidP="00486D2F">
      <w:pPr>
        <w:spacing w:line="300" w:lineRule="auto"/>
        <w:jc w:val="both"/>
        <w:rPr>
          <w:rFonts w:ascii="Aptos Narrow" w:hAnsi="Aptos Narrow"/>
          <w:sz w:val="22"/>
          <w:szCs w:val="22"/>
          <w:lang w:val="es-419"/>
        </w:rPr>
      </w:pPr>
      <w:r w:rsidRPr="00486D2F">
        <w:rPr>
          <w:rFonts w:ascii="Aptos Narrow" w:hAnsi="Aptos Narrow"/>
          <w:sz w:val="22"/>
          <w:szCs w:val="22"/>
          <w:lang w:val="es-419"/>
        </w:rPr>
        <w:t>La tercera dimensión es la justicia de reconocimiento, que es la menos intuitiva para un perfil técnico y quizás la más importante para entender casos como el de La Guajira. Se refiere a si los distintos grupos son reconocidos en su identidad, sus derechos, sus instituciones propias y su forma particular de relacionarse con el territorio.</w:t>
      </w:r>
    </w:p>
    <w:p w14:paraId="77CEEE66" w14:textId="77777777" w:rsidR="00486D2F" w:rsidRPr="00486D2F" w:rsidRDefault="00486D2F" w:rsidP="00486D2F">
      <w:pPr>
        <w:spacing w:line="300" w:lineRule="auto"/>
        <w:jc w:val="both"/>
        <w:rPr>
          <w:rFonts w:ascii="Aptos Narrow" w:hAnsi="Aptos Narrow"/>
          <w:sz w:val="22"/>
          <w:szCs w:val="22"/>
          <w:lang w:val="es-419"/>
        </w:rPr>
      </w:pPr>
      <w:r w:rsidRPr="00486D2F">
        <w:rPr>
          <w:rFonts w:ascii="Aptos Narrow" w:hAnsi="Aptos Narrow"/>
          <w:sz w:val="22"/>
          <w:szCs w:val="22"/>
          <w:lang w:val="es-419"/>
        </w:rPr>
        <w:t xml:space="preserve">Aquí está la diferencia clave: se puede repartir bien y consultar formalmente y aun así fallar en reconocimiento, si el proceso trata a una comunidad como un obstáculo a gestionar, o si asume que su relación con el territorio es equivalente a la propiedad inmobiliaria, o si desconoce sus autoridades propias e </w:t>
      </w:r>
      <w:proofErr w:type="spellStart"/>
      <w:r w:rsidRPr="00486D2F">
        <w:rPr>
          <w:rFonts w:ascii="Aptos Narrow" w:hAnsi="Aptos Narrow"/>
          <w:sz w:val="22"/>
          <w:szCs w:val="22"/>
          <w:lang w:val="es-419"/>
        </w:rPr>
        <w:t>interlocuta</w:t>
      </w:r>
      <w:proofErr w:type="spellEnd"/>
      <w:r w:rsidRPr="00486D2F">
        <w:rPr>
          <w:rFonts w:ascii="Aptos Narrow" w:hAnsi="Aptos Narrow"/>
          <w:sz w:val="22"/>
          <w:szCs w:val="22"/>
          <w:lang w:val="es-419"/>
        </w:rPr>
        <w:t xml:space="preserve"> con quien resulta más cómodo. El reconocimiento es la dimensión que pregunta si estamos tratando al otro como un sujeto con derechos y con su propia forma de organizar el mundo, o como una variable a resolver. Y en la práctica es la dimensión cuyo incumplimiento genera los conflictos más duraderos, porque no se repara con dinero.</w:t>
      </w:r>
    </w:p>
    <w:p w14:paraId="589CA6E7" w14:textId="77777777" w:rsidR="00486D2F" w:rsidRPr="00486D2F" w:rsidRDefault="00486D2F" w:rsidP="00486D2F">
      <w:pPr>
        <w:pBdr>
          <w:left w:val="single" w:sz="18" w:space="12" w:color="9C6500"/>
        </w:pBdr>
        <w:spacing w:before="120"/>
        <w:rPr>
          <w:rFonts w:ascii="Aptos Narrow" w:hAnsi="Aptos Narrow"/>
          <w:sz w:val="22"/>
          <w:szCs w:val="22"/>
          <w:lang w:val="es-419"/>
        </w:rPr>
      </w:pPr>
      <w:r w:rsidRPr="00486D2F">
        <w:rPr>
          <w:rFonts w:ascii="Aptos Narrow" w:hAnsi="Aptos Narrow"/>
          <w:b/>
          <w:bCs/>
          <w:color w:val="9C6500"/>
          <w:sz w:val="22"/>
          <w:szCs w:val="22"/>
          <w:lang w:val="es-419"/>
        </w:rPr>
        <w:t xml:space="preserve">[QUIZ EMBEBIDO] </w:t>
      </w:r>
      <w:r w:rsidRPr="00486D2F">
        <w:rPr>
          <w:rFonts w:ascii="Aptos Narrow" w:hAnsi="Aptos Narrow"/>
          <w:i/>
          <w:iCs/>
          <w:color w:val="555555"/>
          <w:sz w:val="22"/>
          <w:szCs w:val="22"/>
          <w:lang w:val="es-419"/>
        </w:rPr>
        <w:t xml:space="preserve">Se describe un proyecto que ofrece compensaciones económicas generosas y realiza múltiples reuniones informativas, pero define el esquema de compensación sin participación de la comunidad y negocia con líderes escogidos por la empresa en lugar de las autoridades tradicionales. El estudiante debe evaluar el caso en las tres dimensiones de justicia energética e identificar en cuál o </w:t>
      </w:r>
      <w:proofErr w:type="gramStart"/>
      <w:r w:rsidRPr="00486D2F">
        <w:rPr>
          <w:rFonts w:ascii="Aptos Narrow" w:hAnsi="Aptos Narrow"/>
          <w:i/>
          <w:iCs/>
          <w:color w:val="555555"/>
          <w:sz w:val="22"/>
          <w:szCs w:val="22"/>
          <w:lang w:val="es-419"/>
        </w:rPr>
        <w:t>cuáles falla</w:t>
      </w:r>
      <w:proofErr w:type="gramEnd"/>
      <w:r w:rsidRPr="00486D2F">
        <w:rPr>
          <w:rFonts w:ascii="Aptos Narrow" w:hAnsi="Aptos Narrow"/>
          <w:i/>
          <w:iCs/>
          <w:color w:val="555555"/>
          <w:sz w:val="22"/>
          <w:szCs w:val="22"/>
          <w:lang w:val="es-419"/>
        </w:rPr>
        <w:t>.</w:t>
      </w:r>
    </w:p>
    <w:p w14:paraId="0CBBE2D5" w14:textId="77777777" w:rsidR="00486D2F" w:rsidRPr="00486D2F" w:rsidRDefault="00486D2F" w:rsidP="00486D2F">
      <w:pPr>
        <w:spacing w:before="280" w:after="120"/>
        <w:rPr>
          <w:rFonts w:ascii="Aptos Narrow" w:hAnsi="Aptos Narrow"/>
          <w:sz w:val="22"/>
          <w:szCs w:val="22"/>
          <w:lang w:val="es-419"/>
        </w:rPr>
      </w:pPr>
      <w:r w:rsidRPr="00486D2F">
        <w:rPr>
          <w:rFonts w:ascii="Aptos Narrow" w:hAnsi="Aptos Narrow"/>
          <w:b/>
          <w:bCs/>
          <w:color w:val="1F3864"/>
          <w:sz w:val="22"/>
          <w:szCs w:val="22"/>
          <w:lang w:val="es-419"/>
        </w:rPr>
        <w:lastRenderedPageBreak/>
        <w:t>Segmento 4 — La consulta previa: institución y campo en disputa</w:t>
      </w:r>
    </w:p>
    <w:p w14:paraId="1EF9C2F9" w14:textId="77777777" w:rsidR="00486D2F" w:rsidRPr="00486D2F" w:rsidRDefault="00486D2F" w:rsidP="00486D2F">
      <w:pPr>
        <w:spacing w:line="300" w:lineRule="auto"/>
        <w:jc w:val="both"/>
        <w:rPr>
          <w:rFonts w:ascii="Aptos Narrow" w:hAnsi="Aptos Narrow"/>
          <w:sz w:val="22"/>
          <w:szCs w:val="22"/>
          <w:lang w:val="es-419"/>
        </w:rPr>
      </w:pPr>
      <w:r w:rsidRPr="00486D2F">
        <w:rPr>
          <w:rFonts w:ascii="Aptos Narrow" w:hAnsi="Aptos Narrow"/>
          <w:sz w:val="22"/>
          <w:szCs w:val="22"/>
          <w:lang w:val="es-419"/>
        </w:rPr>
        <w:t>Estas tres dimensiones tienen, en Colombia, una traducción institucional concreta: la consulta previa. Es un derecho de los pueblos indígenas y de comunidades étnicas, con fundamento en el Convenio 169 de la Organización Internacional del Trabajo y desarrollo en la jurisprudencia constitucional colombiana, que establece que deben ser consultados frente a medidas y proyectos que los afecten directamente [verificar el marco normativo y jurisprudencial vigente y sus alcances con fuentes primarias antes de grabar].</w:t>
      </w:r>
    </w:p>
    <w:p w14:paraId="6EB989C5" w14:textId="77777777" w:rsidR="00486D2F" w:rsidRPr="00486D2F" w:rsidRDefault="00486D2F" w:rsidP="00486D2F">
      <w:pPr>
        <w:spacing w:line="300" w:lineRule="auto"/>
        <w:jc w:val="both"/>
        <w:rPr>
          <w:rFonts w:ascii="Aptos Narrow" w:hAnsi="Aptos Narrow"/>
          <w:sz w:val="22"/>
          <w:szCs w:val="22"/>
          <w:lang w:val="es-419"/>
        </w:rPr>
      </w:pPr>
      <w:r w:rsidRPr="00486D2F">
        <w:rPr>
          <w:rFonts w:ascii="Aptos Narrow" w:hAnsi="Aptos Narrow"/>
          <w:sz w:val="22"/>
          <w:szCs w:val="22"/>
          <w:lang w:val="es-419"/>
        </w:rPr>
        <w:t>Lo primero que hay que entender, y es la idea que da nombre a la cápsula de esta semana, es que la consulta previa no es un trámite. No es un formulario que se diligencia ni una reunión que se acredita: es un proceso de diálogo entre sujetos de derechos, y su calidad determina la legitimidad de lo que venga después. Tratarla como un requisito a evacuar es, precisamente, una falla de justicia procedimental y de reconocimiento al mismo tiempo.</w:t>
      </w:r>
    </w:p>
    <w:p w14:paraId="5EE73710" w14:textId="77777777" w:rsidR="00486D2F" w:rsidRPr="00486D2F" w:rsidRDefault="00486D2F" w:rsidP="00486D2F">
      <w:pPr>
        <w:spacing w:line="300" w:lineRule="auto"/>
        <w:jc w:val="both"/>
        <w:rPr>
          <w:rFonts w:ascii="Aptos Narrow" w:hAnsi="Aptos Narrow"/>
          <w:sz w:val="22"/>
          <w:szCs w:val="22"/>
          <w:lang w:val="es-419"/>
        </w:rPr>
      </w:pPr>
      <w:r w:rsidRPr="00486D2F">
        <w:rPr>
          <w:rFonts w:ascii="Aptos Narrow" w:hAnsi="Aptos Narrow"/>
          <w:sz w:val="22"/>
          <w:szCs w:val="22"/>
          <w:lang w:val="es-419"/>
        </w:rPr>
        <w:t xml:space="preserve">Y ahora un punto que la literatura ha estudiado con cuidado y que quiero que consideren, porque evita una lectura ingenua. Investigadores como César Rodríguez-Garavito han mostrado que la consulta previa, además de ser un derecho, funciona en la práctica como un campo en disputa: un espacio donde se enfrentan </w:t>
      </w:r>
      <w:proofErr w:type="gramStart"/>
      <w:r w:rsidRPr="00486D2F">
        <w:rPr>
          <w:rFonts w:ascii="Aptos Narrow" w:hAnsi="Aptos Narrow"/>
          <w:sz w:val="22"/>
          <w:szCs w:val="22"/>
          <w:lang w:val="es-419"/>
        </w:rPr>
        <w:t>intereses,</w:t>
      </w:r>
      <w:proofErr w:type="gramEnd"/>
      <w:r w:rsidRPr="00486D2F">
        <w:rPr>
          <w:rFonts w:ascii="Aptos Narrow" w:hAnsi="Aptos Narrow"/>
          <w:sz w:val="22"/>
          <w:szCs w:val="22"/>
          <w:lang w:val="es-419"/>
        </w:rPr>
        <w:t xml:space="preserve"> se negocia poder y donde </w:t>
      </w:r>
      <w:r w:rsidRPr="00486D2F">
        <w:rPr>
          <w:rFonts w:ascii="Aptos Narrow" w:hAnsi="Aptos Narrow"/>
          <w:sz w:val="22"/>
          <w:szCs w:val="22"/>
          <w:lang w:val="es-419"/>
        </w:rPr>
        <w:lastRenderedPageBreak/>
        <w:t>el propio proceso puede tener efectos no previstos sobre las comunidades, incluida la aparición de tensiones internas cuando distintos sectores de una comunidad evalúan de forma distinta una propuesta. Reconocer esto no debilita el derecho ni justifica saltárselo; al contrario, obliga a tomárselo más en serio, porque muestra que un proceso mal llevado no solo incumple un requisito: puede dejar daños en el tejido social de la comunidad que perduran mucho después de que el proyecto se decida o se archive.</w:t>
      </w:r>
    </w:p>
    <w:p w14:paraId="67383B40" w14:textId="77777777" w:rsidR="00486D2F" w:rsidRPr="00486D2F" w:rsidRDefault="00486D2F" w:rsidP="00486D2F">
      <w:pPr>
        <w:spacing w:line="300" w:lineRule="auto"/>
        <w:jc w:val="both"/>
        <w:rPr>
          <w:rFonts w:ascii="Aptos Narrow" w:hAnsi="Aptos Narrow"/>
          <w:sz w:val="22"/>
          <w:szCs w:val="22"/>
          <w:lang w:val="es-419"/>
        </w:rPr>
      </w:pPr>
      <w:r w:rsidRPr="00486D2F">
        <w:rPr>
          <w:rFonts w:ascii="Aptos Narrow" w:hAnsi="Aptos Narrow"/>
          <w:sz w:val="22"/>
          <w:szCs w:val="22"/>
          <w:lang w:val="es-419"/>
        </w:rPr>
        <w:t>Para ustedes como analistas, la implicación es clara. La consulta previa no debe evaluarse por si se hizo o no, sino por cómo se hizo: si fue previa de verdad, es decir, antes de que las decisiones estuvieran cerradas; si fue informada, con información comprensible y suficiente; si respetó las autoridades e instituciones propias de la comunidad; y si sus resultados tuvieron efecto real sobre el proyecto. Esas cuatro preguntas se pueden responder con evidencia documental, y son el núcleo del análisis de la cuarta capa que harán esta semana.</w:t>
      </w:r>
    </w:p>
    <w:p w14:paraId="7345E94D" w14:textId="77777777" w:rsidR="00486D2F" w:rsidRPr="00486D2F" w:rsidRDefault="00486D2F" w:rsidP="00486D2F">
      <w:pPr>
        <w:pBdr>
          <w:left w:val="single" w:sz="18" w:space="12" w:color="9C6500"/>
        </w:pBdr>
        <w:spacing w:before="120"/>
        <w:rPr>
          <w:rFonts w:ascii="Aptos Narrow" w:hAnsi="Aptos Narrow"/>
          <w:sz w:val="22"/>
          <w:szCs w:val="22"/>
          <w:lang w:val="es-419"/>
        </w:rPr>
      </w:pPr>
      <w:r w:rsidRPr="00486D2F">
        <w:rPr>
          <w:rFonts w:ascii="Aptos Narrow" w:hAnsi="Aptos Narrow"/>
          <w:b/>
          <w:bCs/>
          <w:color w:val="9C6500"/>
          <w:sz w:val="22"/>
          <w:szCs w:val="22"/>
          <w:lang w:val="es-419"/>
        </w:rPr>
        <w:t xml:space="preserve">[QUIZ EMBEBIDO] </w:t>
      </w:r>
      <w:r w:rsidRPr="00486D2F">
        <w:rPr>
          <w:rFonts w:ascii="Aptos Narrow" w:hAnsi="Aptos Narrow"/>
          <w:i/>
          <w:iCs/>
          <w:color w:val="555555"/>
          <w:sz w:val="22"/>
          <w:szCs w:val="22"/>
          <w:lang w:val="es-419"/>
        </w:rPr>
        <w:t>Se presenta un expediente donde consta que la consulta previa se realizó, con actas firmadas y asistencia registrada, pero iniciada después de que el diseño y el cronograma del proyecto ya estaban comprometidos contractualmente. El estudiante debe aplicar los cuatro criterios de evaluación (previa, informada, respetuosa de las autoridades propias, con efecto real) y determinar qué puede y qué no puede concluirse solo con la existencia de las actas.</w:t>
      </w:r>
    </w:p>
    <w:p w14:paraId="5C14341E" w14:textId="77777777" w:rsidR="00486D2F" w:rsidRPr="00486D2F" w:rsidRDefault="00486D2F" w:rsidP="00486D2F">
      <w:pPr>
        <w:spacing w:before="280" w:after="120"/>
        <w:rPr>
          <w:rFonts w:ascii="Aptos Narrow" w:hAnsi="Aptos Narrow"/>
          <w:sz w:val="22"/>
          <w:szCs w:val="22"/>
          <w:lang w:val="es-419"/>
        </w:rPr>
      </w:pPr>
      <w:r w:rsidRPr="00486D2F">
        <w:rPr>
          <w:rFonts w:ascii="Aptos Narrow" w:hAnsi="Aptos Narrow"/>
          <w:b/>
          <w:bCs/>
          <w:color w:val="1F3864"/>
          <w:sz w:val="22"/>
          <w:szCs w:val="22"/>
          <w:lang w:val="es-419"/>
        </w:rPr>
        <w:t>Segmento 5 — Cierre y hacia la comunicación</w:t>
      </w:r>
    </w:p>
    <w:p w14:paraId="0E205A90" w14:textId="77777777" w:rsidR="00486D2F" w:rsidRPr="00486D2F" w:rsidRDefault="00486D2F" w:rsidP="00486D2F">
      <w:pPr>
        <w:spacing w:line="300" w:lineRule="auto"/>
        <w:jc w:val="both"/>
        <w:rPr>
          <w:rFonts w:ascii="Aptos Narrow" w:hAnsi="Aptos Narrow"/>
          <w:sz w:val="22"/>
          <w:szCs w:val="22"/>
          <w:lang w:val="es-419"/>
        </w:rPr>
      </w:pPr>
      <w:r w:rsidRPr="00486D2F">
        <w:rPr>
          <w:rFonts w:ascii="Aptos Narrow" w:hAnsi="Aptos Narrow"/>
          <w:sz w:val="22"/>
          <w:szCs w:val="22"/>
          <w:lang w:val="es-419"/>
        </w:rPr>
        <w:t>Recapitulemos. Hoy le dimos estructura analítica a la idea de justicia, descomponiéndola en tres dimensiones: la distributiva, sobre cómo se reparten beneficios y cargas; la procedimental, sobre quién participa, cuándo y con qué influencia real; y la de reconocimiento, sobre si se respeta la identidad, los derechos y las instituciones propias de cada grupo. Vimos que las tres son independientes, que se puede cumplir una y fallar en otra, y que el incumplimiento de la de reconocimiento suele generar los conflictos más difíciles de reparar. Y ubicamos la consulta previa como la institución colombiana donde estas dimensiones se ponen a prueba, entendiéndola como proceso de diálogo y como campo en disputa, no como trámite.</w:t>
      </w:r>
    </w:p>
    <w:p w14:paraId="0A3EFCDD" w14:textId="77777777" w:rsidR="00486D2F" w:rsidRPr="00486D2F" w:rsidRDefault="00486D2F" w:rsidP="00486D2F">
      <w:pPr>
        <w:spacing w:line="300" w:lineRule="auto"/>
        <w:jc w:val="both"/>
        <w:rPr>
          <w:rFonts w:ascii="Aptos Narrow" w:hAnsi="Aptos Narrow"/>
          <w:sz w:val="22"/>
          <w:szCs w:val="22"/>
          <w:lang w:val="es-419"/>
        </w:rPr>
      </w:pPr>
      <w:r w:rsidRPr="00486D2F">
        <w:rPr>
          <w:rFonts w:ascii="Aptos Narrow" w:hAnsi="Aptos Narrow"/>
          <w:sz w:val="22"/>
          <w:szCs w:val="22"/>
          <w:lang w:val="es-419"/>
        </w:rPr>
        <w:t>Con esto ya tienen completo el instrumental para las cuatro capas: redes para lo físico, dinámica de sistemas para el mercado, redes de actores para el mapa de poder, y gobernanza y justicia para la cuarta capa. Con estas tres dimensiones podrán abordar con rigor la pregunta del foro de esta semana: si la transición energética colombiana está siendo justa, y en cuál de las tres dimensiones específicamente falla o acierta.</w:t>
      </w:r>
    </w:p>
    <w:p w14:paraId="2D7766C1" w14:textId="77777777" w:rsidR="00486D2F" w:rsidRPr="00486D2F" w:rsidRDefault="00486D2F" w:rsidP="00486D2F">
      <w:pPr>
        <w:spacing w:line="300" w:lineRule="auto"/>
        <w:jc w:val="both"/>
        <w:rPr>
          <w:rFonts w:ascii="Aptos Narrow" w:hAnsi="Aptos Narrow"/>
          <w:sz w:val="22"/>
          <w:szCs w:val="22"/>
          <w:lang w:val="es-419"/>
        </w:rPr>
      </w:pPr>
      <w:r w:rsidRPr="00486D2F">
        <w:rPr>
          <w:rFonts w:ascii="Aptos Narrow" w:hAnsi="Aptos Narrow"/>
          <w:sz w:val="22"/>
          <w:szCs w:val="22"/>
          <w:lang w:val="es-419"/>
        </w:rPr>
        <w:lastRenderedPageBreak/>
        <w:t xml:space="preserve">Nos queda una última pieza, y es de una naturaleza distinta a todo lo anterior. Ustedes van a producir un análisis de cuatro capas, denso, técnico y matizado. Pero ese análisis solo sirve si alguien lo entiende y lo usa para decidir. Y las personas que toman las decisiones en el sector, y las comunidades que viven sus consecuencias, no van a leer un modelo de stocks y flujos. En la última lección de la semana vamos a hablar de cómo comunicar la complejidad a audiencias no técnicas sin traicionarla, que es una de las habilidades </w:t>
      </w:r>
      <w:proofErr w:type="gramStart"/>
      <w:r w:rsidRPr="00486D2F">
        <w:rPr>
          <w:rFonts w:ascii="Aptos Narrow" w:hAnsi="Aptos Narrow"/>
          <w:sz w:val="22"/>
          <w:szCs w:val="22"/>
          <w:lang w:val="es-419"/>
        </w:rPr>
        <w:t>más subestimadas y más decisivas</w:t>
      </w:r>
      <w:proofErr w:type="gramEnd"/>
      <w:r w:rsidRPr="00486D2F">
        <w:rPr>
          <w:rFonts w:ascii="Aptos Narrow" w:hAnsi="Aptos Narrow"/>
          <w:sz w:val="22"/>
          <w:szCs w:val="22"/>
          <w:lang w:val="es-419"/>
        </w:rPr>
        <w:t xml:space="preserve"> de esta profesión. Nos vemos en la lección 6.4.</w:t>
      </w:r>
    </w:p>
    <w:p w14:paraId="58ADC3FE" w14:textId="77777777" w:rsidR="00486D2F" w:rsidRPr="00486D2F" w:rsidRDefault="00486D2F" w:rsidP="00486D2F">
      <w:pPr>
        <w:pBdr>
          <w:top w:val="single" w:sz="6" w:space="6" w:color="CCCCCC"/>
        </w:pBdr>
        <w:spacing w:before="280" w:after="120"/>
        <w:rPr>
          <w:rFonts w:ascii="Aptos Narrow" w:hAnsi="Aptos Narrow"/>
          <w:sz w:val="22"/>
          <w:szCs w:val="22"/>
          <w:lang w:val="es-419"/>
        </w:rPr>
      </w:pPr>
      <w:r w:rsidRPr="00486D2F">
        <w:rPr>
          <w:rFonts w:ascii="Aptos Narrow" w:hAnsi="Aptos Narrow"/>
          <w:b/>
          <w:bCs/>
          <w:color w:val="9C6500"/>
          <w:sz w:val="22"/>
          <w:szCs w:val="22"/>
          <w:lang w:val="es-419"/>
        </w:rPr>
        <w:t>Notas de contenido y verificación</w:t>
      </w:r>
    </w:p>
    <w:p w14:paraId="1D44C4DC" w14:textId="77777777" w:rsidR="00486D2F" w:rsidRPr="00486D2F" w:rsidRDefault="00486D2F" w:rsidP="00486D2F">
      <w:pPr>
        <w:spacing w:after="100"/>
        <w:rPr>
          <w:rFonts w:ascii="Aptos Narrow" w:hAnsi="Aptos Narrow"/>
          <w:sz w:val="22"/>
          <w:szCs w:val="22"/>
          <w:lang w:val="es-419"/>
        </w:rPr>
      </w:pPr>
      <w:r w:rsidRPr="00486D2F">
        <w:rPr>
          <w:rFonts w:ascii="Aptos Narrow" w:hAnsi="Aptos Narrow"/>
          <w:i/>
          <w:iCs/>
          <w:color w:val="555555"/>
          <w:sz w:val="22"/>
          <w:szCs w:val="22"/>
          <w:lang w:val="es-419"/>
        </w:rPr>
        <w:t xml:space="preserve">Las tres dimensiones de justicia energética siguen a </w:t>
      </w:r>
      <w:proofErr w:type="spellStart"/>
      <w:r w:rsidRPr="00486D2F">
        <w:rPr>
          <w:rFonts w:ascii="Aptos Narrow" w:hAnsi="Aptos Narrow"/>
          <w:i/>
          <w:iCs/>
          <w:color w:val="555555"/>
          <w:sz w:val="22"/>
          <w:szCs w:val="22"/>
          <w:lang w:val="es-419"/>
        </w:rPr>
        <w:t>Sovacool</w:t>
      </w:r>
      <w:proofErr w:type="spellEnd"/>
      <w:r w:rsidRPr="00486D2F">
        <w:rPr>
          <w:rFonts w:ascii="Aptos Narrow" w:hAnsi="Aptos Narrow"/>
          <w:i/>
          <w:iCs/>
          <w:color w:val="555555"/>
          <w:sz w:val="22"/>
          <w:szCs w:val="22"/>
          <w:lang w:val="es-419"/>
        </w:rPr>
        <w:t xml:space="preserve"> et al. (2017), fuente base de la semana; la lectura de la consulta previa como campo en disputa sigue a Rodríguez-Garavito (2011), fuente curada. El guion presenta el marco como herramienta analítica y NO emite juicio sobre si un proyecto o una entidad concreta actuó bien o mal: entrega criterios para que el estudiante evalúe con evidencia, que es lo que pide el foro de la semana.</w:t>
      </w:r>
    </w:p>
    <w:p w14:paraId="724100BD" w14:textId="77777777" w:rsidR="00486D2F" w:rsidRPr="00486D2F" w:rsidRDefault="00486D2F" w:rsidP="00486D2F">
      <w:pPr>
        <w:spacing w:after="120"/>
        <w:rPr>
          <w:rFonts w:ascii="Aptos Narrow" w:hAnsi="Aptos Narrow"/>
          <w:sz w:val="22"/>
          <w:szCs w:val="22"/>
          <w:lang w:val="es-419"/>
        </w:rPr>
      </w:pPr>
      <w:r w:rsidRPr="00486D2F">
        <w:rPr>
          <w:rFonts w:ascii="Aptos Narrow" w:hAnsi="Aptos Narrow"/>
          <w:i/>
          <w:iCs/>
          <w:color w:val="555555"/>
          <w:sz w:val="22"/>
          <w:szCs w:val="22"/>
          <w:lang w:val="es-419"/>
        </w:rPr>
        <w:t>Verificar antes de grabar: (1) indicadores actuales de cobertura eléctrica y condiciones socioeconómicas de La Guajira (DANE, UPME, informes de la Contraloría sobre FNCER en La Guajira); (2) el marco normativo y jurisprudencial vigente de la consulta previa en Colombia y su alcance exacto (Convenio 169 OIT, jurisprudencia de la Corte Constitucional, Ministerio del Interior), ya que ha evolucionado y conviene citarlo con precisión; (3) si se decide mencionar cifras de aporte eólico potencial de La Guajira, verificar con UPME. El guion evita deliberadamente afirmar que un actor específico incumplió alguna dimensión de justicia.</w:t>
      </w:r>
    </w:p>
    <w:p w14:paraId="1773CD0B" w14:textId="42C6442D" w:rsidR="00075730" w:rsidRPr="002F249B" w:rsidRDefault="00075730" w:rsidP="00EC07EB">
      <w:pPr>
        <w:spacing w:after="60"/>
        <w:rPr>
          <w:rFonts w:ascii="Aptos Narrow" w:hAnsi="Aptos Narrow"/>
          <w:sz w:val="22"/>
          <w:szCs w:val="22"/>
          <w:lang w:val="es-419"/>
        </w:rPr>
      </w:pPr>
    </w:p>
    <w:p w14:paraId="353FCBD7" w14:textId="508DCAE7" w:rsidR="00C20D6B" w:rsidRPr="002B4E04" w:rsidRDefault="00C20D6B" w:rsidP="001951A0">
      <w:pPr>
        <w:spacing w:after="60"/>
        <w:rPr>
          <w:rFonts w:ascii="Aptos Narrow" w:hAnsi="Aptos Narrow"/>
          <w:sz w:val="22"/>
          <w:szCs w:val="22"/>
          <w:lang w:val="es-419"/>
        </w:rPr>
      </w:pPr>
    </w:p>
    <w:sectPr w:rsidR="00C20D6B" w:rsidRPr="002B4E0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2792E" w14:textId="77777777" w:rsidR="00381E7D" w:rsidRDefault="00381E7D" w:rsidP="00DC6E4E">
      <w:pPr>
        <w:spacing w:after="0" w:line="240" w:lineRule="auto"/>
      </w:pPr>
      <w:r>
        <w:separator/>
      </w:r>
    </w:p>
  </w:endnote>
  <w:endnote w:type="continuationSeparator" w:id="0">
    <w:p w14:paraId="7E40EC46" w14:textId="77777777" w:rsidR="00381E7D" w:rsidRDefault="00381E7D" w:rsidP="00DC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31EDD" w14:textId="77777777" w:rsidR="00381E7D" w:rsidRDefault="00381E7D" w:rsidP="00DC6E4E">
      <w:pPr>
        <w:spacing w:after="0" w:line="240" w:lineRule="auto"/>
      </w:pPr>
      <w:r>
        <w:separator/>
      </w:r>
    </w:p>
  </w:footnote>
  <w:footnote w:type="continuationSeparator" w:id="0">
    <w:p w14:paraId="73A8403F" w14:textId="77777777" w:rsidR="00381E7D" w:rsidRDefault="00381E7D" w:rsidP="00DC6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6CFC3" w14:textId="18A0ADB1" w:rsidR="00DC6E4E" w:rsidRDefault="002338A3">
    <w:pPr>
      <w:pStyle w:val="Header"/>
    </w:pPr>
    <w:r w:rsidRPr="00BB53F1">
      <w:rPr>
        <w:noProof/>
      </w:rPr>
      <w:drawing>
        <wp:anchor distT="0" distB="0" distL="114300" distR="114300" simplePos="0" relativeHeight="251659264" behindDoc="0" locked="0" layoutInCell="1" allowOverlap="1" wp14:anchorId="1BA7A728" wp14:editId="5B337B58">
          <wp:simplePos x="0" y="0"/>
          <wp:positionH relativeFrom="column">
            <wp:posOffset>3090545</wp:posOffset>
          </wp:positionH>
          <wp:positionV relativeFrom="paragraph">
            <wp:posOffset>-184785</wp:posOffset>
          </wp:positionV>
          <wp:extent cx="3216275" cy="424180"/>
          <wp:effectExtent l="0" t="0" r="3175" b="0"/>
          <wp:wrapSquare wrapText="bothSides"/>
          <wp:docPr id="2102315900" name="Picture 1">
            <a:extLst xmlns:a="http://schemas.openxmlformats.org/drawingml/2006/main">
              <a:ext uri="{FF2B5EF4-FFF2-40B4-BE49-F238E27FC236}">
                <a16:creationId xmlns:a16="http://schemas.microsoft.com/office/drawing/2014/main" id="{92E37FB3-0E8F-47F8-A2D5-007C77C924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248" name=""/>
                  <pic:cNvPicPr/>
                </pic:nvPicPr>
                <pic:blipFill>
                  <a:blip r:embed="rId1">
                    <a:extLst>
                      <a:ext uri="{28A0092B-C50C-407E-A947-70E740481C1C}">
                        <a14:useLocalDpi xmlns:a14="http://schemas.microsoft.com/office/drawing/2010/main" val="0"/>
                      </a:ext>
                    </a:extLst>
                  </a:blip>
                  <a:stretch>
                    <a:fillRect/>
                  </a:stretch>
                </pic:blipFill>
                <pic:spPr>
                  <a:xfrm>
                    <a:off x="0" y="0"/>
                    <a:ext cx="3216275" cy="424180"/>
                  </a:xfrm>
                  <a:prstGeom prst="rect">
                    <a:avLst/>
                  </a:prstGeom>
                </pic:spPr>
              </pic:pic>
            </a:graphicData>
          </a:graphic>
          <wp14:sizeRelH relativeFrom="page">
            <wp14:pctWidth>0</wp14:pctWidth>
          </wp14:sizeRelH>
          <wp14:sizeRelV relativeFrom="page">
            <wp14:pctHeight>0</wp14:pctHeight>
          </wp14:sizeRelV>
        </wp:anchor>
      </w:drawing>
    </w:r>
    <w:r w:rsidR="00BB53F1">
      <w:rPr>
        <w:noProof/>
      </w:rPr>
      <w:drawing>
        <wp:anchor distT="0" distB="0" distL="114300" distR="114300" simplePos="0" relativeHeight="251658240" behindDoc="0" locked="0" layoutInCell="1" allowOverlap="1" wp14:anchorId="6AE28791" wp14:editId="24795A35">
          <wp:simplePos x="0" y="0"/>
          <wp:positionH relativeFrom="page">
            <wp:posOffset>468085</wp:posOffset>
          </wp:positionH>
          <wp:positionV relativeFrom="paragraph">
            <wp:posOffset>-272687</wp:posOffset>
          </wp:positionV>
          <wp:extent cx="2743200" cy="524510"/>
          <wp:effectExtent l="0" t="0" r="0" b="8890"/>
          <wp:wrapSquare wrapText="bothSides"/>
          <wp:docPr id="1549267893" name="Picture 1" descr="Principios de ingeniería de software automatizada y ágil Programa de  Certificado MasterTrack® | Coursera">
            <a:extLst xmlns:a="http://schemas.openxmlformats.org/drawingml/2006/main">
              <a:ext uri="{FF2B5EF4-FFF2-40B4-BE49-F238E27FC236}">
                <a16:creationId xmlns:a16="http://schemas.microsoft.com/office/drawing/2014/main" id="{9388691F-9C84-4773-AA0C-387F2CBED9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ios de ingeniería de software automatizada y ágil Programa de  Certificado MasterTrack® | Coursera"/>
                  <pic:cNvPicPr>
                    <a:picLocks noChangeAspect="1" noChangeArrowheads="1"/>
                  </pic:cNvPicPr>
                </pic:nvPicPr>
                <pic:blipFill rotWithShape="1">
                  <a:blip r:embed="rId2">
                    <a:extLst>
                      <a:ext uri="{28A0092B-C50C-407E-A947-70E740481C1C}">
                        <a14:useLocalDpi xmlns:a14="http://schemas.microsoft.com/office/drawing/2010/main" val="0"/>
                      </a:ext>
                    </a:extLst>
                  </a:blip>
                  <a:srcRect t="8961" b="25845"/>
                  <a:stretch>
                    <a:fillRect/>
                  </a:stretch>
                </pic:blipFill>
                <pic:spPr bwMode="auto">
                  <a:xfrm>
                    <a:off x="0" y="0"/>
                    <a:ext cx="2743200" cy="524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F41"/>
    <w:multiLevelType w:val="multilevel"/>
    <w:tmpl w:val="630E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380001"/>
    <w:multiLevelType w:val="hybridMultilevel"/>
    <w:tmpl w:val="87CC2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1A442A"/>
    <w:multiLevelType w:val="multilevel"/>
    <w:tmpl w:val="60E4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82375"/>
    <w:multiLevelType w:val="hybridMultilevel"/>
    <w:tmpl w:val="CC600006"/>
    <w:lvl w:ilvl="0" w:tplc="1F020A24">
      <w:start w:val="1"/>
      <w:numFmt w:val="bullet"/>
      <w:lvlText w:val="●"/>
      <w:lvlJc w:val="left"/>
      <w:pPr>
        <w:ind w:left="720" w:hanging="360"/>
      </w:pPr>
    </w:lvl>
    <w:lvl w:ilvl="1" w:tplc="6994B436">
      <w:start w:val="1"/>
      <w:numFmt w:val="bullet"/>
      <w:lvlText w:val="○"/>
      <w:lvlJc w:val="left"/>
      <w:pPr>
        <w:ind w:left="1440" w:hanging="360"/>
      </w:pPr>
    </w:lvl>
    <w:lvl w:ilvl="2" w:tplc="F45E74E4">
      <w:start w:val="1"/>
      <w:numFmt w:val="bullet"/>
      <w:lvlText w:val="■"/>
      <w:lvlJc w:val="left"/>
      <w:pPr>
        <w:ind w:left="2160" w:hanging="360"/>
      </w:pPr>
    </w:lvl>
    <w:lvl w:ilvl="3" w:tplc="A96AC7F4">
      <w:start w:val="1"/>
      <w:numFmt w:val="bullet"/>
      <w:lvlText w:val="●"/>
      <w:lvlJc w:val="left"/>
      <w:pPr>
        <w:ind w:left="2880" w:hanging="360"/>
      </w:pPr>
    </w:lvl>
    <w:lvl w:ilvl="4" w:tplc="880E0448">
      <w:start w:val="1"/>
      <w:numFmt w:val="bullet"/>
      <w:lvlText w:val="○"/>
      <w:lvlJc w:val="left"/>
      <w:pPr>
        <w:ind w:left="3600" w:hanging="360"/>
      </w:pPr>
    </w:lvl>
    <w:lvl w:ilvl="5" w:tplc="80301564">
      <w:start w:val="1"/>
      <w:numFmt w:val="bullet"/>
      <w:lvlText w:val="■"/>
      <w:lvlJc w:val="left"/>
      <w:pPr>
        <w:ind w:left="4320" w:hanging="360"/>
      </w:pPr>
    </w:lvl>
    <w:lvl w:ilvl="6" w:tplc="F8C069E6">
      <w:start w:val="1"/>
      <w:numFmt w:val="bullet"/>
      <w:lvlText w:val="●"/>
      <w:lvlJc w:val="left"/>
      <w:pPr>
        <w:ind w:left="5040" w:hanging="360"/>
      </w:pPr>
    </w:lvl>
    <w:lvl w:ilvl="7" w:tplc="F6E68CF2">
      <w:start w:val="1"/>
      <w:numFmt w:val="bullet"/>
      <w:lvlText w:val="●"/>
      <w:lvlJc w:val="left"/>
      <w:pPr>
        <w:ind w:left="5760" w:hanging="360"/>
      </w:pPr>
    </w:lvl>
    <w:lvl w:ilvl="8" w:tplc="BAACD994">
      <w:start w:val="1"/>
      <w:numFmt w:val="bullet"/>
      <w:lvlText w:val="●"/>
      <w:lvlJc w:val="left"/>
      <w:pPr>
        <w:ind w:left="6480" w:hanging="360"/>
      </w:pPr>
    </w:lvl>
  </w:abstractNum>
  <w:abstractNum w:abstractNumId="4" w15:restartNumberingAfterBreak="0">
    <w:nsid w:val="78076D51"/>
    <w:multiLevelType w:val="multilevel"/>
    <w:tmpl w:val="066E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959874">
    <w:abstractNumId w:val="1"/>
  </w:num>
  <w:num w:numId="2" w16cid:durableId="1543667111">
    <w:abstractNumId w:val="2"/>
  </w:num>
  <w:num w:numId="3" w16cid:durableId="1855998017">
    <w:abstractNumId w:val="0"/>
  </w:num>
  <w:num w:numId="4" w16cid:durableId="1987319963">
    <w:abstractNumId w:val="4"/>
  </w:num>
  <w:num w:numId="5" w16cid:durableId="212090473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DFBEE"/>
    <w:rsid w:val="00004C53"/>
    <w:rsid w:val="00020D8C"/>
    <w:rsid w:val="00063BF6"/>
    <w:rsid w:val="0007105B"/>
    <w:rsid w:val="00075730"/>
    <w:rsid w:val="00080A5D"/>
    <w:rsid w:val="000B0A24"/>
    <w:rsid w:val="000B724C"/>
    <w:rsid w:val="000D061B"/>
    <w:rsid w:val="000E645B"/>
    <w:rsid w:val="00114DF8"/>
    <w:rsid w:val="001221BC"/>
    <w:rsid w:val="00150753"/>
    <w:rsid w:val="00154C3B"/>
    <w:rsid w:val="00163F20"/>
    <w:rsid w:val="0016775D"/>
    <w:rsid w:val="00180B42"/>
    <w:rsid w:val="001844A9"/>
    <w:rsid w:val="001928AB"/>
    <w:rsid w:val="001951A0"/>
    <w:rsid w:val="00196827"/>
    <w:rsid w:val="001C0064"/>
    <w:rsid w:val="001D4C6D"/>
    <w:rsid w:val="001E1FE5"/>
    <w:rsid w:val="001F0BA5"/>
    <w:rsid w:val="001F4259"/>
    <w:rsid w:val="00214F5F"/>
    <w:rsid w:val="002338A3"/>
    <w:rsid w:val="00246D8F"/>
    <w:rsid w:val="002745D5"/>
    <w:rsid w:val="002B0F3E"/>
    <w:rsid w:val="002B1012"/>
    <w:rsid w:val="002B2F6D"/>
    <w:rsid w:val="002B4E04"/>
    <w:rsid w:val="002B54E7"/>
    <w:rsid w:val="002C1903"/>
    <w:rsid w:val="002D2D04"/>
    <w:rsid w:val="002D3CE9"/>
    <w:rsid w:val="002D532C"/>
    <w:rsid w:val="002F249B"/>
    <w:rsid w:val="002F6840"/>
    <w:rsid w:val="00326B8C"/>
    <w:rsid w:val="003349B1"/>
    <w:rsid w:val="00381E7D"/>
    <w:rsid w:val="003C4859"/>
    <w:rsid w:val="003E57AD"/>
    <w:rsid w:val="004060D2"/>
    <w:rsid w:val="00416939"/>
    <w:rsid w:val="00417B4D"/>
    <w:rsid w:val="00425546"/>
    <w:rsid w:val="00442043"/>
    <w:rsid w:val="0045781F"/>
    <w:rsid w:val="0046288E"/>
    <w:rsid w:val="00486D2F"/>
    <w:rsid w:val="004965DE"/>
    <w:rsid w:val="004A2495"/>
    <w:rsid w:val="004A2836"/>
    <w:rsid w:val="004D07B2"/>
    <w:rsid w:val="004F095B"/>
    <w:rsid w:val="004F54A8"/>
    <w:rsid w:val="004F6622"/>
    <w:rsid w:val="005067ED"/>
    <w:rsid w:val="00536AD9"/>
    <w:rsid w:val="00551E91"/>
    <w:rsid w:val="00566DB3"/>
    <w:rsid w:val="0058732A"/>
    <w:rsid w:val="005950CD"/>
    <w:rsid w:val="005A1594"/>
    <w:rsid w:val="005A3081"/>
    <w:rsid w:val="005C61BF"/>
    <w:rsid w:val="005C6777"/>
    <w:rsid w:val="005D2C25"/>
    <w:rsid w:val="005D5078"/>
    <w:rsid w:val="005F08BA"/>
    <w:rsid w:val="006006AF"/>
    <w:rsid w:val="00623197"/>
    <w:rsid w:val="00636DF5"/>
    <w:rsid w:val="0065441E"/>
    <w:rsid w:val="00684053"/>
    <w:rsid w:val="00690DDB"/>
    <w:rsid w:val="006A2647"/>
    <w:rsid w:val="006A403D"/>
    <w:rsid w:val="006B3AAC"/>
    <w:rsid w:val="006C116D"/>
    <w:rsid w:val="006E4137"/>
    <w:rsid w:val="00723ADE"/>
    <w:rsid w:val="00724EB6"/>
    <w:rsid w:val="0073061D"/>
    <w:rsid w:val="00745760"/>
    <w:rsid w:val="007722A8"/>
    <w:rsid w:val="00774065"/>
    <w:rsid w:val="007A2DBC"/>
    <w:rsid w:val="007A50B4"/>
    <w:rsid w:val="007D3681"/>
    <w:rsid w:val="007D5182"/>
    <w:rsid w:val="007E46B6"/>
    <w:rsid w:val="00812C9A"/>
    <w:rsid w:val="0082442A"/>
    <w:rsid w:val="00824BC0"/>
    <w:rsid w:val="008362DB"/>
    <w:rsid w:val="008426B7"/>
    <w:rsid w:val="00845267"/>
    <w:rsid w:val="00852C5C"/>
    <w:rsid w:val="008641BD"/>
    <w:rsid w:val="008727A4"/>
    <w:rsid w:val="00884E06"/>
    <w:rsid w:val="00887B17"/>
    <w:rsid w:val="00893453"/>
    <w:rsid w:val="008E2E48"/>
    <w:rsid w:val="00906562"/>
    <w:rsid w:val="00913FC8"/>
    <w:rsid w:val="009222D0"/>
    <w:rsid w:val="0093616B"/>
    <w:rsid w:val="00940915"/>
    <w:rsid w:val="009414C8"/>
    <w:rsid w:val="0094593B"/>
    <w:rsid w:val="00946A01"/>
    <w:rsid w:val="009572D0"/>
    <w:rsid w:val="00961FA9"/>
    <w:rsid w:val="009668D6"/>
    <w:rsid w:val="009822F6"/>
    <w:rsid w:val="009A50E2"/>
    <w:rsid w:val="009B6C32"/>
    <w:rsid w:val="009C0013"/>
    <w:rsid w:val="00A2411E"/>
    <w:rsid w:val="00A55028"/>
    <w:rsid w:val="00A56545"/>
    <w:rsid w:val="00A64527"/>
    <w:rsid w:val="00A67E34"/>
    <w:rsid w:val="00A74D29"/>
    <w:rsid w:val="00A96C6A"/>
    <w:rsid w:val="00AA04FA"/>
    <w:rsid w:val="00AA62F3"/>
    <w:rsid w:val="00AB3AE4"/>
    <w:rsid w:val="00AB7F9E"/>
    <w:rsid w:val="00AC64E3"/>
    <w:rsid w:val="00B0625D"/>
    <w:rsid w:val="00B17459"/>
    <w:rsid w:val="00B6253B"/>
    <w:rsid w:val="00B77AC9"/>
    <w:rsid w:val="00B9318B"/>
    <w:rsid w:val="00BA49CB"/>
    <w:rsid w:val="00BB53F1"/>
    <w:rsid w:val="00BC56C4"/>
    <w:rsid w:val="00BE20D6"/>
    <w:rsid w:val="00BF33B7"/>
    <w:rsid w:val="00C013DA"/>
    <w:rsid w:val="00C04428"/>
    <w:rsid w:val="00C04E34"/>
    <w:rsid w:val="00C20D6B"/>
    <w:rsid w:val="00C2173C"/>
    <w:rsid w:val="00C25715"/>
    <w:rsid w:val="00C25FFB"/>
    <w:rsid w:val="00C4053D"/>
    <w:rsid w:val="00C52CFD"/>
    <w:rsid w:val="00C619BC"/>
    <w:rsid w:val="00C62362"/>
    <w:rsid w:val="00C74969"/>
    <w:rsid w:val="00C868C2"/>
    <w:rsid w:val="00C96E2A"/>
    <w:rsid w:val="00CA7B83"/>
    <w:rsid w:val="00CC1613"/>
    <w:rsid w:val="00CE7758"/>
    <w:rsid w:val="00CF7577"/>
    <w:rsid w:val="00CF7A5D"/>
    <w:rsid w:val="00D13B8D"/>
    <w:rsid w:val="00D165E5"/>
    <w:rsid w:val="00D2228B"/>
    <w:rsid w:val="00D346ED"/>
    <w:rsid w:val="00D45F58"/>
    <w:rsid w:val="00D5308A"/>
    <w:rsid w:val="00D64E13"/>
    <w:rsid w:val="00D70891"/>
    <w:rsid w:val="00D752A9"/>
    <w:rsid w:val="00D9304B"/>
    <w:rsid w:val="00DA76B9"/>
    <w:rsid w:val="00DB274C"/>
    <w:rsid w:val="00DB44B5"/>
    <w:rsid w:val="00DC0AC2"/>
    <w:rsid w:val="00DC52DD"/>
    <w:rsid w:val="00DC6E4E"/>
    <w:rsid w:val="00DD0613"/>
    <w:rsid w:val="00DF7938"/>
    <w:rsid w:val="00E16CAD"/>
    <w:rsid w:val="00E20D7E"/>
    <w:rsid w:val="00E27FCE"/>
    <w:rsid w:val="00E315C7"/>
    <w:rsid w:val="00E325F2"/>
    <w:rsid w:val="00E42EE7"/>
    <w:rsid w:val="00E456F7"/>
    <w:rsid w:val="00E54F8F"/>
    <w:rsid w:val="00E66287"/>
    <w:rsid w:val="00E85D03"/>
    <w:rsid w:val="00EA748F"/>
    <w:rsid w:val="00EB7720"/>
    <w:rsid w:val="00EC07EB"/>
    <w:rsid w:val="00EC2C26"/>
    <w:rsid w:val="00ED1361"/>
    <w:rsid w:val="00ED2F36"/>
    <w:rsid w:val="00ED389A"/>
    <w:rsid w:val="00EE7087"/>
    <w:rsid w:val="00F04A82"/>
    <w:rsid w:val="00F07D53"/>
    <w:rsid w:val="00F2295E"/>
    <w:rsid w:val="00F35346"/>
    <w:rsid w:val="00F802ED"/>
    <w:rsid w:val="00F86456"/>
    <w:rsid w:val="00F87ED4"/>
    <w:rsid w:val="00F96F68"/>
    <w:rsid w:val="00FB5012"/>
    <w:rsid w:val="00FD13F6"/>
    <w:rsid w:val="00FD1ACF"/>
    <w:rsid w:val="00FD309D"/>
    <w:rsid w:val="00FD452B"/>
    <w:rsid w:val="00FE554A"/>
    <w:rsid w:val="00FF4464"/>
    <w:rsid w:val="00FF683A"/>
    <w:rsid w:val="1C84C21F"/>
    <w:rsid w:val="2AA860A7"/>
    <w:rsid w:val="31DDDF15"/>
    <w:rsid w:val="32259A76"/>
    <w:rsid w:val="36E2781D"/>
    <w:rsid w:val="407DCF26"/>
    <w:rsid w:val="5014D130"/>
    <w:rsid w:val="592C80BC"/>
    <w:rsid w:val="60513B82"/>
    <w:rsid w:val="656692A6"/>
    <w:rsid w:val="682CE3D8"/>
    <w:rsid w:val="743DF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82F03"/>
  <w15:chartTrackingRefBased/>
  <w15:docId w15:val="{2F30885E-0CF2-4EBA-81A8-B63E628A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6B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link w:val="Heading2Char"/>
    <w:uiPriority w:val="9"/>
    <w:unhideWhenUsed/>
    <w:qFormat/>
    <w:rsid w:val="00080A5D"/>
    <w:pPr>
      <w:spacing w:before="240" w:after="120" w:line="240" w:lineRule="auto"/>
      <w:outlineLvl w:val="1"/>
    </w:pPr>
    <w:rPr>
      <w:rFonts w:ascii="Calibri" w:eastAsia="Calibri" w:hAnsi="Calibri" w:cs="Calibri"/>
      <w:b/>
      <w:bCs/>
      <w:color w:val="065A82"/>
      <w:sz w:val="26"/>
      <w:szCs w:val="26"/>
      <w:lang w:val="es-CO" w:eastAsia="es-MX"/>
    </w:rPr>
  </w:style>
  <w:style w:type="paragraph" w:styleId="Heading4">
    <w:name w:val="heading 4"/>
    <w:basedOn w:val="Normal"/>
    <w:next w:val="Normal"/>
    <w:link w:val="Heading4Char"/>
    <w:uiPriority w:val="9"/>
    <w:semiHidden/>
    <w:unhideWhenUsed/>
    <w:qFormat/>
    <w:rsid w:val="00D752A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6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E4E"/>
  </w:style>
  <w:style w:type="paragraph" w:styleId="Footer">
    <w:name w:val="footer"/>
    <w:basedOn w:val="Normal"/>
    <w:link w:val="FooterChar"/>
    <w:uiPriority w:val="99"/>
    <w:unhideWhenUsed/>
    <w:rsid w:val="00DC6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E4E"/>
  </w:style>
  <w:style w:type="character" w:customStyle="1" w:styleId="Heading2Char">
    <w:name w:val="Heading 2 Char"/>
    <w:basedOn w:val="DefaultParagraphFont"/>
    <w:link w:val="Heading2"/>
    <w:uiPriority w:val="9"/>
    <w:rsid w:val="00080A5D"/>
    <w:rPr>
      <w:rFonts w:ascii="Calibri" w:eastAsia="Calibri" w:hAnsi="Calibri" w:cs="Calibri"/>
      <w:b/>
      <w:bCs/>
      <w:color w:val="065A82"/>
      <w:sz w:val="26"/>
      <w:szCs w:val="26"/>
      <w:lang w:val="es-CO" w:eastAsia="es-MX"/>
    </w:rPr>
  </w:style>
  <w:style w:type="character" w:customStyle="1" w:styleId="Heading1Char">
    <w:name w:val="Heading 1 Char"/>
    <w:basedOn w:val="DefaultParagraphFont"/>
    <w:link w:val="Heading1"/>
    <w:uiPriority w:val="9"/>
    <w:rsid w:val="007E46B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752A9"/>
    <w:rPr>
      <w:rFonts w:asciiTheme="majorHAnsi" w:eastAsiaTheme="majorEastAsia" w:hAnsiTheme="majorHAnsi" w:cstheme="majorBidi"/>
      <w:i/>
      <w:iCs/>
      <w:color w:val="0F4761" w:themeColor="accent1" w:themeShade="BF"/>
    </w:rPr>
  </w:style>
  <w:style w:type="paragraph" w:styleId="ListParagraph">
    <w:name w:val="List Paragraph"/>
    <w:basedOn w:val="Normal"/>
    <w:qFormat/>
    <w:rsid w:val="0082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5995af9-03e9-4980-a6bd-fc670e40637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912C11EBEBE7EB4F8E23E569C5262721" ma:contentTypeVersion="15" ma:contentTypeDescription="Crear nuevo documento." ma:contentTypeScope="" ma:versionID="5d2652a6a980de6c5a2891c72786eb8c">
  <xsd:schema xmlns:xsd="http://www.w3.org/2001/XMLSchema" xmlns:xs="http://www.w3.org/2001/XMLSchema" xmlns:p="http://schemas.microsoft.com/office/2006/metadata/properties" xmlns:ns3="25995af9-03e9-4980-a6bd-fc670e406370" xmlns:ns4="57827d45-79cf-4d77-bc17-c67775198c5e" targetNamespace="http://schemas.microsoft.com/office/2006/metadata/properties" ma:root="true" ma:fieldsID="e7a5a42a3962145854695b4dea9e8343" ns3:_="" ns4:_="">
    <xsd:import namespace="25995af9-03e9-4980-a6bd-fc670e406370"/>
    <xsd:import namespace="57827d45-79cf-4d77-bc17-c67775198c5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95af9-03e9-4980-a6bd-fc670e406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827d45-79cf-4d77-bc17-c67775198c5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7E97E8-CED3-4238-9FEC-7A1AC3A9F43D}">
  <ds:schemaRefs>
    <ds:schemaRef ds:uri="http://schemas.microsoft.com/office/2006/metadata/properties"/>
    <ds:schemaRef ds:uri="http://schemas.microsoft.com/office/infopath/2007/PartnerControls"/>
    <ds:schemaRef ds:uri="25995af9-03e9-4980-a6bd-fc670e406370"/>
  </ds:schemaRefs>
</ds:datastoreItem>
</file>

<file path=customXml/itemProps2.xml><?xml version="1.0" encoding="utf-8"?>
<ds:datastoreItem xmlns:ds="http://schemas.openxmlformats.org/officeDocument/2006/customXml" ds:itemID="{2A4B1C61-87EC-494D-9570-84F1C7436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95af9-03e9-4980-a6bd-fc670e406370"/>
    <ds:schemaRef ds:uri="57827d45-79cf-4d77-bc17-c67775198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08FF85-70EB-47A7-A109-1E6C547CE6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2065</Words>
  <Characters>11772</Characters>
  <Application>Microsoft Office Word</Application>
  <DocSecurity>0</DocSecurity>
  <Lines>98</Lines>
  <Paragraphs>27</Paragraphs>
  <ScaleCrop>false</ScaleCrop>
  <Company/>
  <LinksUpToDate>false</LinksUpToDate>
  <CharactersWithSpaces>13810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Benavides Santacruz</dc:creator>
  <cp:keywords/>
  <dc:description/>
  <cp:lastModifiedBy>Daniel Benavides</cp:lastModifiedBy>
  <cp:revision>5</cp:revision>
  <cp:lastPrinted>2026-05-29T12:52:00Z</cp:lastPrinted>
  <dcterms:created xsi:type="dcterms:W3CDTF">2026-07-20T00:14:00Z</dcterms:created>
  <dcterms:modified xsi:type="dcterms:W3CDTF">2026-07-20T00:16:00Z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0x010100912C11EBEBE7EB4F8E23E569C5262721</vt:lpwstr>
  </property>
</Properties>
</file>