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DB274C" w:rsidRDefault="00E325F2" w:rsidP="00214F5F">
      <w:pPr>
        <w:pStyle w:val="Heading1"/>
        <w:jc w:val="center"/>
        <w:rPr>
          <w:rFonts w:ascii="Aptos Narrow" w:hAnsi="Aptos Narrow"/>
          <w:b/>
          <w:bCs/>
          <w:lang w:val="es-419"/>
        </w:rPr>
      </w:pPr>
      <w:bookmarkStart w:id="0" w:name="_Toc228135348"/>
      <w:r w:rsidRPr="32259A76">
        <w:rPr>
          <w:rFonts w:ascii="Aptos Narrow" w:hAnsi="Aptos Narrow"/>
          <w:b/>
          <w:bCs/>
          <w:lang w:val="es-419"/>
        </w:rPr>
        <w:t>SCRIPT</w:t>
      </w:r>
      <w:r w:rsidR="00CA7B83" w:rsidRPr="32259A76">
        <w:rPr>
          <w:rFonts w:ascii="Aptos Narrow" w:hAnsi="Aptos Narrow"/>
          <w:b/>
          <w:bCs/>
          <w:lang w:val="es-419"/>
        </w:rPr>
        <w:t xml:space="preserve"> SUGERIDO</w:t>
      </w:r>
      <w:bookmarkEnd w:id="0"/>
    </w:p>
    <w:p w14:paraId="684DCEE4" w14:textId="0BF315C2" w:rsidR="60513B82" w:rsidRPr="00745760" w:rsidRDefault="60513B82" w:rsidP="32259A76">
      <w:pPr>
        <w:pStyle w:val="Heading2"/>
        <w:jc w:val="both"/>
        <w:rPr>
          <w:rFonts w:ascii="Aptos Narrow" w:eastAsia="Aptos Narrow" w:hAnsi="Aptos Narrow" w:cs="Aptos Narrow"/>
          <w:sz w:val="22"/>
          <w:szCs w:val="22"/>
          <w:lang w:val="es-419"/>
        </w:rPr>
      </w:pPr>
      <w:r w:rsidRPr="32259A76">
        <w:rPr>
          <w:rFonts w:ascii="Aptos Narrow" w:eastAsia="Aptos Narrow" w:hAnsi="Aptos Narrow" w:cs="Aptos Narrow"/>
          <w:sz w:val="22"/>
          <w:szCs w:val="22"/>
        </w:rPr>
        <w:t>SEMANA 6: Integración — Análisis Sistémico Completo con Dimensión de Gobernanza</w:t>
      </w:r>
    </w:p>
    <w:p w14:paraId="7A805233" w14:textId="2B186A80" w:rsidR="60513B82" w:rsidRPr="00ED2F36" w:rsidRDefault="60513B82" w:rsidP="32259A76">
      <w:pPr>
        <w:spacing w:after="80"/>
        <w:jc w:val="both"/>
        <w:rPr>
          <w:rFonts w:ascii="Aptos Narrow" w:eastAsia="Aptos Narrow" w:hAnsi="Aptos Narrow" w:cs="Aptos Narrow"/>
          <w:color w:val="B85042"/>
          <w:sz w:val="22"/>
          <w:szCs w:val="22"/>
          <w:lang w:val="es-419"/>
        </w:rPr>
      </w:pPr>
      <w:r w:rsidRPr="32259A76">
        <w:rPr>
          <w:rFonts w:ascii="Aptos Narrow" w:eastAsia="Aptos Narrow" w:hAnsi="Aptos Narrow" w:cs="Aptos Narrow"/>
          <w:i/>
          <w:iCs/>
          <w:color w:val="B85042"/>
          <w:sz w:val="22"/>
          <w:szCs w:val="22"/>
          <w:lang w:val="es-CO"/>
        </w:rPr>
        <w:t>Caso ancla: Proyecto eólico en La Guajira — comunidades Wayuu, consulta previa y licencia social</w:t>
      </w:r>
    </w:p>
    <w:p w14:paraId="02BD9F54" w14:textId="61EF0986" w:rsidR="60513B82" w:rsidRPr="00ED2F36" w:rsidRDefault="60513B82" w:rsidP="32259A76">
      <w:pPr>
        <w:pBdr>
          <w:bottom w:val="single" w:sz="8" w:space="6" w:color="1E2761"/>
        </w:pBdr>
        <w:spacing w:after="120"/>
        <w:jc w:val="both"/>
        <w:rPr>
          <w:rFonts w:ascii="Aptos Narrow" w:eastAsia="Aptos Narrow" w:hAnsi="Aptos Narrow" w:cs="Aptos Narrow"/>
          <w:color w:val="000000" w:themeColor="text1"/>
          <w:sz w:val="22"/>
          <w:szCs w:val="22"/>
          <w:lang w:val="es-419"/>
        </w:rPr>
      </w:pPr>
      <w:r w:rsidRPr="32259A76">
        <w:rPr>
          <w:rFonts w:ascii="Aptos Narrow" w:eastAsia="Aptos Narrow" w:hAnsi="Aptos Narrow" w:cs="Aptos Narrow"/>
          <w:b/>
          <w:bCs/>
          <w:color w:val="1E2761"/>
          <w:sz w:val="22"/>
          <w:szCs w:val="22"/>
          <w:lang w:val="es-CO"/>
        </w:rPr>
        <w:t xml:space="preserve">Resultados de Aprendizaje verificados: </w:t>
      </w:r>
      <w:r w:rsidRPr="32259A76">
        <w:rPr>
          <w:rFonts w:ascii="Aptos Narrow" w:eastAsia="Aptos Narrow" w:hAnsi="Aptos Narrow" w:cs="Aptos Narrow"/>
          <w:color w:val="000000" w:themeColor="text1"/>
          <w:sz w:val="22"/>
          <w:szCs w:val="22"/>
          <w:lang w:val="es-CO"/>
        </w:rPr>
        <w:t xml:space="preserve">RAC 4 (alto) · RAC 1, 2, 3 (alto: </w:t>
      </w:r>
      <w:proofErr w:type="gramStart"/>
      <w:r w:rsidRPr="32259A76">
        <w:rPr>
          <w:rFonts w:ascii="Aptos Narrow" w:eastAsia="Aptos Narrow" w:hAnsi="Aptos Narrow" w:cs="Aptos Narrow"/>
          <w:color w:val="000000" w:themeColor="text1"/>
          <w:sz w:val="22"/>
          <w:szCs w:val="22"/>
          <w:lang w:val="es-CO"/>
        </w:rPr>
        <w:t>integración)</w:t>
      </w:r>
      <w:r w:rsidRPr="32259A76">
        <w:rPr>
          <w:rFonts w:ascii="Aptos Narrow" w:eastAsia="Aptos Narrow" w:hAnsi="Aptos Narrow" w:cs="Aptos Narrow"/>
          <w:color w:val="5C6478"/>
          <w:sz w:val="22"/>
          <w:szCs w:val="22"/>
          <w:lang w:val="es-CO"/>
        </w:rPr>
        <w:t xml:space="preserve">  ·</w:t>
      </w:r>
      <w:proofErr w:type="gramEnd"/>
      <w:r w:rsidRPr="32259A76">
        <w:rPr>
          <w:rFonts w:ascii="Aptos Narrow" w:eastAsia="Aptos Narrow" w:hAnsi="Aptos Narrow" w:cs="Aptos Narrow"/>
          <w:color w:val="5C6478"/>
          <w:sz w:val="22"/>
          <w:szCs w:val="22"/>
          <w:lang w:val="es-CO"/>
        </w:rPr>
        <w:t xml:space="preserve">  </w:t>
      </w:r>
      <w:r w:rsidRPr="32259A76">
        <w:rPr>
          <w:rFonts w:ascii="Aptos Narrow" w:eastAsia="Aptos Narrow" w:hAnsi="Aptos Narrow" w:cs="Aptos Narrow"/>
          <w:b/>
          <w:bCs/>
          <w:color w:val="1E2761"/>
          <w:sz w:val="22"/>
          <w:szCs w:val="22"/>
          <w:lang w:val="es-CO"/>
        </w:rPr>
        <w:t xml:space="preserve">RA del programa: </w:t>
      </w:r>
      <w:r w:rsidRPr="32259A76">
        <w:rPr>
          <w:rFonts w:ascii="Aptos Narrow" w:eastAsia="Aptos Narrow" w:hAnsi="Aptos Narrow" w:cs="Aptos Narrow"/>
          <w:color w:val="000000" w:themeColor="text1"/>
          <w:sz w:val="22"/>
          <w:szCs w:val="22"/>
          <w:lang w:val="es-CO"/>
        </w:rPr>
        <w:t>RA1.5, RA2.5, RA3.5, RA4, RA-Ética, RA-Comunicación</w:t>
      </w:r>
    </w:p>
    <w:p w14:paraId="5C42D289" w14:textId="7F0F5652" w:rsidR="60513B82" w:rsidRPr="005D2C25" w:rsidRDefault="60513B82" w:rsidP="32259A76">
      <w:pPr>
        <w:spacing w:before="60" w:after="60" w:line="300" w:lineRule="auto"/>
        <w:jc w:val="both"/>
        <w:rPr>
          <w:rFonts w:ascii="Aptos Narrow" w:eastAsia="Aptos Narrow" w:hAnsi="Aptos Narrow" w:cs="Aptos Narrow"/>
          <w:color w:val="000000" w:themeColor="text1"/>
          <w:sz w:val="22"/>
          <w:szCs w:val="22"/>
          <w:lang w:val="es-419"/>
        </w:rPr>
      </w:pPr>
      <w:r w:rsidRPr="32259A76">
        <w:rPr>
          <w:rFonts w:ascii="Aptos Narrow" w:eastAsia="Aptos Narrow" w:hAnsi="Aptos Narrow" w:cs="Aptos Narrow"/>
          <w:color w:val="000000" w:themeColor="text1"/>
          <w:sz w:val="22"/>
          <w:szCs w:val="22"/>
          <w:lang w:val="es-CO"/>
        </w:rPr>
        <w:t xml:space="preserve">Semana integradora que demuestra cómo combinar todas las herramientas del curso (complejidad, redes y dinámica de sistemas) con la dimensión que los modelos cuantitativos no capturan: actores con intereses en conflicto, gobernanza policéntrica, justicia energética y consulta previa. En Colombia, la licencia social es tan determinante para la viabilidad de un proyecto como su TIR financiera. Así, como complemento al análisis económico, el estudiante analiza el caso </w:t>
      </w:r>
      <w:proofErr w:type="spellStart"/>
      <w:r w:rsidRPr="32259A76">
        <w:rPr>
          <w:rFonts w:ascii="Aptos Narrow" w:eastAsia="Aptos Narrow" w:hAnsi="Aptos Narrow" w:cs="Aptos Narrow"/>
          <w:color w:val="000000" w:themeColor="text1"/>
          <w:sz w:val="22"/>
          <w:szCs w:val="22"/>
          <w:lang w:val="es-CO"/>
        </w:rPr>
        <w:t>Windpeshi</w:t>
      </w:r>
      <w:proofErr w:type="spellEnd"/>
      <w:r w:rsidRPr="32259A76">
        <w:rPr>
          <w:rFonts w:ascii="Aptos Narrow" w:eastAsia="Aptos Narrow" w:hAnsi="Aptos Narrow" w:cs="Aptos Narrow"/>
          <w:color w:val="000000" w:themeColor="text1"/>
          <w:sz w:val="22"/>
          <w:szCs w:val="22"/>
          <w:lang w:val="es-CO"/>
        </w:rPr>
        <w:t xml:space="preserve"> desde cuatro capas complementarias (estructura física, dinámica de mercado, red de actores, gobernanza) y produce un informe de consultoría sistémica integrado que sirve como "ensayo general" del proyecto final. La sesión sincrónica incluye una actividad experiencial breve de negociación </w:t>
      </w:r>
      <w:proofErr w:type="spellStart"/>
      <w:r w:rsidRPr="32259A76">
        <w:rPr>
          <w:rFonts w:ascii="Aptos Narrow" w:eastAsia="Aptos Narrow" w:hAnsi="Aptos Narrow" w:cs="Aptos Narrow"/>
          <w:color w:val="000000" w:themeColor="text1"/>
          <w:sz w:val="22"/>
          <w:szCs w:val="22"/>
          <w:lang w:val="es-CO"/>
        </w:rPr>
        <w:t>multi-actor</w:t>
      </w:r>
      <w:proofErr w:type="spellEnd"/>
      <w:r w:rsidRPr="32259A76">
        <w:rPr>
          <w:rFonts w:ascii="Aptos Narrow" w:eastAsia="Aptos Narrow" w:hAnsi="Aptos Narrow" w:cs="Aptos Narrow"/>
          <w:color w:val="000000" w:themeColor="text1"/>
          <w:sz w:val="22"/>
          <w:szCs w:val="22"/>
          <w:lang w:val="es-CO"/>
        </w:rPr>
        <w:t>.</w:t>
      </w:r>
    </w:p>
    <w:p w14:paraId="3DA5A7DB" w14:textId="5D26B2F0" w:rsidR="004A2836" w:rsidRPr="00DB274C" w:rsidRDefault="00684053" w:rsidP="00724EB6">
      <w:pPr>
        <w:spacing w:before="200" w:after="100"/>
        <w:rPr>
          <w:rFonts w:ascii="Aptos Narrow" w:hAnsi="Aptos Narrow"/>
          <w:b/>
          <w:bCs/>
          <w:color w:val="065A82"/>
          <w:sz w:val="22"/>
          <w:szCs w:val="22"/>
          <w:lang w:val="es-419"/>
        </w:rPr>
      </w:pPr>
      <w:r w:rsidRPr="00DB274C">
        <w:rPr>
          <w:rFonts w:ascii="Aptos Narrow" w:hAnsi="Aptos Narrow"/>
          <w:b/>
          <w:bCs/>
          <w:color w:val="065A82"/>
          <w:sz w:val="22"/>
          <w:szCs w:val="22"/>
          <w:lang w:val="es-419"/>
        </w:rPr>
        <w:t xml:space="preserve">Bloque Autónomo — 10 horas (secuencia Mo → Co → Pr → </w:t>
      </w:r>
      <w:proofErr w:type="spellStart"/>
      <w:r w:rsidRPr="00DB274C">
        <w:rPr>
          <w:rFonts w:ascii="Aptos Narrow" w:hAnsi="Aptos Narrow"/>
          <w:b/>
          <w:bCs/>
          <w:color w:val="065A82"/>
          <w:sz w:val="22"/>
          <w:szCs w:val="22"/>
          <w:lang w:val="es-419"/>
        </w:rPr>
        <w:t>Ev</w:t>
      </w:r>
      <w:proofErr w:type="spellEnd"/>
      <w:r w:rsidRPr="00DB274C">
        <w:rPr>
          <w:rFonts w:ascii="Aptos Narrow" w:hAnsi="Aptos Narrow"/>
          <w:b/>
          <w:bCs/>
          <w:color w:val="065A82"/>
          <w:sz w:val="22"/>
          <w:szCs w:val="22"/>
          <w:lang w:val="es-419"/>
        </w:rPr>
        <w:t xml:space="preserve"> → </w:t>
      </w:r>
      <w:proofErr w:type="spellStart"/>
      <w:r w:rsidRPr="00DB274C">
        <w:rPr>
          <w:rFonts w:ascii="Aptos Narrow" w:hAnsi="Aptos Narrow"/>
          <w:b/>
          <w:bCs/>
          <w:color w:val="065A82"/>
          <w:sz w:val="22"/>
          <w:szCs w:val="22"/>
          <w:lang w:val="es-419"/>
        </w:rPr>
        <w:t>Proy</w:t>
      </w:r>
      <w:proofErr w:type="spellEnd"/>
      <w:r w:rsidRPr="00DB274C">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DB274C" w14:paraId="74BA0B68" w14:textId="77777777" w:rsidTr="32259A76">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DB274C" w:rsidRDefault="00724EB6" w:rsidP="00724EB6">
            <w:pPr>
              <w:jc w:val="center"/>
              <w:rPr>
                <w:rFonts w:ascii="Aptos Narrow" w:hAnsi="Aptos Narrow"/>
                <w:sz w:val="22"/>
                <w:szCs w:val="22"/>
              </w:rPr>
            </w:pPr>
            <w:proofErr w:type="spellStart"/>
            <w:r w:rsidRPr="00DB274C">
              <w:rPr>
                <w:rFonts w:ascii="Aptos Narrow" w:hAnsi="Aptos Narrow"/>
                <w:b/>
                <w:bCs/>
                <w:color w:val="FFFFFF"/>
                <w:sz w:val="22"/>
                <w:szCs w:val="22"/>
              </w:rPr>
              <w:t>Cód</w:t>
            </w:r>
            <w:proofErr w:type="spellEnd"/>
            <w:r w:rsidRPr="00DB274C">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DB274C" w:rsidRDefault="00724EB6" w:rsidP="00724EB6">
            <w:pPr>
              <w:jc w:val="center"/>
              <w:rPr>
                <w:rFonts w:ascii="Aptos Narrow" w:hAnsi="Aptos Narrow"/>
                <w:b/>
                <w:bCs/>
                <w:sz w:val="22"/>
                <w:szCs w:val="22"/>
              </w:rPr>
            </w:pPr>
            <w:proofErr w:type="spellStart"/>
            <w:r w:rsidRPr="00DB274C">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DB274C" w:rsidRDefault="00724EB6" w:rsidP="00724EB6">
            <w:pPr>
              <w:jc w:val="center"/>
              <w:rPr>
                <w:rFonts w:ascii="Aptos Narrow" w:hAnsi="Aptos Narrow"/>
                <w:sz w:val="22"/>
                <w:szCs w:val="22"/>
                <w:lang w:val="es-419"/>
              </w:rPr>
            </w:pPr>
            <w:r w:rsidRPr="00DB274C">
              <w:rPr>
                <w:rFonts w:ascii="Aptos Narrow" w:hAnsi="Aptos Narrow"/>
                <w:b/>
                <w:bCs/>
                <w:color w:val="FFFFFF"/>
                <w:sz w:val="22"/>
                <w:szCs w:val="22"/>
                <w:lang w:val="es-419"/>
              </w:rPr>
              <w:t>Descripción</w:t>
            </w:r>
          </w:p>
        </w:tc>
      </w:tr>
      <w:tr w:rsidR="004F6622" w:rsidRPr="00FD452B" w14:paraId="48B2D932" w14:textId="77777777" w:rsidTr="32259A76">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4F6622" w:rsidRPr="00DB274C" w:rsidRDefault="004F6622" w:rsidP="004F6622">
            <w:pPr>
              <w:spacing w:after="0"/>
              <w:jc w:val="center"/>
              <w:rPr>
                <w:rFonts w:ascii="Aptos Narrow" w:hAnsi="Aptos Narrow"/>
                <w:sz w:val="20"/>
                <w:szCs w:val="20"/>
              </w:rPr>
            </w:pPr>
            <w:proofErr w:type="spellStart"/>
            <w:r w:rsidRPr="00DB274C">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337922C5" w14:textId="0B926936" w:rsidR="32259A76" w:rsidRDefault="32259A76" w:rsidP="32259A76">
            <w:pPr>
              <w:spacing w:after="40"/>
              <w:jc w:val="both"/>
              <w:rPr>
                <w:rFonts w:ascii="Aptos Narrow" w:eastAsia="Aptos Narrow" w:hAnsi="Aptos Narrow" w:cs="Aptos Narrow"/>
                <w:color w:val="000000" w:themeColor="text1"/>
                <w:sz w:val="20"/>
                <w:szCs w:val="20"/>
                <w:lang w:val="es-CO"/>
              </w:rPr>
            </w:pPr>
            <w:r w:rsidRPr="32259A76">
              <w:rPr>
                <w:rFonts w:ascii="Aptos Narrow" w:eastAsia="Aptos Narrow" w:hAnsi="Aptos Narrow" w:cs="Aptos Narrow"/>
                <w:color w:val="000000" w:themeColor="text1"/>
                <w:sz w:val="20"/>
                <w:szCs w:val="20"/>
                <w:lang w:val="es-CO"/>
              </w:rPr>
              <w:t>Video-lecciones 6.1–6.4 (47 min): integración redes + dinámica (</w:t>
            </w:r>
            <w:proofErr w:type="spellStart"/>
            <w:r w:rsidRPr="32259A76">
              <w:rPr>
                <w:rFonts w:ascii="Aptos Narrow" w:eastAsia="Aptos Narrow" w:hAnsi="Aptos Narrow" w:cs="Aptos Narrow"/>
                <w:color w:val="000000" w:themeColor="text1"/>
                <w:sz w:val="20"/>
                <w:szCs w:val="20"/>
                <w:lang w:val="es-CO"/>
              </w:rPr>
              <w:t>framework</w:t>
            </w:r>
            <w:proofErr w:type="spellEnd"/>
            <w:r w:rsidRPr="32259A76">
              <w:rPr>
                <w:rFonts w:ascii="Aptos Narrow" w:eastAsia="Aptos Narrow" w:hAnsi="Aptos Narrow" w:cs="Aptos Narrow"/>
                <w:color w:val="000000" w:themeColor="text1"/>
                <w:sz w:val="20"/>
                <w:szCs w:val="20"/>
                <w:lang w:val="es-CO"/>
              </w:rPr>
              <w:t xml:space="preserve"> </w:t>
            </w:r>
            <w:proofErr w:type="spellStart"/>
            <w:r w:rsidRPr="32259A76">
              <w:rPr>
                <w:rFonts w:ascii="Aptos Narrow" w:eastAsia="Aptos Narrow" w:hAnsi="Aptos Narrow" w:cs="Aptos Narrow"/>
                <w:color w:val="000000" w:themeColor="text1"/>
                <w:sz w:val="20"/>
                <w:szCs w:val="20"/>
                <w:lang w:val="es-CO"/>
              </w:rPr>
              <w:t>multi-capa</w:t>
            </w:r>
            <w:proofErr w:type="spellEnd"/>
            <w:r w:rsidRPr="32259A76">
              <w:rPr>
                <w:rFonts w:ascii="Aptos Narrow" w:eastAsia="Aptos Narrow" w:hAnsi="Aptos Narrow" w:cs="Aptos Narrow"/>
                <w:color w:val="000000" w:themeColor="text1"/>
                <w:sz w:val="20"/>
                <w:szCs w:val="20"/>
                <w:lang w:val="es-CO"/>
              </w:rPr>
              <w:t xml:space="preserve">); el proyecto energético como sistema </w:t>
            </w:r>
            <w:proofErr w:type="gramStart"/>
            <w:r w:rsidRPr="32259A76">
              <w:rPr>
                <w:rFonts w:ascii="Aptos Narrow" w:eastAsia="Aptos Narrow" w:hAnsi="Aptos Narrow" w:cs="Aptos Narrow"/>
                <w:color w:val="000000" w:themeColor="text1"/>
                <w:sz w:val="20"/>
                <w:szCs w:val="20"/>
                <w:lang w:val="es-CO"/>
              </w:rPr>
              <w:t>socio-técnico</w:t>
            </w:r>
            <w:proofErr w:type="gramEnd"/>
            <w:r w:rsidRPr="32259A76">
              <w:rPr>
                <w:rFonts w:ascii="Aptos Narrow" w:eastAsia="Aptos Narrow" w:hAnsi="Aptos Narrow" w:cs="Aptos Narrow"/>
                <w:color w:val="000000" w:themeColor="text1"/>
                <w:sz w:val="20"/>
                <w:szCs w:val="20"/>
                <w:lang w:val="es-CO"/>
              </w:rPr>
              <w:t xml:space="preserve">-ambiental; gobernanza policéntrica de Ostrom aplicada a Colombia; las 3 dimensiones de justicia energética de </w:t>
            </w:r>
            <w:proofErr w:type="spellStart"/>
            <w:r w:rsidRPr="32259A76">
              <w:rPr>
                <w:rFonts w:ascii="Aptos Narrow" w:eastAsia="Aptos Narrow" w:hAnsi="Aptos Narrow" w:cs="Aptos Narrow"/>
                <w:color w:val="000000" w:themeColor="text1"/>
                <w:sz w:val="20"/>
                <w:szCs w:val="20"/>
                <w:lang w:val="es-CO"/>
              </w:rPr>
              <w:t>Sovacool</w:t>
            </w:r>
            <w:proofErr w:type="spellEnd"/>
            <w:r w:rsidRPr="32259A76">
              <w:rPr>
                <w:rFonts w:ascii="Aptos Narrow" w:eastAsia="Aptos Narrow" w:hAnsi="Aptos Narrow" w:cs="Aptos Narrow"/>
                <w:color w:val="000000" w:themeColor="text1"/>
                <w:sz w:val="20"/>
                <w:szCs w:val="20"/>
                <w:lang w:val="es-CO"/>
              </w:rPr>
              <w:t xml:space="preserve"> (distributiva, procedimental, de reconocimiento); comunicación de complejidad a audiencias no técnicas. Lectura: Ostrom Cap. 1; Informe Contraloría sobre FNCER en La Guajira; </w:t>
            </w:r>
            <w:proofErr w:type="spellStart"/>
            <w:r w:rsidRPr="32259A76">
              <w:rPr>
                <w:rFonts w:ascii="Aptos Narrow" w:eastAsia="Aptos Narrow" w:hAnsi="Aptos Narrow" w:cs="Aptos Narrow"/>
                <w:color w:val="000000" w:themeColor="text1"/>
                <w:sz w:val="20"/>
                <w:szCs w:val="20"/>
                <w:lang w:val="es-CO"/>
              </w:rPr>
              <w:t>Sovacool</w:t>
            </w:r>
            <w:proofErr w:type="spellEnd"/>
            <w:r w:rsidRPr="32259A76">
              <w:rPr>
                <w:rFonts w:ascii="Aptos Narrow" w:eastAsia="Aptos Narrow" w:hAnsi="Aptos Narrow" w:cs="Aptos Narrow"/>
                <w:color w:val="000000" w:themeColor="text1"/>
                <w:sz w:val="20"/>
                <w:szCs w:val="20"/>
                <w:lang w:val="es-CO"/>
              </w:rPr>
              <w:t xml:space="preserve"> et al. (2017).</w:t>
            </w:r>
          </w:p>
        </w:tc>
      </w:tr>
    </w:tbl>
    <w:p w14:paraId="3F81575C" w14:textId="77777777" w:rsidR="00724EB6" w:rsidRPr="00DB274C" w:rsidRDefault="00724EB6" w:rsidP="006A2647">
      <w:pPr>
        <w:pStyle w:val="Heading2"/>
        <w:rPr>
          <w:rFonts w:ascii="Aptos Narrow" w:hAnsi="Aptos Narrow"/>
          <w:sz w:val="22"/>
          <w:szCs w:val="22"/>
        </w:rPr>
      </w:pPr>
    </w:p>
    <w:p w14:paraId="29CA0D02" w14:textId="77777777" w:rsidR="00724EB6" w:rsidRPr="00DB274C" w:rsidRDefault="00724EB6">
      <w:pPr>
        <w:rPr>
          <w:rFonts w:ascii="Aptos Narrow" w:eastAsia="Calibri" w:hAnsi="Aptos Narrow" w:cs="Calibri"/>
          <w:b/>
          <w:bCs/>
          <w:color w:val="065A82"/>
          <w:sz w:val="22"/>
          <w:szCs w:val="22"/>
          <w:lang w:val="es-CO" w:eastAsia="es-MX"/>
        </w:rPr>
      </w:pPr>
      <w:r w:rsidRPr="00DB274C">
        <w:rPr>
          <w:rFonts w:ascii="Aptos Narrow" w:hAnsi="Aptos Narrow"/>
          <w:sz w:val="22"/>
          <w:szCs w:val="22"/>
          <w:lang w:val="es-419"/>
        </w:rPr>
        <w:br w:type="page"/>
      </w:r>
    </w:p>
    <w:p w14:paraId="31A0717A" w14:textId="777663C2" w:rsidR="006A2647" w:rsidRPr="00DB274C" w:rsidRDefault="006A2647" w:rsidP="006A2647">
      <w:pPr>
        <w:pStyle w:val="Heading2"/>
        <w:rPr>
          <w:rFonts w:ascii="Aptos Narrow" w:hAnsi="Aptos Narrow"/>
          <w:sz w:val="22"/>
          <w:szCs w:val="22"/>
          <w:lang w:val="es-419"/>
        </w:rPr>
      </w:pPr>
      <w:r w:rsidRPr="00DB274C">
        <w:rPr>
          <w:rFonts w:ascii="Aptos Narrow" w:hAnsi="Aptos Narrow"/>
          <w:sz w:val="22"/>
          <w:szCs w:val="22"/>
        </w:rPr>
        <w:lastRenderedPageBreak/>
        <w:t xml:space="preserve">SCRIPT </w:t>
      </w:r>
      <w:r w:rsidRPr="00DB274C">
        <w:rPr>
          <w:rFonts w:ascii="Aptos Narrow" w:hAnsi="Aptos Narrow"/>
          <w:sz w:val="22"/>
          <w:szCs w:val="22"/>
          <w:lang w:val="es-419"/>
        </w:rPr>
        <w:t xml:space="preserve">~ </w:t>
      </w:r>
      <w:r w:rsidR="001F0BA5" w:rsidRPr="00DB274C">
        <w:rPr>
          <w:rFonts w:ascii="Aptos Narrow" w:hAnsi="Aptos Narrow"/>
          <w:sz w:val="22"/>
          <w:szCs w:val="22"/>
          <w:lang w:val="es-419"/>
        </w:rPr>
        <w:t>1</w:t>
      </w:r>
      <w:r w:rsidRPr="00DB274C">
        <w:rPr>
          <w:rFonts w:ascii="Aptos Narrow" w:hAnsi="Aptos Narrow"/>
          <w:sz w:val="22"/>
          <w:szCs w:val="22"/>
          <w:lang w:val="es-419"/>
        </w:rPr>
        <w:t>5 min</w:t>
      </w:r>
    </w:p>
    <w:p w14:paraId="7FC51D38" w14:textId="77777777" w:rsidR="00C3389B" w:rsidRPr="00C3389B" w:rsidRDefault="00CF7577" w:rsidP="00C3389B">
      <w:pPr>
        <w:spacing w:after="60"/>
        <w:rPr>
          <w:rFonts w:ascii="Aptos Narrow" w:hAnsi="Aptos Narrow"/>
          <w:sz w:val="22"/>
          <w:szCs w:val="22"/>
          <w:lang w:val="es-419"/>
        </w:rPr>
      </w:pPr>
      <w:r w:rsidRPr="00486D2F">
        <w:rPr>
          <w:rFonts w:ascii="Aptos Narrow" w:hAnsi="Aptos Narrow"/>
          <w:b/>
          <w:bCs/>
          <w:color w:val="1F3864"/>
          <w:sz w:val="22"/>
          <w:szCs w:val="22"/>
          <w:lang w:val="es-419"/>
        </w:rPr>
        <w:t xml:space="preserve">Alcance de </w:t>
      </w:r>
      <w:r w:rsidR="0046288E" w:rsidRPr="00486D2F">
        <w:rPr>
          <w:rFonts w:ascii="Aptos Narrow" w:hAnsi="Aptos Narrow"/>
          <w:b/>
          <w:bCs/>
          <w:color w:val="1F3864"/>
          <w:sz w:val="22"/>
          <w:szCs w:val="22"/>
          <w:lang w:val="es-419"/>
        </w:rPr>
        <w:t>6</w:t>
      </w:r>
      <w:r w:rsidR="00EE7087" w:rsidRPr="00486D2F">
        <w:rPr>
          <w:rFonts w:ascii="Aptos Narrow" w:hAnsi="Aptos Narrow"/>
          <w:b/>
          <w:bCs/>
          <w:color w:val="1F3864"/>
          <w:sz w:val="22"/>
          <w:szCs w:val="22"/>
          <w:lang w:val="es-419"/>
        </w:rPr>
        <w:t>.</w:t>
      </w:r>
      <w:r w:rsidR="00B13005">
        <w:rPr>
          <w:rFonts w:ascii="Aptos Narrow" w:hAnsi="Aptos Narrow"/>
          <w:b/>
          <w:bCs/>
          <w:color w:val="1F3864"/>
          <w:sz w:val="22"/>
          <w:szCs w:val="22"/>
          <w:lang w:val="es-419"/>
        </w:rPr>
        <w:t>4</w:t>
      </w:r>
      <w:r w:rsidR="00D70891" w:rsidRPr="00486D2F">
        <w:rPr>
          <w:rFonts w:ascii="Aptos Narrow" w:hAnsi="Aptos Narrow"/>
          <w:b/>
          <w:bCs/>
          <w:color w:val="1F3864"/>
          <w:sz w:val="22"/>
          <w:szCs w:val="22"/>
          <w:lang w:val="es-419"/>
        </w:rPr>
        <w:t>:</w:t>
      </w:r>
      <w:r w:rsidR="00D70891" w:rsidRPr="00486D2F">
        <w:rPr>
          <w:rFonts w:ascii="Aptos Narrow" w:hAnsi="Aptos Narrow"/>
          <w:sz w:val="22"/>
          <w:szCs w:val="22"/>
          <w:lang w:val="es-419"/>
        </w:rPr>
        <w:t xml:space="preserve"> </w:t>
      </w:r>
      <w:r w:rsidR="00C3389B" w:rsidRPr="00C3389B">
        <w:rPr>
          <w:rFonts w:ascii="Aptos Narrow" w:hAnsi="Aptos Narrow"/>
          <w:sz w:val="22"/>
          <w:szCs w:val="22"/>
          <w:lang w:val="es-419"/>
        </w:rPr>
        <w:t>Comunicación de análisis complejos a audiencias no técnicas; los dos fracasos típicos; principios de comunicación; adaptación a distintas audiencias; cierre e integración hacia el proyecto final</w:t>
      </w:r>
    </w:p>
    <w:p w14:paraId="1C3EEAEA" w14:textId="77777777" w:rsidR="00C3389B" w:rsidRPr="00C3389B" w:rsidRDefault="00C3389B" w:rsidP="00C3389B">
      <w:pPr>
        <w:spacing w:before="280" w:after="120"/>
        <w:rPr>
          <w:rFonts w:ascii="Aptos Narrow" w:hAnsi="Aptos Narrow"/>
          <w:sz w:val="22"/>
          <w:szCs w:val="22"/>
          <w:lang w:val="es-419"/>
        </w:rPr>
      </w:pPr>
      <w:r w:rsidRPr="00C3389B">
        <w:rPr>
          <w:rFonts w:ascii="Aptos Narrow" w:hAnsi="Aptos Narrow"/>
          <w:b/>
          <w:bCs/>
          <w:color w:val="1F3864"/>
          <w:sz w:val="22"/>
          <w:szCs w:val="22"/>
          <w:lang w:val="es-419"/>
        </w:rPr>
        <w:t>Segmento 1 — El análisis que nadie usa</w:t>
      </w:r>
    </w:p>
    <w:p w14:paraId="34C6CAE8"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Llegamos a la última lección de contenido nuevo del curso, y trata de algo que suele considerarse una habilidad blanda y que en realidad determina si todo lo demás sirvió para algo: cómo comunicar un análisis complejo a quienes no son especialistas.</w:t>
      </w:r>
    </w:p>
    <w:p w14:paraId="4962ED17"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Piénsenlo así. Ustedes van a producir un análisis de cuatro capas, con un modelo de redes, un modelo de dinámica de sistemas, un mapa de actores y una evaluación de gobernanza y justicia. Es un trabajo denso, matizado y lleno de condicionales. Y ese análisis va a llegar a manos de un gerente que tiene veinte minutos, de una junta directiva que quiere saber si aprueba o no, de un funcionario público que responde ante otros, o de una comunidad que quiere entender qué va a pasar con su territorio. Si ninguno de ellos entiende lo que ustedes hicieron, el análisis no existe. Un análisis que no se comprende no es un análisis a medias: es cero.</w:t>
      </w:r>
    </w:p>
    <w:p w14:paraId="732E57C8"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Y hay algo más incómodo. En el sector, la mala comunicación no solo desperdicia trabajo: produce daño. Buena parte de los conflictos que estudiamos esta semana tienen un componente comunicativo, información técnica presentada de forma inaccesible, o promesas que se entendieron distinto, o silencios que se leyeron como ocultamiento. Comunicar bien no es adornar el análisis: es parte de hacerlo bien.</w:t>
      </w:r>
    </w:p>
    <w:p w14:paraId="53EA77FC" w14:textId="77777777" w:rsidR="00C3389B" w:rsidRPr="00C3389B" w:rsidRDefault="00C3389B" w:rsidP="00C3389B">
      <w:pPr>
        <w:spacing w:before="280" w:after="120"/>
        <w:rPr>
          <w:rFonts w:ascii="Aptos Narrow" w:hAnsi="Aptos Narrow"/>
          <w:sz w:val="22"/>
          <w:szCs w:val="22"/>
          <w:lang w:val="es-419"/>
        </w:rPr>
      </w:pPr>
      <w:r w:rsidRPr="00C3389B">
        <w:rPr>
          <w:rFonts w:ascii="Aptos Narrow" w:hAnsi="Aptos Narrow"/>
          <w:b/>
          <w:bCs/>
          <w:color w:val="1F3864"/>
          <w:sz w:val="22"/>
          <w:szCs w:val="22"/>
          <w:lang w:val="es-419"/>
        </w:rPr>
        <w:t>Segmento 2 — Los dos fracasos típicos</w:t>
      </w:r>
    </w:p>
    <w:p w14:paraId="6509E0C7"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Hay dos maneras de fracasar al comunicar complejidad, y son opuestas entre sí, lo que hace que quien evita una suela caer en la otra.</w:t>
      </w:r>
    </w:p>
    <w:p w14:paraId="47011127"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El primer fracaso es el volcado. Consiste en entregar todo: el modelo completo, los supuestos, las cuatro capas, las advertencias metodológicas, los rangos de incertidumbre, todo con el mismo peso y sin jerarquía. Quien lo hace suele estar siendo honesto y minucioso, y sin embargo el resultado es que la audiencia se pierde, se abruma y termina decidiendo con su intuición previa, ignorando el análisis. Paradójicamente, el exceso de información produce el mismo efecto que la ausencia de información.</w:t>
      </w:r>
    </w:p>
    <w:p w14:paraId="0EFBDD5D"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 xml:space="preserve">El segundo fracaso es la simplificación traicionera. Consiste en reducir el análisis a un número o a una frase contundente, eliminando los matices, las condiciones y la incertidumbre. Esto sí lo entiende la audiencia, y por eso es tentador. El problema es que lo que entendió no es lo que el análisis decía. Cuando alguien afirma que el proyecto es viable, sin decir </w:t>
      </w:r>
      <w:proofErr w:type="gramStart"/>
      <w:r w:rsidRPr="00C3389B">
        <w:rPr>
          <w:rFonts w:ascii="Aptos Narrow" w:hAnsi="Aptos Narrow"/>
          <w:sz w:val="22"/>
          <w:szCs w:val="22"/>
          <w:lang w:val="es-419"/>
        </w:rPr>
        <w:t>bajo qué condiciones</w:t>
      </w:r>
      <w:proofErr w:type="gramEnd"/>
      <w:r w:rsidRPr="00C3389B">
        <w:rPr>
          <w:rFonts w:ascii="Aptos Narrow" w:hAnsi="Aptos Narrow"/>
          <w:sz w:val="22"/>
          <w:szCs w:val="22"/>
          <w:lang w:val="es-419"/>
        </w:rPr>
        <w:t xml:space="preserve"> y con qué supuestos, está comunicando algo </w:t>
      </w:r>
      <w:proofErr w:type="gramStart"/>
      <w:r w:rsidRPr="00C3389B">
        <w:rPr>
          <w:rFonts w:ascii="Aptos Narrow" w:hAnsi="Aptos Narrow"/>
          <w:sz w:val="22"/>
          <w:szCs w:val="22"/>
          <w:lang w:val="es-419"/>
        </w:rPr>
        <w:t>falso</w:t>
      </w:r>
      <w:proofErr w:type="gramEnd"/>
      <w:r w:rsidRPr="00C3389B">
        <w:rPr>
          <w:rFonts w:ascii="Aptos Narrow" w:hAnsi="Aptos Narrow"/>
          <w:sz w:val="22"/>
          <w:szCs w:val="22"/>
          <w:lang w:val="es-419"/>
        </w:rPr>
        <w:t xml:space="preserve"> aunque cada palabra sea técnicamente defendible. Y cuando las condiciones no se cumplan, la credibilidad del analista, y la del análisis sistémico como enfoque, se van con ella.</w:t>
      </w:r>
    </w:p>
    <w:p w14:paraId="6F67E43E"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El camino entre ambos fracasos no es un punto intermedio ni un promedio: es una forma distinta de construir el mensaje. No se trata de decir la mitad de las cosas, sino de elegir bien qué se dice primero, qué se dice después y qué queda disponible para quien quiera profundizar.</w:t>
      </w:r>
    </w:p>
    <w:p w14:paraId="7FAC05D9" w14:textId="77777777" w:rsidR="00C3389B" w:rsidRPr="00C3389B" w:rsidRDefault="00C3389B" w:rsidP="00C3389B">
      <w:pPr>
        <w:pBdr>
          <w:left w:val="single" w:sz="18" w:space="12" w:color="9C6500"/>
        </w:pBdr>
        <w:spacing w:before="120"/>
        <w:rPr>
          <w:rFonts w:ascii="Aptos Narrow" w:hAnsi="Aptos Narrow"/>
          <w:sz w:val="22"/>
          <w:szCs w:val="22"/>
          <w:lang w:val="es-419"/>
        </w:rPr>
      </w:pPr>
      <w:r w:rsidRPr="00C3389B">
        <w:rPr>
          <w:rFonts w:ascii="Aptos Narrow" w:hAnsi="Aptos Narrow"/>
          <w:b/>
          <w:bCs/>
          <w:color w:val="9C6500"/>
          <w:sz w:val="22"/>
          <w:szCs w:val="22"/>
          <w:lang w:val="es-419"/>
        </w:rPr>
        <w:lastRenderedPageBreak/>
        <w:t xml:space="preserve">[QUIZ EMBEBIDO] </w:t>
      </w:r>
      <w:r w:rsidRPr="00C3389B">
        <w:rPr>
          <w:rFonts w:ascii="Aptos Narrow" w:hAnsi="Aptos Narrow"/>
          <w:i/>
          <w:iCs/>
          <w:color w:val="555555"/>
          <w:sz w:val="22"/>
          <w:szCs w:val="22"/>
          <w:lang w:val="es-419"/>
        </w:rPr>
        <w:t>Se presentan dos versiones del mismo resultado de un análisis: una que entrega el modelo completo con todos sus supuestos y rangos sin jerarquía, y otra que concluye con una única frase categórica sin condiciones. El estudiante debe identificar qué fracaso comunicativo representa cada una y explicar qué se pierde en cada caso.</w:t>
      </w:r>
    </w:p>
    <w:p w14:paraId="05694242" w14:textId="77777777" w:rsidR="00C3389B" w:rsidRPr="00C3389B" w:rsidRDefault="00C3389B" w:rsidP="00C3389B">
      <w:pPr>
        <w:spacing w:before="280" w:after="120"/>
        <w:rPr>
          <w:rFonts w:ascii="Aptos Narrow" w:hAnsi="Aptos Narrow"/>
          <w:sz w:val="22"/>
          <w:szCs w:val="22"/>
          <w:lang w:val="es-419"/>
        </w:rPr>
      </w:pPr>
      <w:r w:rsidRPr="00C3389B">
        <w:rPr>
          <w:rFonts w:ascii="Aptos Narrow" w:hAnsi="Aptos Narrow"/>
          <w:b/>
          <w:bCs/>
          <w:color w:val="1F3864"/>
          <w:sz w:val="22"/>
          <w:szCs w:val="22"/>
          <w:lang w:val="es-419"/>
        </w:rPr>
        <w:t>Segmento 3 — Cuatro principios para comunicar sin traicionar</w:t>
      </w:r>
    </w:p>
    <w:p w14:paraId="321F8B29"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Primer principio: empiece por la decisión, no por el método. La audiencia no necesita saber cómo llegó usted al resultado para poder usarlo; necesita saber qué implica el resultado para lo que tiene que decidir. Abra con la recomendación y sus condiciones, y deje el método disponible para quien pregunte. Esto es exactamente lo contrario del orden de un informe académico, y es la inversión más importante que van a tener que hacer al pasar de estudiantes a consultores.</w:t>
      </w:r>
    </w:p>
    <w:p w14:paraId="7F2A6BAC"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 xml:space="preserve">Segundo principio: haga explícita la incertidumbre, pero de forma accionable. </w:t>
      </w:r>
      <w:proofErr w:type="gramStart"/>
      <w:r w:rsidRPr="00C3389B">
        <w:rPr>
          <w:rFonts w:ascii="Aptos Narrow" w:hAnsi="Aptos Narrow"/>
          <w:sz w:val="22"/>
          <w:szCs w:val="22"/>
          <w:lang w:val="es-419"/>
        </w:rPr>
        <w:t>Decir</w:t>
      </w:r>
      <w:proofErr w:type="gramEnd"/>
      <w:r w:rsidRPr="00C3389B">
        <w:rPr>
          <w:rFonts w:ascii="Aptos Narrow" w:hAnsi="Aptos Narrow"/>
          <w:sz w:val="22"/>
          <w:szCs w:val="22"/>
          <w:lang w:val="es-419"/>
        </w:rPr>
        <w:t xml:space="preserve"> que hay mucha incertidumbre y dejarlo ahí paraliza y no ayuda a nadie. Lo útil es traducir la incertidumbre en condiciones y en señales: esta recomendación se sostiene mientras el precio del gas se mantenga en cierto rango; si observamos tal indicador, conviene revisar la decisión. Fíjense en que esto es exactamente el resultado del análisis de robustez de la semana pasada, convertido en lenguaje de decisión. La incertidumbre bien comunicada no debilita la recomendación: le pone condiciones de validez, que es lo que un buen tomador de decisiones necesita para actuar y monitorear.</w:t>
      </w:r>
    </w:p>
    <w:p w14:paraId="1971A624"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Tercer principio: use la estructura del sistema como narrativa. Los sistemas complejos son difíciles de explicar con listas, pero se explican muy bien con historias causales. En lugar de enumerar variables, cuente el lazo: cuando esto sube, aquello se demora, y para cuando reacciona ya es tarde, y por eso el sistema oscila. La gente entiende y recuerda causas encadenadas mucho mejor que tablas, y esa narración causal es fiel al análisis, no una simplificación de él. Es, de hecho, lo que un modelo de dinámica de sistemas dice.</w:t>
      </w:r>
    </w:p>
    <w:p w14:paraId="37FF61E9"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Cuarto principio: adapte el contenido a la audiencia sin cambiar la sustancia. Una junta directiva quiere saber el riesgo, el retorno y las condiciones. Un regulador quiere saber los efectos sistémicos y el cumplimiento normativo. Una comunidad quiere saber qué cambia en su territorio, en qué plazos, quién responde y qué mecanismos tiene para incidir. Son tres énfasis distintos sobre el mismo análisis. Lo que nunca debe cambiar entre versiones son los hechos ni las conclusiones: si a una audiencia le dice algo que no le diría a otra, no está adaptando, está manipulando, y eso destruye la confianza que es justamente el activo más escaso en estos procesos.</w:t>
      </w:r>
    </w:p>
    <w:p w14:paraId="5B5BEF46"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 xml:space="preserve">Sobre este cuarto principio quiero agregar algo específico para la comunicación con comunidades, porque es donde más se falla. Adaptar no significa simplificar hasta el infantilismo, ni traducir todo a analogías domésticas. Significa hablar de lo que a esa audiencia le importa, en su idioma cuando corresponde, con los tiempos y los espacios que su forma de deliberar requiere, y respondiendo las preguntas que efectivamente hace en lugar de las que uno preparó. Una comunidad que pregunta qué pasa con el agua no quiere escuchar sobre el factor de planta; y responderle con el factor de planta, aunque sea información veraz, se lee como </w:t>
      </w:r>
      <w:r w:rsidRPr="00C3389B">
        <w:rPr>
          <w:rFonts w:ascii="Aptos Narrow" w:hAnsi="Aptos Narrow"/>
          <w:sz w:val="22"/>
          <w:szCs w:val="22"/>
          <w:lang w:val="es-419"/>
        </w:rPr>
        <w:lastRenderedPageBreak/>
        <w:t>evasión. La calidad de una comunicación no la define quien habla, la define si el que escucha quedó en condiciones de decidir. Ese es el estándar.</w:t>
      </w:r>
    </w:p>
    <w:p w14:paraId="70F74324" w14:textId="77777777" w:rsidR="00C3389B" w:rsidRPr="00C3389B" w:rsidRDefault="00C3389B" w:rsidP="00C3389B">
      <w:pPr>
        <w:pBdr>
          <w:left w:val="single" w:sz="18" w:space="12" w:color="9C6500"/>
        </w:pBdr>
        <w:spacing w:before="120"/>
        <w:rPr>
          <w:rFonts w:ascii="Aptos Narrow" w:hAnsi="Aptos Narrow"/>
          <w:sz w:val="22"/>
          <w:szCs w:val="22"/>
          <w:lang w:val="es-419"/>
        </w:rPr>
      </w:pPr>
      <w:r w:rsidRPr="00C3389B">
        <w:rPr>
          <w:rFonts w:ascii="Aptos Narrow" w:hAnsi="Aptos Narrow"/>
          <w:b/>
          <w:bCs/>
          <w:color w:val="9C6500"/>
          <w:sz w:val="22"/>
          <w:szCs w:val="22"/>
          <w:lang w:val="es-419"/>
        </w:rPr>
        <w:t xml:space="preserve">[QUIZ EMBEBIDO] </w:t>
      </w:r>
      <w:r w:rsidRPr="00C3389B">
        <w:rPr>
          <w:rFonts w:ascii="Aptos Narrow" w:hAnsi="Aptos Narrow"/>
          <w:i/>
          <w:iCs/>
          <w:color w:val="555555"/>
          <w:sz w:val="22"/>
          <w:szCs w:val="22"/>
          <w:lang w:val="es-419"/>
        </w:rPr>
        <w:t xml:space="preserve">Un mismo análisis debe presentarse a una junta directiva, a un regulador y a una comunidad afectada. El estudiante debe indicar qué debe cambiar entre las tres versiones y qué no debe cambiar </w:t>
      </w:r>
      <w:proofErr w:type="gramStart"/>
      <w:r w:rsidRPr="00C3389B">
        <w:rPr>
          <w:rFonts w:ascii="Aptos Narrow" w:hAnsi="Aptos Narrow"/>
          <w:i/>
          <w:iCs/>
          <w:color w:val="555555"/>
          <w:sz w:val="22"/>
          <w:szCs w:val="22"/>
          <w:lang w:val="es-419"/>
        </w:rPr>
        <w:t>bajo ninguna circunstancia</w:t>
      </w:r>
      <w:proofErr w:type="gramEnd"/>
      <w:r w:rsidRPr="00C3389B">
        <w:rPr>
          <w:rFonts w:ascii="Aptos Narrow" w:hAnsi="Aptos Narrow"/>
          <w:i/>
          <w:iCs/>
          <w:color w:val="555555"/>
          <w:sz w:val="22"/>
          <w:szCs w:val="22"/>
          <w:lang w:val="es-419"/>
        </w:rPr>
        <w:t>, justificando dónde está la frontera entre adaptar y manipular.</w:t>
      </w:r>
    </w:p>
    <w:p w14:paraId="58D7BFCD" w14:textId="77777777" w:rsidR="00C3389B" w:rsidRPr="00C3389B" w:rsidRDefault="00C3389B" w:rsidP="00C3389B">
      <w:pPr>
        <w:spacing w:before="280" w:after="120"/>
        <w:rPr>
          <w:rFonts w:ascii="Aptos Narrow" w:hAnsi="Aptos Narrow"/>
          <w:sz w:val="22"/>
          <w:szCs w:val="22"/>
          <w:lang w:val="es-419"/>
        </w:rPr>
      </w:pPr>
      <w:r w:rsidRPr="00C3389B">
        <w:rPr>
          <w:rFonts w:ascii="Aptos Narrow" w:hAnsi="Aptos Narrow"/>
          <w:b/>
          <w:bCs/>
          <w:color w:val="1F3864"/>
          <w:sz w:val="22"/>
          <w:szCs w:val="22"/>
          <w:lang w:val="es-419"/>
        </w:rPr>
        <w:t>Segmento 4 — Cierre del análisis y hacia el proyecto</w:t>
      </w:r>
    </w:p>
    <w:p w14:paraId="67E601E6"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Con esta lección cerramos el contenido conceptual del curso, así que vale la pena mirar el arco completo. Empezamos aprendiendo a ver los sistemas energéticos como sistemas complejos, con retroalimentaciones, no linealidad, memoria y eventos extremos. Seguimos con el análisis de redes, para mapear la estructura física del sistema y las redes de actores y de difusión. Continuamos con la dinámica de sistemas, para simular la evolución en el tiempo, evaluar políticas y decidir bajo incertidumbre profunda con criterios de robustez. Y esta semana integramos todo eso con la dimensión que ningún modelo cuantitativo captura: la gobernanza, los actores en conflicto y la justicia energética.</w:t>
      </w:r>
    </w:p>
    <w:p w14:paraId="7DE3BA01"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Ese es el instrumental completo de un analista sistémico de proyectos energéticos. Y noten que el recorrido tuvo una dirección: fuimos de lo más abstracto y técnico hacia lo más concreto y humano, y terminamos hoy en cómo hacer que todo eso llegue a quien decide. No es casualidad. Un análisis sistémico que se queda en el modelo es un ejercicio académico; uno que llega a la decisión es consultoría.</w:t>
      </w:r>
    </w:p>
    <w:p w14:paraId="2463B652"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Lo que viene ahora es justamente ese tránsito. En la semana siete no hay contenido nuevo: es una semana taller donde ustedes toman su caso y lo llevan de análisis a recomendación, integrando las cuatro capas en un informe de consultoría con recomendaciones accionables para un tomador de decisiones específico. Y en la semana ocho lo presentan ante un panel. El curso pasa de enseñarles herramientas a exigirles que las usen como profesionales.</w:t>
      </w:r>
    </w:p>
    <w:p w14:paraId="2056284E" w14:textId="77777777" w:rsidR="00C3389B" w:rsidRPr="00C3389B" w:rsidRDefault="00C3389B" w:rsidP="00C3389B">
      <w:pPr>
        <w:spacing w:line="300" w:lineRule="auto"/>
        <w:jc w:val="both"/>
        <w:rPr>
          <w:rFonts w:ascii="Aptos Narrow" w:hAnsi="Aptos Narrow"/>
          <w:sz w:val="22"/>
          <w:szCs w:val="22"/>
          <w:lang w:val="es-419"/>
        </w:rPr>
      </w:pPr>
      <w:r w:rsidRPr="00C3389B">
        <w:rPr>
          <w:rFonts w:ascii="Aptos Narrow" w:hAnsi="Aptos Narrow"/>
          <w:sz w:val="22"/>
          <w:szCs w:val="22"/>
          <w:lang w:val="es-419"/>
        </w:rPr>
        <w:t>Una última idea para cerrar. A lo largo de estas seis semanas hemos insistido en que el análisis convencional, el VPN, la TIR, la sensibilidad estática, se queda corto ante los sistemas complejos. Pero fíjense en lo que hicimos: no lo reemplazamos, lo rodeamos. Le agregamos la estructura de las conexiones, la evolución en el tiempo, la incertidumbre profunda y la dimensión humana. Un proyecto energético sigue necesitando ser rentable; lo que aprendimos es que la rentabilidad, por sí sola, nunca explicó por qué unos proyectos existen y otros no. Ahora tienen las herramientas para explicar esa diferencia, y para hacer algo al respecto. Nos vemos en la semana siete.</w:t>
      </w:r>
    </w:p>
    <w:p w14:paraId="2454FAE0" w14:textId="77777777" w:rsidR="00C3389B" w:rsidRPr="00C3389B" w:rsidRDefault="00C3389B" w:rsidP="00C3389B">
      <w:pPr>
        <w:pBdr>
          <w:top w:val="single" w:sz="6" w:space="6" w:color="CCCCCC"/>
        </w:pBdr>
        <w:spacing w:before="280" w:after="120"/>
        <w:rPr>
          <w:rFonts w:ascii="Aptos Narrow" w:hAnsi="Aptos Narrow"/>
          <w:sz w:val="22"/>
          <w:szCs w:val="22"/>
          <w:lang w:val="es-419"/>
        </w:rPr>
      </w:pPr>
      <w:r w:rsidRPr="00C3389B">
        <w:rPr>
          <w:rFonts w:ascii="Aptos Narrow" w:hAnsi="Aptos Narrow"/>
          <w:b/>
          <w:bCs/>
          <w:color w:val="9C6500"/>
          <w:sz w:val="22"/>
          <w:szCs w:val="22"/>
          <w:lang w:val="es-419"/>
        </w:rPr>
        <w:t>Notas de contenido</w:t>
      </w:r>
    </w:p>
    <w:p w14:paraId="6B29223D" w14:textId="77777777" w:rsidR="00C3389B" w:rsidRPr="00C3389B" w:rsidRDefault="00C3389B" w:rsidP="00C3389B">
      <w:pPr>
        <w:spacing w:after="120"/>
        <w:rPr>
          <w:rFonts w:ascii="Aptos Narrow" w:hAnsi="Aptos Narrow"/>
          <w:sz w:val="22"/>
          <w:szCs w:val="22"/>
          <w:lang w:val="es-419"/>
        </w:rPr>
      </w:pPr>
      <w:r w:rsidRPr="00C3389B">
        <w:rPr>
          <w:rFonts w:ascii="Aptos Narrow" w:hAnsi="Aptos Narrow"/>
          <w:i/>
          <w:iCs/>
          <w:color w:val="555555"/>
          <w:sz w:val="22"/>
          <w:szCs w:val="22"/>
          <w:lang w:val="es-419"/>
        </w:rPr>
        <w:t xml:space="preserve">Lección de cierre del módulo de integración y del contenido conceptual del curso (S7 es taller sin contenido nuevo; S8 es cierre con la cápsula de fronteras del campo). Guion conceptual, sin cifras ni afirmaciones sobre el caso. La comunicación a audiencias no técnicas es un componente explícito del RAC 4 y de la rúbrica del informe final y del panel, según el documento maestro. El principio de traducir </w:t>
      </w:r>
      <w:r w:rsidRPr="00C3389B">
        <w:rPr>
          <w:rFonts w:ascii="Aptos Narrow" w:hAnsi="Aptos Narrow"/>
          <w:i/>
          <w:iCs/>
          <w:color w:val="555555"/>
          <w:sz w:val="22"/>
          <w:szCs w:val="22"/>
          <w:lang w:val="es-419"/>
        </w:rPr>
        <w:lastRenderedPageBreak/>
        <w:t>incertidumbre en condiciones y señales de monitoreo retoma el análisis de robustez de S5. La advertencia sobre no cambiar hechos ni conclusiones entre audiencias es deliberada: distingue adaptación legítima de manipulación.</w:t>
      </w:r>
    </w:p>
    <w:p w14:paraId="1773CD0B" w14:textId="24136736" w:rsidR="00075730" w:rsidRPr="002F249B" w:rsidRDefault="00075730" w:rsidP="00B13005">
      <w:pPr>
        <w:spacing w:after="60"/>
        <w:rPr>
          <w:rFonts w:ascii="Aptos Narrow" w:hAnsi="Aptos Narrow"/>
          <w:sz w:val="22"/>
          <w:szCs w:val="22"/>
          <w:lang w:val="es-419"/>
        </w:rPr>
      </w:pPr>
    </w:p>
    <w:p w14:paraId="353FCBD7" w14:textId="508DCAE7" w:rsidR="00C20D6B" w:rsidRPr="002B4E04" w:rsidRDefault="00C20D6B" w:rsidP="001951A0">
      <w:pPr>
        <w:spacing w:after="60"/>
        <w:rPr>
          <w:rFonts w:ascii="Aptos Narrow" w:hAnsi="Aptos Narrow"/>
          <w:sz w:val="22"/>
          <w:szCs w:val="22"/>
          <w:lang w:val="es-419"/>
        </w:rPr>
      </w:pPr>
    </w:p>
    <w:sectPr w:rsidR="00C20D6B" w:rsidRPr="002B4E0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1E160" w14:textId="77777777" w:rsidR="000F0CEC" w:rsidRDefault="000F0CEC" w:rsidP="00DC6E4E">
      <w:pPr>
        <w:spacing w:after="0" w:line="240" w:lineRule="auto"/>
      </w:pPr>
      <w:r>
        <w:separator/>
      </w:r>
    </w:p>
  </w:endnote>
  <w:endnote w:type="continuationSeparator" w:id="0">
    <w:p w14:paraId="1E33D663" w14:textId="77777777" w:rsidR="000F0CEC" w:rsidRDefault="000F0CEC"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D97B7" w14:textId="77777777" w:rsidR="000F0CEC" w:rsidRDefault="000F0CEC" w:rsidP="00DC6E4E">
      <w:pPr>
        <w:spacing w:after="0" w:line="240" w:lineRule="auto"/>
      </w:pPr>
      <w:r>
        <w:separator/>
      </w:r>
    </w:p>
  </w:footnote>
  <w:footnote w:type="continuationSeparator" w:id="0">
    <w:p w14:paraId="737CE4AC" w14:textId="77777777" w:rsidR="000F0CEC" w:rsidRDefault="000F0CEC"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a:extLst xmlns:a="http://schemas.openxmlformats.org/drawingml/2006/main">
              <a:ext uri="{FF2B5EF4-FFF2-40B4-BE49-F238E27FC236}">
                <a16:creationId xmlns:a16="http://schemas.microsoft.com/office/drawing/2014/main" id="{92E37FB3-0E8F-47F8-A2D5-007C77C924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a:extLst xmlns:a="http://schemas.openxmlformats.org/drawingml/2006/main">
              <a:ext uri="{FF2B5EF4-FFF2-40B4-BE49-F238E27FC236}">
                <a16:creationId xmlns:a16="http://schemas.microsoft.com/office/drawing/2014/main" id="{9388691F-9C84-4773-AA0C-387F2CBED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59874">
    <w:abstractNumId w:val="1"/>
  </w:num>
  <w:num w:numId="2" w16cid:durableId="1543667111">
    <w:abstractNumId w:val="2"/>
  </w:num>
  <w:num w:numId="3" w16cid:durableId="1855998017">
    <w:abstractNumId w:val="0"/>
  </w:num>
  <w:num w:numId="4" w16cid:durableId="1987319963">
    <w:abstractNumId w:val="4"/>
  </w:num>
  <w:num w:numId="5" w16cid:durableId="21209047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75730"/>
    <w:rsid w:val="00080A5D"/>
    <w:rsid w:val="000B0A24"/>
    <w:rsid w:val="000B724C"/>
    <w:rsid w:val="000D061B"/>
    <w:rsid w:val="000E645B"/>
    <w:rsid w:val="000F0CEC"/>
    <w:rsid w:val="00114DF8"/>
    <w:rsid w:val="001221BC"/>
    <w:rsid w:val="00150753"/>
    <w:rsid w:val="00154C3B"/>
    <w:rsid w:val="00163F20"/>
    <w:rsid w:val="0016775D"/>
    <w:rsid w:val="00180B42"/>
    <w:rsid w:val="001844A9"/>
    <w:rsid w:val="001928AB"/>
    <w:rsid w:val="001951A0"/>
    <w:rsid w:val="00196827"/>
    <w:rsid w:val="001C0064"/>
    <w:rsid w:val="001D4C6D"/>
    <w:rsid w:val="001E1FE5"/>
    <w:rsid w:val="001F0BA5"/>
    <w:rsid w:val="001F4259"/>
    <w:rsid w:val="00214F5F"/>
    <w:rsid w:val="002338A3"/>
    <w:rsid w:val="00246D8F"/>
    <w:rsid w:val="002745D5"/>
    <w:rsid w:val="002B0F3E"/>
    <w:rsid w:val="002B1012"/>
    <w:rsid w:val="002B2F6D"/>
    <w:rsid w:val="002B4E04"/>
    <w:rsid w:val="002B54E7"/>
    <w:rsid w:val="002C1903"/>
    <w:rsid w:val="002D2D04"/>
    <w:rsid w:val="002D3CE9"/>
    <w:rsid w:val="002D532C"/>
    <w:rsid w:val="002F249B"/>
    <w:rsid w:val="002F6840"/>
    <w:rsid w:val="00326B8C"/>
    <w:rsid w:val="003349B1"/>
    <w:rsid w:val="003C4859"/>
    <w:rsid w:val="003E57AD"/>
    <w:rsid w:val="004060D2"/>
    <w:rsid w:val="00416939"/>
    <w:rsid w:val="00417B4D"/>
    <w:rsid w:val="00425546"/>
    <w:rsid w:val="00442043"/>
    <w:rsid w:val="0045781F"/>
    <w:rsid w:val="0046288E"/>
    <w:rsid w:val="00486D2F"/>
    <w:rsid w:val="004965DE"/>
    <w:rsid w:val="004A2495"/>
    <w:rsid w:val="004A2836"/>
    <w:rsid w:val="004D07B2"/>
    <w:rsid w:val="004F095B"/>
    <w:rsid w:val="004F54A8"/>
    <w:rsid w:val="004F6622"/>
    <w:rsid w:val="005067ED"/>
    <w:rsid w:val="00536AD9"/>
    <w:rsid w:val="00551E91"/>
    <w:rsid w:val="00566DB3"/>
    <w:rsid w:val="0058732A"/>
    <w:rsid w:val="005950CD"/>
    <w:rsid w:val="005A1594"/>
    <w:rsid w:val="005A3081"/>
    <w:rsid w:val="005C61BF"/>
    <w:rsid w:val="005C6777"/>
    <w:rsid w:val="005D2C25"/>
    <w:rsid w:val="005D5078"/>
    <w:rsid w:val="005F08BA"/>
    <w:rsid w:val="006006AF"/>
    <w:rsid w:val="00623197"/>
    <w:rsid w:val="00636DF5"/>
    <w:rsid w:val="0065441E"/>
    <w:rsid w:val="00684053"/>
    <w:rsid w:val="00690DDB"/>
    <w:rsid w:val="006A2647"/>
    <w:rsid w:val="006A403D"/>
    <w:rsid w:val="006B3AAC"/>
    <w:rsid w:val="006C116D"/>
    <w:rsid w:val="006E4137"/>
    <w:rsid w:val="00723ADE"/>
    <w:rsid w:val="00724EB6"/>
    <w:rsid w:val="0073061D"/>
    <w:rsid w:val="00745760"/>
    <w:rsid w:val="007722A8"/>
    <w:rsid w:val="00774065"/>
    <w:rsid w:val="007A2DBC"/>
    <w:rsid w:val="007A50B4"/>
    <w:rsid w:val="007D3681"/>
    <w:rsid w:val="007D5182"/>
    <w:rsid w:val="007E46B6"/>
    <w:rsid w:val="00812C9A"/>
    <w:rsid w:val="008206DA"/>
    <w:rsid w:val="0082442A"/>
    <w:rsid w:val="00824BC0"/>
    <w:rsid w:val="008362DB"/>
    <w:rsid w:val="008426B7"/>
    <w:rsid w:val="00845267"/>
    <w:rsid w:val="00852C5C"/>
    <w:rsid w:val="008641BD"/>
    <w:rsid w:val="008727A4"/>
    <w:rsid w:val="00884E06"/>
    <w:rsid w:val="00887B17"/>
    <w:rsid w:val="00893453"/>
    <w:rsid w:val="008E2E48"/>
    <w:rsid w:val="00906562"/>
    <w:rsid w:val="00913FC8"/>
    <w:rsid w:val="009222D0"/>
    <w:rsid w:val="0093616B"/>
    <w:rsid w:val="00940915"/>
    <w:rsid w:val="009414C8"/>
    <w:rsid w:val="0094593B"/>
    <w:rsid w:val="00946A01"/>
    <w:rsid w:val="009572D0"/>
    <w:rsid w:val="00961FA9"/>
    <w:rsid w:val="009668D6"/>
    <w:rsid w:val="009822F6"/>
    <w:rsid w:val="009A50E2"/>
    <w:rsid w:val="009B6C32"/>
    <w:rsid w:val="009C0013"/>
    <w:rsid w:val="00A2411E"/>
    <w:rsid w:val="00A55028"/>
    <w:rsid w:val="00A56545"/>
    <w:rsid w:val="00A64527"/>
    <w:rsid w:val="00A67E34"/>
    <w:rsid w:val="00A74D29"/>
    <w:rsid w:val="00A96C6A"/>
    <w:rsid w:val="00AA04FA"/>
    <w:rsid w:val="00AA62F3"/>
    <w:rsid w:val="00AB3AE4"/>
    <w:rsid w:val="00AB7F9E"/>
    <w:rsid w:val="00AC64E3"/>
    <w:rsid w:val="00B0625D"/>
    <w:rsid w:val="00B13005"/>
    <w:rsid w:val="00B17459"/>
    <w:rsid w:val="00B6253B"/>
    <w:rsid w:val="00B77AC9"/>
    <w:rsid w:val="00B9318B"/>
    <w:rsid w:val="00BA49CB"/>
    <w:rsid w:val="00BB53F1"/>
    <w:rsid w:val="00BC56C4"/>
    <w:rsid w:val="00BE20D6"/>
    <w:rsid w:val="00BF33B7"/>
    <w:rsid w:val="00C013DA"/>
    <w:rsid w:val="00C04428"/>
    <w:rsid w:val="00C04E34"/>
    <w:rsid w:val="00C20D6B"/>
    <w:rsid w:val="00C2173C"/>
    <w:rsid w:val="00C25715"/>
    <w:rsid w:val="00C25FFB"/>
    <w:rsid w:val="00C3389B"/>
    <w:rsid w:val="00C4053D"/>
    <w:rsid w:val="00C52CFD"/>
    <w:rsid w:val="00C619BC"/>
    <w:rsid w:val="00C62362"/>
    <w:rsid w:val="00C74969"/>
    <w:rsid w:val="00C868C2"/>
    <w:rsid w:val="00C96E2A"/>
    <w:rsid w:val="00CA7B83"/>
    <w:rsid w:val="00CC1613"/>
    <w:rsid w:val="00CE7758"/>
    <w:rsid w:val="00CF7577"/>
    <w:rsid w:val="00CF7A5D"/>
    <w:rsid w:val="00D13B8D"/>
    <w:rsid w:val="00D165E5"/>
    <w:rsid w:val="00D2228B"/>
    <w:rsid w:val="00D346ED"/>
    <w:rsid w:val="00D45F58"/>
    <w:rsid w:val="00D5308A"/>
    <w:rsid w:val="00D64E13"/>
    <w:rsid w:val="00D70891"/>
    <w:rsid w:val="00D752A9"/>
    <w:rsid w:val="00D9304B"/>
    <w:rsid w:val="00DA76B9"/>
    <w:rsid w:val="00DB274C"/>
    <w:rsid w:val="00DB44B5"/>
    <w:rsid w:val="00DC0AC2"/>
    <w:rsid w:val="00DC52DD"/>
    <w:rsid w:val="00DC6E4E"/>
    <w:rsid w:val="00DD0613"/>
    <w:rsid w:val="00DF7938"/>
    <w:rsid w:val="00E16CAD"/>
    <w:rsid w:val="00E20D7E"/>
    <w:rsid w:val="00E27FCE"/>
    <w:rsid w:val="00E315C7"/>
    <w:rsid w:val="00E325F2"/>
    <w:rsid w:val="00E42EE7"/>
    <w:rsid w:val="00E456F7"/>
    <w:rsid w:val="00E54F8F"/>
    <w:rsid w:val="00E66287"/>
    <w:rsid w:val="00E85D03"/>
    <w:rsid w:val="00EA748F"/>
    <w:rsid w:val="00EB7720"/>
    <w:rsid w:val="00EC07EB"/>
    <w:rsid w:val="00EC2C26"/>
    <w:rsid w:val="00ED1361"/>
    <w:rsid w:val="00ED2F36"/>
    <w:rsid w:val="00ED389A"/>
    <w:rsid w:val="00EE7087"/>
    <w:rsid w:val="00F04A82"/>
    <w:rsid w:val="00F07D53"/>
    <w:rsid w:val="00F2295E"/>
    <w:rsid w:val="00F35346"/>
    <w:rsid w:val="00F802ED"/>
    <w:rsid w:val="00F86456"/>
    <w:rsid w:val="00F87ED4"/>
    <w:rsid w:val="00F96F68"/>
    <w:rsid w:val="00FB5012"/>
    <w:rsid w:val="00FD13F6"/>
    <w:rsid w:val="00FD1ACF"/>
    <w:rsid w:val="00FD309D"/>
    <w:rsid w:val="00FD452B"/>
    <w:rsid w:val="00FE554A"/>
    <w:rsid w:val="00FF4464"/>
    <w:rsid w:val="00FF683A"/>
    <w:rsid w:val="1C84C21F"/>
    <w:rsid w:val="2AA860A7"/>
    <w:rsid w:val="31DDDF15"/>
    <w:rsid w:val="32259A76"/>
    <w:rsid w:val="36E2781D"/>
    <w:rsid w:val="407DCF26"/>
    <w:rsid w:val="5014D130"/>
    <w:rsid w:val="592C80BC"/>
    <w:rsid w:val="60513B82"/>
    <w:rsid w:val="656692A6"/>
    <w:rsid w:val="682CE3D8"/>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2.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08FF85-70EB-47A7-A109-1E6C547CE6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1727</Words>
  <Characters>9845</Characters>
  <Application>Microsoft Office Word</Application>
  <DocSecurity>0</DocSecurity>
  <Lines>82</Lines>
  <Paragraphs>23</Paragraphs>
  <ScaleCrop>false</ScaleCrop>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12</cp:revision>
  <cp:lastPrinted>2026-05-29T12:52:00Z</cp:lastPrinted>
  <dcterms:created xsi:type="dcterms:W3CDTF">2026-07-20T00:17:00Z</dcterms:created>
  <dcterms:modified xsi:type="dcterms:W3CDTF">2026-07-20T00:21:00Z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