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02703" w:rsidRDefault="00E325F2" w:rsidP="00477C9E">
      <w:pPr>
        <w:pStyle w:val="Heading1"/>
        <w:jc w:val="center"/>
        <w:rPr>
          <w:rFonts w:ascii="Aptos Narrow" w:hAnsi="Aptos Narrow"/>
          <w:b/>
          <w:bCs/>
          <w:lang w:val="es-419"/>
        </w:rPr>
      </w:pPr>
      <w:bookmarkStart w:id="0" w:name="_Toc228135348"/>
      <w:r w:rsidRPr="1FEE270A">
        <w:rPr>
          <w:rFonts w:ascii="Aptos Narrow" w:hAnsi="Aptos Narrow"/>
          <w:b/>
          <w:bCs/>
          <w:lang w:val="es-419"/>
        </w:rPr>
        <w:t>SCRIPT</w:t>
      </w:r>
      <w:r w:rsidR="00CA7B83" w:rsidRPr="1FEE270A">
        <w:rPr>
          <w:rFonts w:ascii="Aptos Narrow" w:hAnsi="Aptos Narrow"/>
          <w:b/>
          <w:bCs/>
          <w:lang w:val="es-419"/>
        </w:rPr>
        <w:t xml:space="preserve"> SUGERIDO</w:t>
      </w:r>
      <w:bookmarkEnd w:id="0"/>
    </w:p>
    <w:p w14:paraId="7DC00ABA" w14:textId="1D5C2C1B" w:rsidR="77EA1E9B" w:rsidRDefault="77EA1E9B" w:rsidP="1FEE270A">
      <w:pPr>
        <w:pStyle w:val="Heading2"/>
        <w:jc w:val="both"/>
        <w:rPr>
          <w:rFonts w:ascii="Aptos Narrow" w:eastAsia="Aptos Narrow" w:hAnsi="Aptos Narrow" w:cs="Aptos Narrow"/>
          <w:sz w:val="22"/>
          <w:szCs w:val="22"/>
        </w:rPr>
      </w:pPr>
      <w:r w:rsidRPr="1FEE270A">
        <w:rPr>
          <w:rFonts w:ascii="Aptos Narrow" w:eastAsia="Aptos Narrow" w:hAnsi="Aptos Narrow" w:cs="Aptos Narrow"/>
          <w:sz w:val="22"/>
          <w:szCs w:val="22"/>
        </w:rPr>
        <w:t>SEMANA 6: Integración — Análisis Sistémico Completo con Dimensión de Gobernanza</w:t>
      </w:r>
    </w:p>
    <w:p w14:paraId="2B40BAEF" w14:textId="378828F6" w:rsidR="77EA1E9B" w:rsidRDefault="77EA1E9B" w:rsidP="1FEE270A">
      <w:pPr>
        <w:spacing w:after="80"/>
        <w:jc w:val="both"/>
        <w:rPr>
          <w:rFonts w:ascii="Aptos Narrow" w:eastAsia="Aptos Narrow" w:hAnsi="Aptos Narrow" w:cs="Aptos Narrow"/>
          <w:i/>
          <w:iCs/>
          <w:color w:val="B85042"/>
          <w:sz w:val="22"/>
          <w:szCs w:val="22"/>
          <w:lang w:val="es-CO"/>
        </w:rPr>
      </w:pPr>
      <w:r w:rsidRPr="1FEE270A">
        <w:rPr>
          <w:rFonts w:ascii="Aptos Narrow" w:eastAsia="Aptos Narrow" w:hAnsi="Aptos Narrow" w:cs="Aptos Narrow"/>
          <w:i/>
          <w:iCs/>
          <w:color w:val="B85042"/>
          <w:sz w:val="22"/>
          <w:szCs w:val="22"/>
          <w:lang w:val="es-CO"/>
        </w:rPr>
        <w:t>Caso ancla: Proyecto eólico en La Guajira — comunidades Wayuu, consulta previa y licencia social</w:t>
      </w:r>
    </w:p>
    <w:p w14:paraId="54C2FF39" w14:textId="1B7961A3" w:rsidR="77EA1E9B" w:rsidRDefault="77EA1E9B" w:rsidP="1FEE270A">
      <w:pPr>
        <w:pBdr>
          <w:bottom w:val="single" w:sz="8" w:space="6" w:color="1E2761"/>
        </w:pBdr>
        <w:spacing w:after="120"/>
        <w:jc w:val="both"/>
        <w:rPr>
          <w:rFonts w:ascii="Aptos Narrow" w:eastAsia="Aptos Narrow" w:hAnsi="Aptos Narrow" w:cs="Aptos Narrow"/>
          <w:sz w:val="22"/>
          <w:szCs w:val="22"/>
          <w:lang w:val="es-CO"/>
        </w:rPr>
      </w:pPr>
      <w:r w:rsidRPr="1FEE270A">
        <w:rPr>
          <w:rFonts w:ascii="Aptos Narrow" w:eastAsia="Aptos Narrow" w:hAnsi="Aptos Narrow" w:cs="Aptos Narrow"/>
          <w:b/>
          <w:bCs/>
          <w:color w:val="1E2761"/>
          <w:sz w:val="22"/>
          <w:szCs w:val="22"/>
          <w:lang w:val="es-CO"/>
        </w:rPr>
        <w:t xml:space="preserve">Resultados de Aprendizaje verificados: </w:t>
      </w:r>
      <w:r w:rsidRPr="1FEE270A">
        <w:rPr>
          <w:rFonts w:ascii="Aptos Narrow" w:eastAsia="Aptos Narrow" w:hAnsi="Aptos Narrow" w:cs="Aptos Narrow"/>
          <w:sz w:val="22"/>
          <w:szCs w:val="22"/>
          <w:lang w:val="es-CO"/>
        </w:rPr>
        <w:t>RAC 4 (alto) · RAC 1, 2, 3 (alto: integración)</w:t>
      </w:r>
      <w:r w:rsidRPr="1FEE270A">
        <w:rPr>
          <w:rFonts w:ascii="Aptos Narrow" w:eastAsia="Aptos Narrow" w:hAnsi="Aptos Narrow" w:cs="Aptos Narrow"/>
          <w:color w:val="5C6478"/>
          <w:sz w:val="22"/>
          <w:szCs w:val="22"/>
          <w:lang w:val="es-CO"/>
        </w:rPr>
        <w:t xml:space="preserve">  ·  </w:t>
      </w:r>
      <w:r w:rsidRPr="1FEE270A">
        <w:rPr>
          <w:rFonts w:ascii="Aptos Narrow" w:eastAsia="Aptos Narrow" w:hAnsi="Aptos Narrow" w:cs="Aptos Narrow"/>
          <w:b/>
          <w:bCs/>
          <w:color w:val="1E2761"/>
          <w:sz w:val="22"/>
          <w:szCs w:val="22"/>
          <w:lang w:val="es-CO"/>
        </w:rPr>
        <w:t xml:space="preserve">RA del programa: </w:t>
      </w:r>
      <w:r w:rsidRPr="1FEE270A">
        <w:rPr>
          <w:rFonts w:ascii="Aptos Narrow" w:eastAsia="Aptos Narrow" w:hAnsi="Aptos Narrow" w:cs="Aptos Narrow"/>
          <w:sz w:val="22"/>
          <w:szCs w:val="22"/>
          <w:lang w:val="es-CO"/>
        </w:rPr>
        <w:t>RA1.5, RA2.5, RA3.5, RA4, RA-Ética, RA-Comunicación</w:t>
      </w:r>
    </w:p>
    <w:p w14:paraId="48A7D64B" w14:textId="3BFF6A29" w:rsidR="77EA1E9B" w:rsidRDefault="77EA1E9B" w:rsidP="1FEE270A">
      <w:pPr>
        <w:spacing w:before="60" w:after="60" w:line="300" w:lineRule="auto"/>
        <w:jc w:val="both"/>
        <w:rPr>
          <w:rFonts w:ascii="Aptos Narrow" w:eastAsia="Aptos Narrow" w:hAnsi="Aptos Narrow" w:cs="Aptos Narrow"/>
          <w:sz w:val="22"/>
          <w:szCs w:val="22"/>
          <w:lang w:val="es-CO"/>
        </w:rPr>
      </w:pPr>
      <w:r w:rsidRPr="1FEE270A">
        <w:rPr>
          <w:rFonts w:ascii="Aptos Narrow" w:eastAsia="Aptos Narrow" w:hAnsi="Aptos Narrow" w:cs="Aptos Narrow"/>
          <w:sz w:val="22"/>
          <w:szCs w:val="22"/>
          <w:lang w:val="es-CO"/>
        </w:rPr>
        <w:t>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Windpeshi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multi-actor.</w:t>
      </w:r>
    </w:p>
    <w:p w14:paraId="2DF010CF" w14:textId="77777777" w:rsidR="00684053" w:rsidRPr="00F02703" w:rsidRDefault="00684053" w:rsidP="00684053">
      <w:pPr>
        <w:spacing w:before="200" w:after="100"/>
        <w:rPr>
          <w:rFonts w:ascii="Aptos Narrow" w:hAnsi="Aptos Narrow"/>
          <w:sz w:val="22"/>
          <w:szCs w:val="22"/>
          <w:lang w:val="es-419"/>
        </w:rPr>
      </w:pPr>
      <w:r w:rsidRPr="00F02703">
        <w:rPr>
          <w:rFonts w:ascii="Aptos Narrow" w:hAnsi="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C25715" w:rsidRPr="00F02703" w14:paraId="4D7CA148" w14:textId="77777777" w:rsidTr="1FEE270A">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6B6B80B2" w14:textId="77777777" w:rsidR="00C25715" w:rsidRPr="00F02703" w:rsidRDefault="00C25715" w:rsidP="003D38F0">
            <w:pPr>
              <w:jc w:val="center"/>
              <w:rPr>
                <w:rFonts w:ascii="Aptos Narrow" w:hAnsi="Aptos Narrow"/>
                <w:sz w:val="22"/>
                <w:szCs w:val="22"/>
              </w:rPr>
            </w:pPr>
            <w:r w:rsidRPr="00F02703">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6352DFE" w14:textId="537E42FA" w:rsidR="00C25715" w:rsidRPr="00F02703" w:rsidRDefault="00B77AC9" w:rsidP="003D38F0">
            <w:pPr>
              <w:jc w:val="center"/>
              <w:rPr>
                <w:rFonts w:ascii="Aptos Narrow" w:hAnsi="Aptos Narrow"/>
                <w:b/>
                <w:bCs/>
                <w:sz w:val="22"/>
                <w:szCs w:val="22"/>
              </w:rPr>
            </w:pPr>
            <w:r w:rsidRPr="00F02703">
              <w:rPr>
                <w:rFonts w:ascii="Aptos Narrow" w:hAnsi="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1323089" w14:textId="77777777" w:rsidR="00C25715" w:rsidRPr="00F02703" w:rsidRDefault="00C25715" w:rsidP="003D38F0">
            <w:pPr>
              <w:jc w:val="center"/>
              <w:rPr>
                <w:rFonts w:ascii="Aptos Narrow" w:hAnsi="Aptos Narrow"/>
                <w:sz w:val="22"/>
                <w:szCs w:val="22"/>
                <w:lang w:val="es-419"/>
              </w:rPr>
            </w:pPr>
            <w:r w:rsidRPr="00F02703">
              <w:rPr>
                <w:rFonts w:ascii="Aptos Narrow" w:hAnsi="Aptos Narrow"/>
                <w:b/>
                <w:bCs/>
                <w:color w:val="FFFFFF"/>
                <w:sz w:val="22"/>
                <w:szCs w:val="22"/>
                <w:lang w:val="es-419"/>
              </w:rPr>
              <w:t>Descripción</w:t>
            </w:r>
          </w:p>
        </w:tc>
      </w:tr>
      <w:tr w:rsidR="00EC0C2E" w:rsidRPr="00F02703" w14:paraId="09D29222" w14:textId="77777777" w:rsidTr="1FEE270A">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414412C2" w14:textId="35CE98BB" w:rsidR="00EC0C2E" w:rsidRPr="00F02703" w:rsidRDefault="00EC0C2E" w:rsidP="00EC0C2E">
            <w:pPr>
              <w:spacing w:after="0"/>
              <w:jc w:val="center"/>
              <w:rPr>
                <w:rFonts w:ascii="Aptos Narrow" w:hAnsi="Aptos Narrow"/>
                <w:sz w:val="20"/>
                <w:szCs w:val="20"/>
              </w:rPr>
            </w:pPr>
            <w:r w:rsidRPr="00F02703">
              <w:rPr>
                <w:rFonts w:ascii="Aptos Narrow" w:hAnsi="Aptos Narrow"/>
                <w:b/>
                <w:bCs/>
                <w:color w:val="1E2761"/>
                <w:sz w:val="20"/>
                <w:szCs w:val="20"/>
              </w:rPr>
              <w:t>Mo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6B9080E1" w14:textId="37803E5F" w:rsidR="00EC0C2E" w:rsidRPr="00F02703" w:rsidRDefault="00EC0C2E" w:rsidP="00EC0C2E">
            <w:pPr>
              <w:spacing w:after="0"/>
              <w:jc w:val="center"/>
              <w:rPr>
                <w:rFonts w:ascii="Aptos Narrow" w:hAnsi="Aptos Narrow"/>
                <w:sz w:val="20"/>
                <w:szCs w:val="20"/>
              </w:rPr>
            </w:pPr>
            <w:r w:rsidRPr="00F02703">
              <w:rPr>
                <w:rFonts w:ascii="Aptos Narrow" w:hAnsi="Aptos Narrow"/>
                <w:b/>
                <w:bCs/>
                <w:color w:val="1E2761"/>
                <w:sz w:val="20"/>
                <w:szCs w:val="20"/>
              </w:rPr>
              <w:t>Motivación</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582DE150" w14:textId="7C2AA73B" w:rsidR="1FEE270A" w:rsidRDefault="1FEE270A" w:rsidP="1FEE270A">
            <w:pPr>
              <w:spacing w:after="40"/>
              <w:jc w:val="both"/>
              <w:rPr>
                <w:rFonts w:ascii="Aptos Narrow" w:eastAsia="Aptos Narrow" w:hAnsi="Aptos Narrow" w:cs="Aptos Narrow"/>
                <w:color w:val="000000" w:themeColor="text1"/>
                <w:sz w:val="20"/>
                <w:szCs w:val="20"/>
                <w:lang w:val="es-CO"/>
              </w:rPr>
            </w:pPr>
            <w:r w:rsidRPr="1FEE270A">
              <w:rPr>
                <w:rFonts w:ascii="Aptos Narrow" w:eastAsia="Aptos Narrow" w:hAnsi="Aptos Narrow" w:cs="Aptos Narrow"/>
                <w:color w:val="000000" w:themeColor="text1"/>
                <w:sz w:val="20"/>
                <w:szCs w:val="20"/>
                <w:lang w:val="es-CO"/>
              </w:rPr>
              <w:t>Video-cápsula con voces del territorio (líder Wayuu, desarrollador, regulador) sobre el caso Windpeshi. Pregunta detonadora: ¿por qué un proyecto rentable no se construye? La licencia social como sistema, no como trámite.</w:t>
            </w:r>
          </w:p>
        </w:tc>
      </w:tr>
    </w:tbl>
    <w:p w14:paraId="11607A62" w14:textId="77777777" w:rsidR="006A2647" w:rsidRPr="00F02703" w:rsidRDefault="006A2647" w:rsidP="006A2647">
      <w:pPr>
        <w:rPr>
          <w:rFonts w:ascii="Aptos Narrow" w:hAnsi="Aptos Narrow"/>
          <w:sz w:val="22"/>
          <w:szCs w:val="22"/>
          <w:lang w:val="es-419"/>
        </w:rPr>
      </w:pPr>
      <w:r w:rsidRPr="00F02703">
        <w:rPr>
          <w:rFonts w:ascii="Aptos Narrow" w:hAnsi="Aptos Narrow"/>
          <w:sz w:val="22"/>
          <w:szCs w:val="22"/>
          <w:lang w:val="es-419"/>
        </w:rPr>
        <w:br w:type="page"/>
      </w:r>
    </w:p>
    <w:p w14:paraId="31A0717A" w14:textId="5EB7FF1A" w:rsidR="006A2647" w:rsidRDefault="006A2647" w:rsidP="006A2647">
      <w:pPr>
        <w:pStyle w:val="Heading2"/>
        <w:rPr>
          <w:rFonts w:ascii="Aptos Narrow" w:hAnsi="Aptos Narrow"/>
          <w:sz w:val="22"/>
          <w:szCs w:val="22"/>
          <w:lang w:val="es-419"/>
        </w:rPr>
      </w:pPr>
      <w:r w:rsidRPr="00F02703">
        <w:rPr>
          <w:rFonts w:ascii="Aptos Narrow" w:hAnsi="Aptos Narrow"/>
          <w:sz w:val="22"/>
          <w:szCs w:val="22"/>
        </w:rPr>
        <w:lastRenderedPageBreak/>
        <w:t xml:space="preserve">SCRIPT </w:t>
      </w:r>
      <w:r w:rsidRPr="00F02703">
        <w:rPr>
          <w:rFonts w:ascii="Aptos Narrow" w:hAnsi="Aptos Narrow"/>
          <w:sz w:val="22"/>
          <w:szCs w:val="22"/>
          <w:lang w:val="es-419"/>
        </w:rPr>
        <w:t>~ 5 min</w:t>
      </w:r>
    </w:p>
    <w:p w14:paraId="448C851D" w14:textId="77777777" w:rsidR="007B040B" w:rsidRPr="007B040B" w:rsidRDefault="007B040B" w:rsidP="007B040B">
      <w:pPr>
        <w:spacing w:before="280" w:after="120"/>
        <w:rPr>
          <w:rFonts w:ascii="Aptos Narrow" w:hAnsi="Aptos Narrow"/>
          <w:sz w:val="22"/>
          <w:szCs w:val="22"/>
          <w:lang w:val="es-419"/>
        </w:rPr>
      </w:pPr>
      <w:r w:rsidRPr="007B040B">
        <w:rPr>
          <w:rFonts w:ascii="Aptos Narrow" w:hAnsi="Aptos Narrow"/>
          <w:b/>
          <w:bCs/>
          <w:color w:val="1F3864"/>
          <w:sz w:val="22"/>
          <w:szCs w:val="22"/>
          <w:lang w:val="es-419"/>
        </w:rPr>
        <w:t>Segmento 1 — Apertura</w:t>
      </w:r>
    </w:p>
    <w:p w14:paraId="5DDB8266" w14:textId="77777777" w:rsidR="007B040B" w:rsidRPr="007B040B" w:rsidRDefault="007B040B" w:rsidP="007B040B">
      <w:pPr>
        <w:spacing w:line="300" w:lineRule="auto"/>
        <w:jc w:val="both"/>
        <w:rPr>
          <w:rFonts w:ascii="Aptos Narrow" w:hAnsi="Aptos Narrow"/>
          <w:sz w:val="22"/>
          <w:szCs w:val="22"/>
          <w:lang w:val="es-419"/>
        </w:rPr>
      </w:pPr>
      <w:r w:rsidRPr="007B040B">
        <w:rPr>
          <w:rFonts w:ascii="Aptos Narrow" w:hAnsi="Aptos Narrow"/>
          <w:sz w:val="22"/>
          <w:szCs w:val="22"/>
          <w:lang w:val="es-419"/>
        </w:rPr>
        <w:t>La Guajira tiene uno de los mejores recursos eólicos de América Latina. Vientos constantes, fuertes, durante buena parte del año. Sobre el papel, es el lugar ideal para la transición energética colombiana, y por eso hacia allá se dirigieron los grandes proyectos de generación eólica del país. Los números funcionaban. La tecnología estaba probada. El país necesitaba esa energía.</w:t>
      </w:r>
    </w:p>
    <w:p w14:paraId="49266D3A" w14:textId="77777777" w:rsidR="007B040B" w:rsidRPr="007B040B" w:rsidRDefault="007B040B" w:rsidP="007B040B">
      <w:pPr>
        <w:spacing w:line="300" w:lineRule="auto"/>
        <w:jc w:val="both"/>
        <w:rPr>
          <w:rFonts w:ascii="Aptos Narrow" w:hAnsi="Aptos Narrow"/>
          <w:sz w:val="22"/>
          <w:szCs w:val="22"/>
        </w:rPr>
      </w:pPr>
      <w:r w:rsidRPr="007B040B">
        <w:rPr>
          <w:rFonts w:ascii="Aptos Narrow" w:hAnsi="Aptos Narrow"/>
          <w:sz w:val="22"/>
          <w:szCs w:val="22"/>
        </w:rPr>
        <w:t>Y sin embargo, varios de esos proyectos han enfrentado demoras profundas, suspensiones y, en algunos casos, el retiro de sus promotores. Hoy quiero que escuchemos por qué, pero no en mi voz. Vamos a escuchar a quienes están en el territorio.</w:t>
      </w:r>
    </w:p>
    <w:p w14:paraId="623932AB" w14:textId="77777777" w:rsidR="007B040B" w:rsidRPr="007B040B" w:rsidRDefault="007B040B" w:rsidP="007B040B">
      <w:pPr>
        <w:spacing w:before="280" w:after="120"/>
        <w:rPr>
          <w:rFonts w:ascii="Aptos Narrow" w:hAnsi="Aptos Narrow"/>
          <w:sz w:val="22"/>
          <w:szCs w:val="22"/>
        </w:rPr>
      </w:pPr>
      <w:r w:rsidRPr="007B040B">
        <w:rPr>
          <w:rFonts w:ascii="Aptos Narrow" w:hAnsi="Aptos Narrow"/>
          <w:b/>
          <w:bCs/>
          <w:color w:val="1F3864"/>
          <w:sz w:val="22"/>
          <w:szCs w:val="22"/>
        </w:rPr>
        <w:t>Segmento 2 — Voces del territorio</w:t>
      </w:r>
    </w:p>
    <w:p w14:paraId="4759B9D7" w14:textId="77777777" w:rsidR="007B040B" w:rsidRPr="007B040B" w:rsidRDefault="007B040B" w:rsidP="007B040B">
      <w:pPr>
        <w:pBdr>
          <w:left w:val="single" w:sz="18" w:space="12" w:color="9C2B2B"/>
        </w:pBdr>
        <w:spacing w:before="120"/>
        <w:rPr>
          <w:rFonts w:ascii="Aptos Narrow" w:hAnsi="Aptos Narrow"/>
          <w:sz w:val="22"/>
          <w:szCs w:val="22"/>
        </w:rPr>
      </w:pPr>
      <w:r w:rsidRPr="007B040B">
        <w:rPr>
          <w:rFonts w:ascii="Aptos Narrow" w:hAnsi="Aptos Narrow"/>
          <w:b/>
          <w:bCs/>
          <w:color w:val="9C2B2B"/>
          <w:sz w:val="22"/>
          <w:szCs w:val="22"/>
        </w:rPr>
        <w:t xml:space="preserve">[ENTRA TESTIMONIO] </w:t>
      </w:r>
      <w:r w:rsidRPr="007B040B">
        <w:rPr>
          <w:rFonts w:ascii="Aptos Narrow" w:hAnsi="Aptos Narrow"/>
          <w:i/>
          <w:iCs/>
          <w:color w:val="555555"/>
          <w:sz w:val="22"/>
          <w:szCs w:val="22"/>
        </w:rPr>
        <w:t>Voz de la comunidad Wayuu. Debe abordar: qué significa el territorio para la comunidad, cómo se vivió el proceso de socialización y consulta, y qué esperaban del proyecto frente a lo que ocurrió. Grabación en terreno con consentimiento informado, o fragmento de material público verificado con atribución.</w:t>
      </w:r>
    </w:p>
    <w:p w14:paraId="583B4046" w14:textId="77777777" w:rsidR="007B040B" w:rsidRPr="007B040B" w:rsidRDefault="007B040B" w:rsidP="007B040B">
      <w:pPr>
        <w:spacing w:line="300" w:lineRule="auto"/>
        <w:jc w:val="both"/>
        <w:rPr>
          <w:rFonts w:ascii="Aptos Narrow" w:hAnsi="Aptos Narrow"/>
          <w:sz w:val="22"/>
          <w:szCs w:val="22"/>
        </w:rPr>
      </w:pPr>
      <w:r w:rsidRPr="007B040B">
        <w:rPr>
          <w:rFonts w:ascii="Aptos Narrow" w:hAnsi="Aptos Narrow"/>
          <w:sz w:val="22"/>
          <w:szCs w:val="22"/>
        </w:rPr>
        <w:t>Escuchemos ahora al desarrollador del proyecto.</w:t>
      </w:r>
    </w:p>
    <w:p w14:paraId="741DAF18" w14:textId="77777777" w:rsidR="007B040B" w:rsidRPr="007B040B" w:rsidRDefault="007B040B" w:rsidP="007B040B">
      <w:pPr>
        <w:pBdr>
          <w:left w:val="single" w:sz="18" w:space="12" w:color="9C2B2B"/>
        </w:pBdr>
        <w:spacing w:before="120"/>
        <w:rPr>
          <w:rFonts w:ascii="Aptos Narrow" w:hAnsi="Aptos Narrow"/>
          <w:sz w:val="22"/>
          <w:szCs w:val="22"/>
        </w:rPr>
      </w:pPr>
      <w:r w:rsidRPr="007B040B">
        <w:rPr>
          <w:rFonts w:ascii="Aptos Narrow" w:hAnsi="Aptos Narrow"/>
          <w:b/>
          <w:bCs/>
          <w:color w:val="9C2B2B"/>
          <w:sz w:val="22"/>
          <w:szCs w:val="22"/>
        </w:rPr>
        <w:t xml:space="preserve">[ENTRA TESTIMONIO] </w:t>
      </w:r>
      <w:r w:rsidRPr="007B040B">
        <w:rPr>
          <w:rFonts w:ascii="Aptos Narrow" w:hAnsi="Aptos Narrow"/>
          <w:i/>
          <w:iCs/>
          <w:color w:val="555555"/>
          <w:sz w:val="22"/>
          <w:szCs w:val="22"/>
        </w:rPr>
        <w:t>Voz del desarrollador. Debe abordar: qué se propuso el proyecto, cómo se planteó la relación con las comunidades, con qué dificultades se encontró y cómo interpreta lo ocurrido. Fuente verificada.</w:t>
      </w:r>
    </w:p>
    <w:p w14:paraId="31D31A9D" w14:textId="77777777" w:rsidR="007B040B" w:rsidRPr="007B040B" w:rsidRDefault="007B040B" w:rsidP="007B040B">
      <w:pPr>
        <w:spacing w:line="300" w:lineRule="auto"/>
        <w:jc w:val="both"/>
        <w:rPr>
          <w:rFonts w:ascii="Aptos Narrow" w:hAnsi="Aptos Narrow"/>
          <w:sz w:val="22"/>
          <w:szCs w:val="22"/>
        </w:rPr>
      </w:pPr>
      <w:r w:rsidRPr="007B040B">
        <w:rPr>
          <w:rFonts w:ascii="Aptos Narrow" w:hAnsi="Aptos Narrow"/>
          <w:sz w:val="22"/>
          <w:szCs w:val="22"/>
        </w:rPr>
        <w:t>Y a quien mira desde el lado institucional y regulatorio.</w:t>
      </w:r>
    </w:p>
    <w:p w14:paraId="0AB0CC49" w14:textId="77777777" w:rsidR="007B040B" w:rsidRPr="007B040B" w:rsidRDefault="007B040B" w:rsidP="007B040B">
      <w:pPr>
        <w:pBdr>
          <w:left w:val="single" w:sz="18" w:space="12" w:color="9C2B2B"/>
        </w:pBdr>
        <w:spacing w:before="120"/>
        <w:rPr>
          <w:rFonts w:ascii="Aptos Narrow" w:hAnsi="Aptos Narrow"/>
          <w:sz w:val="22"/>
          <w:szCs w:val="22"/>
        </w:rPr>
      </w:pPr>
      <w:r w:rsidRPr="007B040B">
        <w:rPr>
          <w:rFonts w:ascii="Aptos Narrow" w:hAnsi="Aptos Narrow"/>
          <w:b/>
          <w:bCs/>
          <w:color w:val="9C2B2B"/>
          <w:sz w:val="22"/>
          <w:szCs w:val="22"/>
        </w:rPr>
        <w:t xml:space="preserve">[ENTRA TESTIMONIO] </w:t>
      </w:r>
      <w:r w:rsidRPr="007B040B">
        <w:rPr>
          <w:rFonts w:ascii="Aptos Narrow" w:hAnsi="Aptos Narrow"/>
          <w:i/>
          <w:iCs/>
          <w:color w:val="555555"/>
          <w:sz w:val="22"/>
          <w:szCs w:val="22"/>
        </w:rPr>
        <w:t>Voz institucional o regulatoria (autoridad ambiental, regulador o entidad del sector). Debe abordar: el marco de consulta previa y licenciamiento, y qué lecciones deja el caso para el diseño de proyectos futuros. Fuente verificada.</w:t>
      </w:r>
    </w:p>
    <w:p w14:paraId="3B99B86E" w14:textId="77777777" w:rsidR="007B040B" w:rsidRPr="007B040B" w:rsidRDefault="007B040B" w:rsidP="007B040B">
      <w:pPr>
        <w:spacing w:before="280" w:after="120"/>
        <w:rPr>
          <w:rFonts w:ascii="Aptos Narrow" w:hAnsi="Aptos Narrow"/>
          <w:sz w:val="22"/>
          <w:szCs w:val="22"/>
        </w:rPr>
      </w:pPr>
      <w:r w:rsidRPr="007B040B">
        <w:rPr>
          <w:rFonts w:ascii="Aptos Narrow" w:hAnsi="Aptos Narrow"/>
          <w:b/>
          <w:bCs/>
          <w:color w:val="1F3864"/>
          <w:sz w:val="22"/>
          <w:szCs w:val="22"/>
        </w:rPr>
        <w:t>Segmento 3 — Lo que estas voces nos muestran</w:t>
      </w:r>
    </w:p>
    <w:p w14:paraId="13451860" w14:textId="77777777" w:rsidR="007B040B" w:rsidRPr="007B040B" w:rsidRDefault="007B040B" w:rsidP="007B040B">
      <w:pPr>
        <w:spacing w:line="300" w:lineRule="auto"/>
        <w:jc w:val="both"/>
        <w:rPr>
          <w:rFonts w:ascii="Aptos Narrow" w:hAnsi="Aptos Narrow"/>
          <w:sz w:val="22"/>
          <w:szCs w:val="22"/>
        </w:rPr>
      </w:pPr>
      <w:r w:rsidRPr="007B040B">
        <w:rPr>
          <w:rFonts w:ascii="Aptos Narrow" w:hAnsi="Aptos Narrow"/>
          <w:sz w:val="22"/>
          <w:szCs w:val="22"/>
        </w:rPr>
        <w:t>Escuchen lo que acaba de pasar. Cada una de esas personas tiene razones legítimas. Ninguna está mintiendo, ninguna es el villano de la historia. Y sin embargo, entre todas, algo no funcionó. Un proyecto que en el modelo financiero era viable, que en el modelo de redes se conectaba bien, que en el modelo de dinámica de sistemas aportaba capacidad valiosa, no logró materializarse.</w:t>
      </w:r>
    </w:p>
    <w:p w14:paraId="5CC4C821" w14:textId="77777777" w:rsidR="007B040B" w:rsidRPr="007B040B" w:rsidRDefault="007B040B" w:rsidP="007B040B">
      <w:pPr>
        <w:spacing w:line="300" w:lineRule="auto"/>
        <w:jc w:val="both"/>
        <w:rPr>
          <w:rFonts w:ascii="Aptos Narrow" w:hAnsi="Aptos Narrow"/>
          <w:sz w:val="22"/>
          <w:szCs w:val="22"/>
          <w:lang w:val="es-419"/>
        </w:rPr>
      </w:pPr>
      <w:r w:rsidRPr="007B040B">
        <w:rPr>
          <w:rFonts w:ascii="Aptos Narrow" w:hAnsi="Aptos Narrow"/>
          <w:sz w:val="22"/>
          <w:szCs w:val="22"/>
          <w:lang w:val="es-419"/>
        </w:rPr>
        <w:t>Aquí está el punto que abre la semana. Durante cinco semanas construimos un instrumental poderoso: pensamiento de complejidad, análisis de redes, dinámica de sistemas. Con él podemos decir si un proyecto es rentable, si la red lo soporta y si la estrategia es robusta ante la incertidumbre. Pero ninguno de esos modelos tiene una variable para la confianza. Ninguno tiene una ecuación para la legitimidad. Ninguno mide si un proceso fue justo, ni quién carga los costos y quién recibe los beneficios.</w:t>
      </w:r>
    </w:p>
    <w:p w14:paraId="043E8F1B" w14:textId="77777777" w:rsidR="007B040B" w:rsidRPr="007B040B" w:rsidRDefault="007B040B" w:rsidP="007B040B">
      <w:pPr>
        <w:spacing w:line="300" w:lineRule="auto"/>
        <w:jc w:val="both"/>
        <w:rPr>
          <w:rFonts w:ascii="Aptos Narrow" w:hAnsi="Aptos Narrow"/>
          <w:sz w:val="22"/>
          <w:szCs w:val="22"/>
          <w:lang w:val="es-419"/>
        </w:rPr>
      </w:pPr>
      <w:r w:rsidRPr="007B040B">
        <w:rPr>
          <w:rFonts w:ascii="Aptos Narrow" w:hAnsi="Aptos Narrow"/>
          <w:sz w:val="22"/>
          <w:szCs w:val="22"/>
          <w:lang w:val="es-419"/>
        </w:rPr>
        <w:lastRenderedPageBreak/>
        <w:t>Y en Colombia, esas dimensiones no son un accesorio: deciden si un proyecto existe o no. La licencia social no es un trámite que se saca al final, es un sistema, con sus propios actores, sus retroalimentaciones y sus tiempos, y hay que analizarlo con el mismo rigor con el que analizamos el flujo de potencia o el flujo de caja.</w:t>
      </w:r>
    </w:p>
    <w:p w14:paraId="6F04AE9C" w14:textId="77777777" w:rsidR="007B040B" w:rsidRPr="007B040B" w:rsidRDefault="007B040B" w:rsidP="007B040B">
      <w:pPr>
        <w:spacing w:before="280" w:after="120"/>
        <w:rPr>
          <w:rFonts w:ascii="Aptos Narrow" w:hAnsi="Aptos Narrow"/>
          <w:sz w:val="22"/>
          <w:szCs w:val="22"/>
          <w:lang w:val="es-419"/>
        </w:rPr>
      </w:pPr>
      <w:r w:rsidRPr="007B040B">
        <w:rPr>
          <w:rFonts w:ascii="Aptos Narrow" w:hAnsi="Aptos Narrow"/>
          <w:b/>
          <w:bCs/>
          <w:color w:val="1F3864"/>
          <w:sz w:val="22"/>
          <w:szCs w:val="22"/>
          <w:lang w:val="es-419"/>
        </w:rPr>
        <w:t>Segmento 4 — Pregunta orientadora y cierre</w:t>
      </w:r>
    </w:p>
    <w:p w14:paraId="21AB9288" w14:textId="77777777" w:rsidR="007B040B" w:rsidRPr="007B040B" w:rsidRDefault="007B040B" w:rsidP="007B040B">
      <w:pPr>
        <w:spacing w:line="300" w:lineRule="auto"/>
        <w:jc w:val="both"/>
        <w:rPr>
          <w:rFonts w:ascii="Aptos Narrow" w:hAnsi="Aptos Narrow"/>
          <w:sz w:val="22"/>
          <w:szCs w:val="22"/>
        </w:rPr>
      </w:pPr>
      <w:r w:rsidRPr="007B040B">
        <w:rPr>
          <w:rFonts w:ascii="Aptos Narrow" w:hAnsi="Aptos Narrow"/>
          <w:sz w:val="22"/>
          <w:szCs w:val="22"/>
          <w:lang w:val="es-419"/>
        </w:rPr>
        <w:t xml:space="preserve">Esa es la pregunta que quiero que lleven al foro y a toda la semana: ¿por qué un proyecto rentable no se construye? Y una versión más incómoda de la misma pregunta, que es la del foro: ¿está siendo justa la transición energética colombiana? </w:t>
      </w:r>
      <w:r w:rsidRPr="007B040B">
        <w:rPr>
          <w:rFonts w:ascii="Aptos Narrow" w:hAnsi="Aptos Narrow"/>
          <w:sz w:val="22"/>
          <w:szCs w:val="22"/>
        </w:rPr>
        <w:t>Escriban su primera respuesta ahora, antes de tener el marco conceptual. Al final de la semana la van a poder argumentar con las tres dimensiones de justicia energética y con el análisis de gobernanza.</w:t>
      </w:r>
    </w:p>
    <w:p w14:paraId="4E21289F" w14:textId="77777777" w:rsidR="007B040B" w:rsidRPr="007B040B" w:rsidRDefault="007B040B" w:rsidP="007B040B">
      <w:pPr>
        <w:spacing w:line="300" w:lineRule="auto"/>
        <w:jc w:val="both"/>
        <w:rPr>
          <w:rFonts w:ascii="Aptos Narrow" w:hAnsi="Aptos Narrow"/>
          <w:sz w:val="22"/>
          <w:szCs w:val="22"/>
        </w:rPr>
      </w:pPr>
      <w:r w:rsidRPr="007B040B">
        <w:rPr>
          <w:rFonts w:ascii="Aptos Narrow" w:hAnsi="Aptos Narrow"/>
          <w:sz w:val="22"/>
          <w:szCs w:val="22"/>
        </w:rPr>
        <w:t>En las próximas lecciones vamos a integrar todo lo que sabemos en un análisis de cuatro capas, vamos a estudiar cómo se gobiernan sistemas con muchos centros de autoridad, vamos a darle nombre y estructura a la idea de justicia energética, y vamos a aprender algo que ningún modelo hace por nosotros: comunicar toda esta complejidad a quienes tienen que tomar la decisión. Empecemos.</w:t>
      </w:r>
    </w:p>
    <w:p w14:paraId="692044F5" w14:textId="77777777" w:rsidR="007B040B" w:rsidRPr="007B040B" w:rsidRDefault="007B040B" w:rsidP="007B040B">
      <w:pPr>
        <w:pBdr>
          <w:top w:val="single" w:sz="6" w:space="6" w:color="CCCCCC"/>
        </w:pBdr>
        <w:spacing w:before="280" w:after="120"/>
        <w:rPr>
          <w:rFonts w:ascii="Aptos Narrow" w:hAnsi="Aptos Narrow"/>
          <w:sz w:val="22"/>
          <w:szCs w:val="22"/>
        </w:rPr>
      </w:pPr>
      <w:r w:rsidRPr="007B040B">
        <w:rPr>
          <w:rFonts w:ascii="Aptos Narrow" w:hAnsi="Aptos Narrow"/>
          <w:b/>
          <w:bCs/>
          <w:color w:val="9C6500"/>
          <w:sz w:val="22"/>
          <w:szCs w:val="22"/>
        </w:rPr>
        <w:t>Nota crítica sobre los testimonios y verificación</w:t>
      </w:r>
    </w:p>
    <w:p w14:paraId="16026C1C" w14:textId="77777777" w:rsidR="007B040B" w:rsidRPr="007B040B" w:rsidRDefault="007B040B" w:rsidP="007B040B">
      <w:pPr>
        <w:spacing w:after="100"/>
        <w:rPr>
          <w:rFonts w:ascii="Aptos Narrow" w:hAnsi="Aptos Narrow"/>
          <w:sz w:val="22"/>
          <w:szCs w:val="22"/>
        </w:rPr>
      </w:pPr>
      <w:r w:rsidRPr="007B040B">
        <w:rPr>
          <w:rFonts w:ascii="Aptos Narrow" w:hAnsi="Aptos Narrow"/>
          <w:i/>
          <w:iCs/>
          <w:color w:val="555555"/>
          <w:sz w:val="22"/>
          <w:szCs w:val="22"/>
        </w:rPr>
        <w:t>Los testimonios NO se guionizan. Este documento contiene solo la locución del profesor. Las voces del territorio deben provenir de grabaciones reales con consentimiento informado, o de material público verificado con la debida atribución. No deben escribirse parlamentos ficticios atribuidos a un líder Wayuu, a la empresa desarrolladora o a una autoridad: se trata de un conflicto real, con actores identificables, y hacerlo sería inexacto y éticamente indefendible además de restarle todo el valor pedagógico a la cápsula.</w:t>
      </w:r>
    </w:p>
    <w:p w14:paraId="6BED5280" w14:textId="04432D28" w:rsidR="00505613" w:rsidRPr="007B040B" w:rsidRDefault="007B040B" w:rsidP="007B040B">
      <w:pPr>
        <w:spacing w:after="120"/>
        <w:rPr>
          <w:rFonts w:ascii="Aptos Narrow" w:hAnsi="Aptos Narrow"/>
          <w:sz w:val="22"/>
          <w:szCs w:val="22"/>
          <w:lang w:val="es-419"/>
        </w:rPr>
      </w:pPr>
      <w:r w:rsidRPr="007B040B">
        <w:rPr>
          <w:rFonts w:ascii="Aptos Narrow" w:hAnsi="Aptos Narrow"/>
          <w:i/>
          <w:iCs/>
          <w:color w:val="555555"/>
          <w:sz w:val="22"/>
          <w:szCs w:val="22"/>
          <w:lang w:val="es-419"/>
        </w:rPr>
        <w:t>Verificar antes de grabar: el estado actual del proyecto eólico de referencia (Windpeshi u otro) y de los proyectos eólicos en La Guajira; los hechos sobre los procesos de consulta previa y las razones documentadas de suspensión o retiro; y las cifras de potencial eólico de La Guajira. Fuentes sugeridas: UPME, MME, ANLA, Ministerio del Interior (consulta previa), informes de la Contraloría sobre FNCER en La Guajira, y comunicados oficiales de la empresa. La locución evita deliberadamente atribuir responsabilidad a alguna de las partes y afirma solo que hubo demoras, suspensiones y retiros; ajustar el fraseo si la evidencia verificada permite mayor precisión.</w:t>
      </w:r>
    </w:p>
    <w:sectPr w:rsidR="00505613" w:rsidRPr="007B040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F718" w14:textId="77777777" w:rsidR="00826149" w:rsidRDefault="00826149" w:rsidP="00DC6E4E">
      <w:pPr>
        <w:spacing w:after="0" w:line="240" w:lineRule="auto"/>
      </w:pPr>
      <w:r>
        <w:separator/>
      </w:r>
    </w:p>
  </w:endnote>
  <w:endnote w:type="continuationSeparator" w:id="0">
    <w:p w14:paraId="25CA12FD" w14:textId="77777777" w:rsidR="00826149" w:rsidRDefault="00826149"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54E1" w14:textId="77777777" w:rsidR="00826149" w:rsidRDefault="00826149" w:rsidP="00DC6E4E">
      <w:pPr>
        <w:spacing w:after="0" w:line="240" w:lineRule="auto"/>
      </w:pPr>
      <w:r>
        <w:separator/>
      </w:r>
    </w:p>
  </w:footnote>
  <w:footnote w:type="continuationSeparator" w:id="0">
    <w:p w14:paraId="649B4875" w14:textId="77777777" w:rsidR="00826149" w:rsidRDefault="00826149"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30204"/>
    <w:rsid w:val="00063BF6"/>
    <w:rsid w:val="0007105B"/>
    <w:rsid w:val="00080A5D"/>
    <w:rsid w:val="000C147F"/>
    <w:rsid w:val="000D061B"/>
    <w:rsid w:val="0016424E"/>
    <w:rsid w:val="00190B63"/>
    <w:rsid w:val="001928AB"/>
    <w:rsid w:val="00195469"/>
    <w:rsid w:val="001D4C6D"/>
    <w:rsid w:val="002338A3"/>
    <w:rsid w:val="00263F53"/>
    <w:rsid w:val="002B0F3E"/>
    <w:rsid w:val="002B2F6D"/>
    <w:rsid w:val="002B54E7"/>
    <w:rsid w:val="002C1903"/>
    <w:rsid w:val="002D2D04"/>
    <w:rsid w:val="002D3CE9"/>
    <w:rsid w:val="002E43EE"/>
    <w:rsid w:val="003A6F04"/>
    <w:rsid w:val="003C4859"/>
    <w:rsid w:val="003E57AD"/>
    <w:rsid w:val="00406455"/>
    <w:rsid w:val="00416939"/>
    <w:rsid w:val="00442043"/>
    <w:rsid w:val="0045781F"/>
    <w:rsid w:val="00477C9E"/>
    <w:rsid w:val="004D07B2"/>
    <w:rsid w:val="00505613"/>
    <w:rsid w:val="00566DB3"/>
    <w:rsid w:val="005950CD"/>
    <w:rsid w:val="005C61BF"/>
    <w:rsid w:val="005C6777"/>
    <w:rsid w:val="006006AF"/>
    <w:rsid w:val="00636DF5"/>
    <w:rsid w:val="00653F28"/>
    <w:rsid w:val="00684053"/>
    <w:rsid w:val="00690B44"/>
    <w:rsid w:val="006A2647"/>
    <w:rsid w:val="006A403D"/>
    <w:rsid w:val="006B3AAC"/>
    <w:rsid w:val="0073061D"/>
    <w:rsid w:val="007722A8"/>
    <w:rsid w:val="00774065"/>
    <w:rsid w:val="007B040B"/>
    <w:rsid w:val="007D3681"/>
    <w:rsid w:val="007D5182"/>
    <w:rsid w:val="007E46B6"/>
    <w:rsid w:val="00812C9A"/>
    <w:rsid w:val="00814EC7"/>
    <w:rsid w:val="0082442A"/>
    <w:rsid w:val="00824BC0"/>
    <w:rsid w:val="00826149"/>
    <w:rsid w:val="00845267"/>
    <w:rsid w:val="008641BD"/>
    <w:rsid w:val="008B3B28"/>
    <w:rsid w:val="008E2E48"/>
    <w:rsid w:val="009222D0"/>
    <w:rsid w:val="0093616B"/>
    <w:rsid w:val="0094593B"/>
    <w:rsid w:val="009572D0"/>
    <w:rsid w:val="00961FA9"/>
    <w:rsid w:val="009668D6"/>
    <w:rsid w:val="009B6C32"/>
    <w:rsid w:val="00A56AB4"/>
    <w:rsid w:val="00A64527"/>
    <w:rsid w:val="00A67E34"/>
    <w:rsid w:val="00A82BB6"/>
    <w:rsid w:val="00A96C6A"/>
    <w:rsid w:val="00AB3AE4"/>
    <w:rsid w:val="00AB7F9E"/>
    <w:rsid w:val="00B17459"/>
    <w:rsid w:val="00B225C9"/>
    <w:rsid w:val="00B77AC9"/>
    <w:rsid w:val="00BB53F1"/>
    <w:rsid w:val="00BC56C4"/>
    <w:rsid w:val="00C04E34"/>
    <w:rsid w:val="00C25715"/>
    <w:rsid w:val="00C74969"/>
    <w:rsid w:val="00CA7B83"/>
    <w:rsid w:val="00CC1613"/>
    <w:rsid w:val="00CF7A5D"/>
    <w:rsid w:val="00D13B8D"/>
    <w:rsid w:val="00D45F58"/>
    <w:rsid w:val="00D64E13"/>
    <w:rsid w:val="00D752A9"/>
    <w:rsid w:val="00D918A4"/>
    <w:rsid w:val="00DC52DD"/>
    <w:rsid w:val="00DC6E4E"/>
    <w:rsid w:val="00DD0613"/>
    <w:rsid w:val="00E20D7E"/>
    <w:rsid w:val="00E27FCE"/>
    <w:rsid w:val="00E315C7"/>
    <w:rsid w:val="00E325F2"/>
    <w:rsid w:val="00E54F8F"/>
    <w:rsid w:val="00EA748F"/>
    <w:rsid w:val="00EB4998"/>
    <w:rsid w:val="00EB7720"/>
    <w:rsid w:val="00EC0C2E"/>
    <w:rsid w:val="00F02703"/>
    <w:rsid w:val="00F07D53"/>
    <w:rsid w:val="00F2295E"/>
    <w:rsid w:val="00F34652"/>
    <w:rsid w:val="00F86456"/>
    <w:rsid w:val="00F87ED4"/>
    <w:rsid w:val="00FB5012"/>
    <w:rsid w:val="00FC18DC"/>
    <w:rsid w:val="00FD13F6"/>
    <w:rsid w:val="00FE554A"/>
    <w:rsid w:val="01F57438"/>
    <w:rsid w:val="14E837E6"/>
    <w:rsid w:val="1FEE270A"/>
    <w:rsid w:val="2AA860A7"/>
    <w:rsid w:val="3DC34E97"/>
    <w:rsid w:val="407DCF26"/>
    <w:rsid w:val="475E6035"/>
    <w:rsid w:val="6E466B20"/>
    <w:rsid w:val="743DFBEE"/>
    <w:rsid w:val="77EA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34</cp:revision>
  <cp:lastPrinted>2026-05-29T16:52:00Z</cp:lastPrinted>
  <dcterms:created xsi:type="dcterms:W3CDTF">2026-07-08T00:06:00Z</dcterms:created>
  <dcterms:modified xsi:type="dcterms:W3CDTF">2026-07-20T00:09:00Z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