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9BEE5" w14:textId="77777777" w:rsidR="00DF44F4" w:rsidRDefault="00DF44F4" w:rsidP="002F764C"/>
    <w:p w14:paraId="29ED4B7B" w14:textId="77777777" w:rsidR="00984B73" w:rsidRDefault="00984B73" w:rsidP="002F764C"/>
    <w:p w14:paraId="0F7583EE" w14:textId="77777777" w:rsidR="00984B73" w:rsidRDefault="00984B73" w:rsidP="002F764C"/>
    <w:p w14:paraId="2A52F790" w14:textId="77777777" w:rsidR="00984B73" w:rsidRDefault="00984B73" w:rsidP="002F764C"/>
    <w:p w14:paraId="4BF00855" w14:textId="77777777" w:rsidR="00984B73" w:rsidRDefault="00984B73" w:rsidP="002F764C"/>
    <w:p w14:paraId="527C877C" w14:textId="77777777" w:rsidR="00984B73" w:rsidRDefault="00984B73" w:rsidP="002F764C"/>
    <w:p w14:paraId="0E667B63" w14:textId="77777777" w:rsidR="00984B73" w:rsidRDefault="00984B73" w:rsidP="002F764C"/>
    <w:p w14:paraId="0C98488E" w14:textId="77777777" w:rsidR="00984B73" w:rsidRDefault="00984B73" w:rsidP="002F764C"/>
    <w:p w14:paraId="49241CEB" w14:textId="77777777" w:rsidR="00984B73" w:rsidRDefault="00984B73" w:rsidP="002F764C"/>
    <w:p w14:paraId="09763918" w14:textId="77777777" w:rsidR="00984B73" w:rsidRDefault="00984B73" w:rsidP="002F764C"/>
    <w:p w14:paraId="1778F968" w14:textId="77777777" w:rsidR="00984B73" w:rsidRDefault="00984B73" w:rsidP="002F764C"/>
    <w:p w14:paraId="1704BA4A" w14:textId="77777777" w:rsidR="00984B73" w:rsidRDefault="00984B73" w:rsidP="002F764C"/>
    <w:p w14:paraId="2B6B6281" w14:textId="77777777" w:rsidR="00984B73" w:rsidRDefault="00984B73" w:rsidP="002F764C"/>
    <w:p w14:paraId="51AEBC7D" w14:textId="77777777" w:rsidR="00984B73" w:rsidRDefault="00984B73" w:rsidP="002F764C"/>
    <w:p w14:paraId="3781E825" w14:textId="77777777" w:rsidR="00984B73" w:rsidRDefault="00984B73" w:rsidP="002F764C"/>
    <w:p w14:paraId="0DB39A07" w14:textId="77777777" w:rsidR="00984B73" w:rsidRDefault="00984B73" w:rsidP="002F764C"/>
    <w:p w14:paraId="3E28B611" w14:textId="77777777" w:rsidR="00984B73" w:rsidRDefault="00984B73" w:rsidP="002F764C"/>
    <w:p w14:paraId="3ADD7481" w14:textId="77777777" w:rsidR="00984B73" w:rsidRDefault="00984B73" w:rsidP="002F764C"/>
    <w:p w14:paraId="5CCB59E5" w14:textId="77777777" w:rsidR="00984B73" w:rsidRDefault="00984B73" w:rsidP="002F764C"/>
    <w:p w14:paraId="004488A7" w14:textId="77777777" w:rsidR="00984B73" w:rsidRDefault="00984B73" w:rsidP="002F764C"/>
    <w:p w14:paraId="603B15B4" w14:textId="77777777" w:rsidR="00984B73" w:rsidRDefault="00984B73" w:rsidP="002F764C"/>
    <w:p w14:paraId="55BC8C95" w14:textId="77777777" w:rsidR="002335BB" w:rsidRDefault="002335BB" w:rsidP="002F764C"/>
    <w:p w14:paraId="3D6A1176" w14:textId="77777777" w:rsidR="002F764C" w:rsidRPr="00B308A9" w:rsidRDefault="00FD52D7" w:rsidP="002F764C">
      <w:pPr>
        <w:pBdr>
          <w:bottom w:val="single" w:sz="24" w:space="1" w:color="018071" w:themeColor="text1"/>
        </w:pBdr>
        <w:ind w:right="1701"/>
        <w:rPr>
          <w:b/>
          <w:bCs/>
          <w:sz w:val="60"/>
          <w:szCs w:val="60"/>
          <w:lang w:val="en-US"/>
        </w:rPr>
      </w:pPr>
      <w:r w:rsidRPr="00B308A9">
        <w:rPr>
          <w:b/>
          <w:bCs/>
          <w:sz w:val="60"/>
          <w:szCs w:val="60"/>
          <w:lang w:val="en-US"/>
        </w:rPr>
        <w:t>Programa del curso</w:t>
      </w:r>
    </w:p>
    <w:p w14:paraId="292CB3D6" w14:textId="77777777" w:rsidR="00FD52D7" w:rsidRPr="00B308A9" w:rsidRDefault="00FD52D7" w:rsidP="002F764C">
      <w:pPr>
        <w:rPr>
          <w:sz w:val="28"/>
          <w:szCs w:val="28"/>
          <w:lang w:val="en-US"/>
        </w:rPr>
      </w:pPr>
      <w:r w:rsidRPr="00B308A9">
        <w:rPr>
          <w:sz w:val="28"/>
          <w:szCs w:val="28"/>
          <w:lang w:val="en-US"/>
        </w:rPr>
        <w:t>Systems Analytics for Energy Systems</w:t>
      </w:r>
    </w:p>
    <w:p w14:paraId="32FBD5A9" w14:textId="77777777" w:rsidR="00FD52D7" w:rsidRPr="00B308A9" w:rsidRDefault="00FD52D7" w:rsidP="002F764C">
      <w:pPr>
        <w:rPr>
          <w:sz w:val="28"/>
          <w:szCs w:val="28"/>
          <w:lang w:val="en-US"/>
        </w:rPr>
      </w:pPr>
    </w:p>
    <w:p w14:paraId="024081BA" w14:textId="77777777" w:rsidR="00FD52D7" w:rsidRPr="00B308A9" w:rsidRDefault="00FD52D7">
      <w:pPr>
        <w:rPr>
          <w:sz w:val="28"/>
          <w:szCs w:val="28"/>
          <w:lang w:val="en-US"/>
        </w:rPr>
      </w:pPr>
      <w:r w:rsidRPr="00B308A9">
        <w:rPr>
          <w:sz w:val="28"/>
          <w:szCs w:val="28"/>
          <w:lang w:val="en-US"/>
        </w:rPr>
        <w:br w:type="page"/>
      </w:r>
    </w:p>
    <w:p w14:paraId="7FBD5B10" w14:textId="77777777" w:rsidR="00FD52D7" w:rsidRDefault="00FD52D7" w:rsidP="00FD52D7">
      <w:pPr>
        <w:pStyle w:val="Ttulo1"/>
      </w:pPr>
      <w:r w:rsidRPr="00FD52D7">
        <w:lastRenderedPageBreak/>
        <w:t>1.</w:t>
      </w:r>
      <w:r w:rsidR="002F1761">
        <w:t xml:space="preserve"> </w:t>
      </w:r>
      <w:r w:rsidRPr="00FD52D7">
        <w:t>Identificación del curso</w:t>
      </w:r>
    </w:p>
    <w:tbl>
      <w:tblPr>
        <w:tblStyle w:val="Tablanormal1"/>
        <w:tblW w:w="0" w:type="dxa"/>
        <w:tblLook w:val="04A0" w:firstRow="1" w:lastRow="0" w:firstColumn="1" w:lastColumn="0" w:noHBand="0" w:noVBand="1"/>
      </w:tblPr>
      <w:tblGrid>
        <w:gridCol w:w="3525"/>
        <w:gridCol w:w="6255"/>
      </w:tblGrid>
      <w:tr w:rsidR="00FD52D7" w:rsidRPr="00031C70" w14:paraId="264B6B3B" w14:textId="77777777" w:rsidTr="001A4ED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25" w:type="dxa"/>
            <w:hideMark/>
          </w:tcPr>
          <w:p w14:paraId="1E5B723F"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Facultad o departamento </w:t>
            </w:r>
          </w:p>
        </w:tc>
        <w:tc>
          <w:tcPr>
            <w:tcW w:w="6255" w:type="dxa"/>
            <w:vAlign w:val="center"/>
            <w:hideMark/>
          </w:tcPr>
          <w:p w14:paraId="353AA7FD" w14:textId="77777777" w:rsidR="00FD52D7" w:rsidRPr="00031C70" w:rsidRDefault="00FD52D7" w:rsidP="001A4EDA">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01382D"/>
                <w:kern w:val="0"/>
                <w:sz w:val="18"/>
                <w:szCs w:val="18"/>
                <w:lang w:eastAsia="es-CO"/>
                <w14:ligatures w14:val="none"/>
              </w:rPr>
            </w:pPr>
            <w:r w:rsidRPr="00031C70">
              <w:rPr>
                <w:rFonts w:ascii="Arial Narrow" w:eastAsia="Times New Roman" w:hAnsi="Arial Narrow" w:cs="Segoe UI"/>
                <w:b w:val="0"/>
                <w:bCs w:val="0"/>
                <w:color w:val="01382D"/>
                <w:kern w:val="0"/>
                <w:sz w:val="24"/>
                <w:szCs w:val="24"/>
                <w:lang w:eastAsia="es-CO"/>
                <w14:ligatures w14:val="none"/>
              </w:rPr>
              <w:t>Facultad de Ingeniería</w:t>
            </w:r>
          </w:p>
        </w:tc>
      </w:tr>
      <w:tr w:rsidR="00FD52D7" w:rsidRPr="00031C70" w14:paraId="3169ABD2" w14:textId="77777777" w:rsidTr="001A4E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25" w:type="dxa"/>
            <w:hideMark/>
          </w:tcPr>
          <w:p w14:paraId="365D7380"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Programa </w:t>
            </w:r>
          </w:p>
        </w:tc>
        <w:tc>
          <w:tcPr>
            <w:tcW w:w="6255" w:type="dxa"/>
            <w:vAlign w:val="center"/>
            <w:hideMark/>
          </w:tcPr>
          <w:p w14:paraId="3A24D0C3"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Maestría en Innovación de Sistemas Energéticos</w:t>
            </w:r>
          </w:p>
        </w:tc>
      </w:tr>
      <w:tr w:rsidR="00FD52D7" w:rsidRPr="00031C70" w14:paraId="241D91BD" w14:textId="77777777" w:rsidTr="001A4EDA">
        <w:trPr>
          <w:trHeight w:val="300"/>
        </w:trPr>
        <w:tc>
          <w:tcPr>
            <w:cnfStyle w:val="001000000000" w:firstRow="0" w:lastRow="0" w:firstColumn="1" w:lastColumn="0" w:oddVBand="0" w:evenVBand="0" w:oddHBand="0" w:evenHBand="0" w:firstRowFirstColumn="0" w:firstRowLastColumn="0" w:lastRowFirstColumn="0" w:lastRowLastColumn="0"/>
            <w:tcW w:w="3525" w:type="dxa"/>
            <w:hideMark/>
          </w:tcPr>
          <w:p w14:paraId="3DF16F1B"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Año y semestre </w:t>
            </w:r>
          </w:p>
        </w:tc>
        <w:tc>
          <w:tcPr>
            <w:tcW w:w="6255" w:type="dxa"/>
            <w:vAlign w:val="center"/>
            <w:hideMark/>
          </w:tcPr>
          <w:p w14:paraId="72403426" w14:textId="2470372A"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i/>
                <w:iCs/>
                <w:color w:val="01382D"/>
                <w:kern w:val="0"/>
                <w:sz w:val="24"/>
                <w:szCs w:val="24"/>
                <w:lang w:eastAsia="es-CO"/>
                <w14:ligatures w14:val="none"/>
              </w:rPr>
              <w:t>2026-</w:t>
            </w:r>
            <w:r w:rsidR="00DD352E">
              <w:rPr>
                <w:rFonts w:ascii="Arial Narrow" w:eastAsia="Times New Roman" w:hAnsi="Arial Narrow" w:cs="Segoe UI"/>
                <w:i/>
                <w:iCs/>
                <w:color w:val="01382D"/>
                <w:kern w:val="0"/>
                <w:sz w:val="24"/>
                <w:szCs w:val="24"/>
                <w:lang w:eastAsia="es-CO"/>
                <w14:ligatures w14:val="none"/>
              </w:rPr>
              <w:t>20</w:t>
            </w:r>
          </w:p>
        </w:tc>
      </w:tr>
      <w:tr w:rsidR="00FD52D7" w:rsidRPr="00DD352E" w14:paraId="0427B1DE" w14:textId="77777777" w:rsidTr="001A4E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25" w:type="dxa"/>
            <w:hideMark/>
          </w:tcPr>
          <w:p w14:paraId="1D6CC3EC"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Nombre del curso </w:t>
            </w:r>
          </w:p>
        </w:tc>
        <w:tc>
          <w:tcPr>
            <w:tcW w:w="6255" w:type="dxa"/>
            <w:vAlign w:val="center"/>
            <w:hideMark/>
          </w:tcPr>
          <w:p w14:paraId="70A4FA6A" w14:textId="7C88F7A5" w:rsidR="00FD52D7" w:rsidRPr="00DD352E"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val="en-US" w:eastAsia="es-CO"/>
                <w14:ligatures w14:val="none"/>
              </w:rPr>
            </w:pPr>
            <w:r w:rsidRPr="00DD352E">
              <w:rPr>
                <w:rFonts w:ascii="Arial Narrow" w:eastAsia="Times New Roman" w:hAnsi="Arial Narrow" w:cs="Segoe UI"/>
                <w:i/>
                <w:iCs/>
                <w:color w:val="01382D"/>
                <w:kern w:val="0"/>
                <w:sz w:val="24"/>
                <w:szCs w:val="24"/>
                <w:lang w:val="en-US" w:eastAsia="es-CO"/>
                <w14:ligatures w14:val="none"/>
              </w:rPr>
              <w:t xml:space="preserve">Systems Analytics for Energy Systems </w:t>
            </w:r>
          </w:p>
        </w:tc>
      </w:tr>
      <w:tr w:rsidR="00FD52D7" w:rsidRPr="00031C70" w14:paraId="5B167557" w14:textId="77777777" w:rsidTr="001A4EDA">
        <w:trPr>
          <w:trHeight w:val="300"/>
        </w:trPr>
        <w:tc>
          <w:tcPr>
            <w:cnfStyle w:val="001000000000" w:firstRow="0" w:lastRow="0" w:firstColumn="1" w:lastColumn="0" w:oddVBand="0" w:evenVBand="0" w:oddHBand="0" w:evenHBand="0" w:firstRowFirstColumn="0" w:firstRowLastColumn="0" w:lastRowFirstColumn="0" w:lastRowLastColumn="0"/>
            <w:tcW w:w="3525" w:type="dxa"/>
            <w:hideMark/>
          </w:tcPr>
          <w:p w14:paraId="01DF40C8"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Duración en semanas </w:t>
            </w:r>
          </w:p>
        </w:tc>
        <w:tc>
          <w:tcPr>
            <w:tcW w:w="6255" w:type="dxa"/>
            <w:vAlign w:val="center"/>
            <w:hideMark/>
          </w:tcPr>
          <w:p w14:paraId="6CC4F5CC"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i/>
                <w:iCs/>
                <w:color w:val="01382D"/>
                <w:kern w:val="0"/>
                <w:sz w:val="24"/>
                <w:szCs w:val="24"/>
                <w:lang w:eastAsia="es-CO"/>
                <w14:ligatures w14:val="none"/>
              </w:rPr>
              <w:t>8 semanas</w:t>
            </w:r>
          </w:p>
        </w:tc>
      </w:tr>
      <w:tr w:rsidR="00FD52D7" w:rsidRPr="00031C70" w14:paraId="02D8477E" w14:textId="77777777" w:rsidTr="001A4E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25" w:type="dxa"/>
            <w:hideMark/>
          </w:tcPr>
          <w:p w14:paraId="07A08079"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Sesiones sincrónicas </w:t>
            </w:r>
          </w:p>
        </w:tc>
        <w:tc>
          <w:tcPr>
            <w:tcW w:w="6255" w:type="dxa"/>
            <w:vAlign w:val="center"/>
            <w:hideMark/>
          </w:tcPr>
          <w:p w14:paraId="336D4AB8" w14:textId="4764AC24"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i/>
                <w:iCs/>
                <w:color w:val="01382D"/>
                <w:kern w:val="0"/>
                <w:sz w:val="24"/>
                <w:szCs w:val="24"/>
                <w:lang w:eastAsia="es-CO"/>
                <w14:ligatures w14:val="none"/>
              </w:rPr>
              <w:t>Sesión virtual semanal de 2 horas; Semana 8 de 3 horas. Horario y sala de Zoom</w:t>
            </w:r>
          </w:p>
        </w:tc>
      </w:tr>
      <w:tr w:rsidR="00FD52D7" w:rsidRPr="00031C70" w14:paraId="337E808E" w14:textId="77777777" w:rsidTr="001A4EDA">
        <w:trPr>
          <w:trHeight w:val="300"/>
        </w:trPr>
        <w:tc>
          <w:tcPr>
            <w:cnfStyle w:val="001000000000" w:firstRow="0" w:lastRow="0" w:firstColumn="1" w:lastColumn="0" w:oddVBand="0" w:evenVBand="0" w:oddHBand="0" w:evenHBand="0" w:firstRowFirstColumn="0" w:firstRowLastColumn="0" w:lastRowFirstColumn="0" w:lastRowLastColumn="0"/>
            <w:tcW w:w="3525" w:type="dxa"/>
            <w:hideMark/>
          </w:tcPr>
          <w:p w14:paraId="3E3B6DA9"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Número de créditos y horas de dedicación esperada del estudiante </w:t>
            </w:r>
          </w:p>
        </w:tc>
        <w:tc>
          <w:tcPr>
            <w:tcW w:w="6255" w:type="dxa"/>
            <w:vAlign w:val="center"/>
            <w:hideMark/>
          </w:tcPr>
          <w:p w14:paraId="08EAD1C7"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i/>
                <w:iCs/>
                <w:color w:val="01382D"/>
                <w:kern w:val="0"/>
                <w:sz w:val="24"/>
                <w:szCs w:val="24"/>
                <w:lang w:eastAsia="es-CO"/>
                <w14:ligatures w14:val="none"/>
              </w:rPr>
              <w:t>2 créditos, 12 horas semanales de dedicación del estudiante (10 h autónomas y 2 h sincrónicas)</w:t>
            </w:r>
          </w:p>
        </w:tc>
      </w:tr>
      <w:tr w:rsidR="00FD52D7" w:rsidRPr="00031C70" w14:paraId="548806C2" w14:textId="77777777" w:rsidTr="001A4E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25" w:type="dxa"/>
            <w:hideMark/>
          </w:tcPr>
          <w:p w14:paraId="1716A972"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Información del/la profesor/a </w:t>
            </w:r>
          </w:p>
        </w:tc>
        <w:tc>
          <w:tcPr>
            <w:tcW w:w="6255" w:type="dxa"/>
            <w:vAlign w:val="center"/>
            <w:hideMark/>
          </w:tcPr>
          <w:p w14:paraId="5B6F366E" w14:textId="6096314E"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i/>
                <w:iCs/>
                <w:color w:val="01382D"/>
                <w:kern w:val="0"/>
                <w:sz w:val="24"/>
                <w:szCs w:val="24"/>
                <w:lang w:eastAsia="es-CO"/>
                <w14:ligatures w14:val="none"/>
              </w:rPr>
              <w:t xml:space="preserve">Nombre: </w:t>
            </w:r>
            <w:r w:rsidR="00B308A9">
              <w:rPr>
                <w:rFonts w:ascii="Arial Narrow" w:eastAsia="Times New Roman" w:hAnsi="Arial Narrow" w:cs="Segoe UI"/>
                <w:i/>
                <w:iCs/>
                <w:color w:val="01382D"/>
                <w:kern w:val="0"/>
                <w:sz w:val="24"/>
                <w:szCs w:val="24"/>
                <w:lang w:eastAsia="es-CO"/>
                <w14:ligatures w14:val="none"/>
              </w:rPr>
              <w:t>Camilo Gómez; Alejandra Tabares</w:t>
            </w:r>
            <w:r w:rsidRPr="00031C70">
              <w:rPr>
                <w:rFonts w:ascii="Arial Narrow" w:eastAsia="Times New Roman" w:hAnsi="Arial Narrow" w:cs="Segoe UI"/>
                <w:i/>
                <w:iCs/>
                <w:color w:val="01382D"/>
                <w:kern w:val="0"/>
                <w:sz w:val="24"/>
                <w:szCs w:val="24"/>
                <w:lang w:eastAsia="es-CO"/>
                <w14:ligatures w14:val="none"/>
              </w:rPr>
              <w:br/>
              <w:t xml:space="preserve">Correo electrónico institucional: </w:t>
            </w:r>
            <w:hyperlink r:id="rId11" w:history="1">
              <w:r w:rsidR="00B308A9" w:rsidRPr="00584CF0">
                <w:rPr>
                  <w:rStyle w:val="Hipervnculo"/>
                  <w:rFonts w:ascii="Arial Narrow" w:eastAsia="Times New Roman" w:hAnsi="Arial Narrow" w:cs="Segoe UI"/>
                  <w:i/>
                  <w:iCs/>
                  <w:kern w:val="0"/>
                  <w:sz w:val="24"/>
                  <w:szCs w:val="24"/>
                  <w:lang w:eastAsia="es-CO"/>
                  <w14:ligatures w14:val="none"/>
                </w:rPr>
                <w:t>ch.gomez@uniandes.edu.co</w:t>
              </w:r>
            </w:hyperlink>
            <w:r w:rsidR="00B308A9">
              <w:rPr>
                <w:rFonts w:ascii="Arial Narrow" w:eastAsia="Times New Roman" w:hAnsi="Arial Narrow" w:cs="Segoe UI"/>
                <w:i/>
                <w:iCs/>
                <w:color w:val="01382D"/>
                <w:kern w:val="0"/>
                <w:sz w:val="24"/>
                <w:szCs w:val="24"/>
                <w:lang w:eastAsia="es-CO"/>
                <w14:ligatures w14:val="none"/>
              </w:rPr>
              <w:t xml:space="preserve">; </w:t>
            </w:r>
            <w:hyperlink r:id="rId12" w:history="1">
              <w:r w:rsidR="00B308A9" w:rsidRPr="00584CF0">
                <w:rPr>
                  <w:rStyle w:val="Hipervnculo"/>
                  <w:rFonts w:ascii="Arial Narrow" w:eastAsia="Times New Roman" w:hAnsi="Arial Narrow" w:cs="Segoe UI"/>
                  <w:i/>
                  <w:iCs/>
                  <w:kern w:val="0"/>
                  <w:sz w:val="24"/>
                  <w:szCs w:val="24"/>
                  <w:lang w:eastAsia="es-CO"/>
                  <w14:ligatures w14:val="none"/>
                </w:rPr>
                <w:t>a.tabaresp@uniandes.edu.co</w:t>
              </w:r>
            </w:hyperlink>
            <w:r w:rsidR="00B308A9">
              <w:rPr>
                <w:rFonts w:ascii="Arial Narrow" w:eastAsia="Times New Roman" w:hAnsi="Arial Narrow" w:cs="Segoe UI"/>
                <w:i/>
                <w:iCs/>
                <w:color w:val="01382D"/>
                <w:kern w:val="0"/>
                <w:sz w:val="24"/>
                <w:szCs w:val="24"/>
                <w:lang w:eastAsia="es-CO"/>
                <w14:ligatures w14:val="none"/>
              </w:rPr>
              <w:t xml:space="preserve"> </w:t>
            </w:r>
            <w:r w:rsidRPr="00031C70">
              <w:rPr>
                <w:rFonts w:ascii="Arial Narrow" w:eastAsia="Times New Roman" w:hAnsi="Arial Narrow" w:cs="Segoe UI"/>
                <w:i/>
                <w:iCs/>
                <w:color w:val="01382D"/>
                <w:kern w:val="0"/>
                <w:sz w:val="24"/>
                <w:szCs w:val="24"/>
                <w:lang w:eastAsia="es-CO"/>
                <w14:ligatures w14:val="none"/>
              </w:rPr>
              <w:br/>
              <w:t xml:space="preserve">Horario de atención: </w:t>
            </w:r>
            <w:r w:rsidRPr="00B308A9">
              <w:rPr>
                <w:rFonts w:ascii="Arial Narrow" w:eastAsia="Times New Roman" w:hAnsi="Arial Narrow" w:cs="Segoe UI"/>
                <w:i/>
                <w:iCs/>
                <w:color w:val="01382D"/>
                <w:kern w:val="0"/>
                <w:sz w:val="24"/>
                <w:szCs w:val="24"/>
                <w:highlight w:val="yellow"/>
                <w:lang w:eastAsia="es-CO"/>
                <w14:ligatures w14:val="none"/>
              </w:rPr>
              <w:t>[Pendiente de confirmación]</w:t>
            </w:r>
          </w:p>
        </w:tc>
      </w:tr>
      <w:tr w:rsidR="00FD52D7" w:rsidRPr="00031C70" w14:paraId="03AF69E9" w14:textId="77777777" w:rsidTr="001A4EDA">
        <w:trPr>
          <w:trHeight w:val="300"/>
        </w:trPr>
        <w:tc>
          <w:tcPr>
            <w:cnfStyle w:val="001000000000" w:firstRow="0" w:lastRow="0" w:firstColumn="1" w:lastColumn="0" w:oddVBand="0" w:evenVBand="0" w:oddHBand="0" w:evenHBand="0" w:firstRowFirstColumn="0" w:firstRowLastColumn="0" w:lastRowFirstColumn="0" w:lastRowLastColumn="0"/>
            <w:tcW w:w="3525" w:type="dxa"/>
            <w:hideMark/>
          </w:tcPr>
          <w:p w14:paraId="0178106E"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color w:val="01382D"/>
                <w:kern w:val="0"/>
                <w:sz w:val="24"/>
                <w:szCs w:val="24"/>
                <w:lang w:eastAsia="es-CO"/>
                <w14:ligatures w14:val="none"/>
              </w:rPr>
              <w:t>Información tutor(a) </w:t>
            </w:r>
          </w:p>
        </w:tc>
        <w:tc>
          <w:tcPr>
            <w:tcW w:w="6255" w:type="dxa"/>
            <w:vAlign w:val="center"/>
            <w:hideMark/>
          </w:tcPr>
          <w:p w14:paraId="761AF82A"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ascii="Arial Narrow" w:eastAsia="Times New Roman" w:hAnsi="Arial Narrow" w:cs="Segoe UI"/>
                <w:i/>
                <w:iCs/>
                <w:color w:val="01382D"/>
                <w:kern w:val="0"/>
                <w:sz w:val="24"/>
                <w:szCs w:val="24"/>
                <w:lang w:eastAsia="es-CO"/>
                <w14:ligatures w14:val="none"/>
              </w:rPr>
              <w:t xml:space="preserve">Nombre: </w:t>
            </w:r>
            <w:r w:rsidRPr="00B308A9">
              <w:rPr>
                <w:rFonts w:ascii="Arial Narrow" w:eastAsia="Times New Roman" w:hAnsi="Arial Narrow" w:cs="Segoe UI"/>
                <w:i/>
                <w:iCs/>
                <w:color w:val="01382D"/>
                <w:kern w:val="0"/>
                <w:sz w:val="24"/>
                <w:szCs w:val="24"/>
                <w:highlight w:val="yellow"/>
                <w:lang w:eastAsia="es-CO"/>
                <w14:ligatures w14:val="none"/>
              </w:rPr>
              <w:t>[Pendiente de confirmación]</w:t>
            </w:r>
            <w:r w:rsidRPr="00031C70">
              <w:rPr>
                <w:rFonts w:ascii="Arial Narrow" w:eastAsia="Times New Roman" w:hAnsi="Arial Narrow" w:cs="Segoe UI"/>
                <w:i/>
                <w:iCs/>
                <w:color w:val="01382D"/>
                <w:kern w:val="0"/>
                <w:sz w:val="24"/>
                <w:szCs w:val="24"/>
                <w:lang w:eastAsia="es-CO"/>
                <w14:ligatures w14:val="none"/>
              </w:rPr>
              <w:br/>
              <w:t>Correo electrónico institucional: [</w:t>
            </w:r>
            <w:r w:rsidRPr="00B308A9">
              <w:rPr>
                <w:rFonts w:ascii="Arial Narrow" w:eastAsia="Times New Roman" w:hAnsi="Arial Narrow" w:cs="Segoe UI"/>
                <w:i/>
                <w:iCs/>
                <w:color w:val="01382D"/>
                <w:kern w:val="0"/>
                <w:sz w:val="24"/>
                <w:szCs w:val="24"/>
                <w:highlight w:val="yellow"/>
                <w:lang w:eastAsia="es-CO"/>
                <w14:ligatures w14:val="none"/>
              </w:rPr>
              <w:t>Pendiente de confirmación]</w:t>
            </w:r>
            <w:r w:rsidRPr="00031C70">
              <w:rPr>
                <w:rFonts w:ascii="Arial Narrow" w:eastAsia="Times New Roman" w:hAnsi="Arial Narrow" w:cs="Segoe UI"/>
                <w:i/>
                <w:iCs/>
                <w:color w:val="01382D"/>
                <w:kern w:val="0"/>
                <w:sz w:val="24"/>
                <w:szCs w:val="24"/>
                <w:lang w:eastAsia="es-CO"/>
                <w14:ligatures w14:val="none"/>
              </w:rPr>
              <w:br/>
              <w:t xml:space="preserve">Horario de atención: </w:t>
            </w:r>
            <w:r w:rsidRPr="00B308A9">
              <w:rPr>
                <w:rFonts w:ascii="Arial Narrow" w:eastAsia="Times New Roman" w:hAnsi="Arial Narrow" w:cs="Segoe UI"/>
                <w:i/>
                <w:iCs/>
                <w:color w:val="01382D"/>
                <w:kern w:val="0"/>
                <w:sz w:val="24"/>
                <w:szCs w:val="24"/>
                <w:highlight w:val="yellow"/>
                <w:lang w:eastAsia="es-CO"/>
                <w14:ligatures w14:val="none"/>
              </w:rPr>
              <w:t>[Pendiente de confirmación]</w:t>
            </w:r>
          </w:p>
        </w:tc>
      </w:tr>
    </w:tbl>
    <w:p w14:paraId="7B7EB807" w14:textId="77777777" w:rsidR="00903562" w:rsidRDefault="00903562" w:rsidP="002F764C"/>
    <w:p w14:paraId="4766E113" w14:textId="77777777" w:rsidR="008E7BC0" w:rsidRDefault="00FD52D7" w:rsidP="00FD52D7">
      <w:pPr>
        <w:pStyle w:val="Ttulo1"/>
      </w:pPr>
      <w:r w:rsidRPr="00FD52D7">
        <w:t>2.</w:t>
      </w:r>
      <w:r w:rsidR="002F1761">
        <w:t xml:space="preserve"> </w:t>
      </w:r>
      <w:r w:rsidRPr="00FD52D7">
        <w:t>Aspectos generales del curso</w:t>
      </w:r>
    </w:p>
    <w:p w14:paraId="50D56B8B" w14:textId="77777777" w:rsidR="00FD52D7" w:rsidRPr="00FD52D7" w:rsidRDefault="00FD52D7" w:rsidP="00FD52D7"/>
    <w:p w14:paraId="268BA4F0" w14:textId="77777777" w:rsidR="00FD52D7" w:rsidRPr="00031C70" w:rsidRDefault="00FD52D7" w:rsidP="00FD52D7">
      <w:pPr>
        <w:pStyle w:val="Prrafodelista"/>
        <w:numPr>
          <w:ilvl w:val="0"/>
          <w:numId w:val="8"/>
        </w:numPr>
        <w:spacing w:after="0" w:line="240" w:lineRule="auto"/>
        <w:textAlignment w:val="baseline"/>
        <w:rPr>
          <w:rFonts w:eastAsia="Times New Roman" w:cs="Segoe UI"/>
          <w:b/>
          <w:bCs/>
          <w:color w:val="01382D"/>
          <w:kern w:val="0"/>
          <w:sz w:val="28"/>
          <w:szCs w:val="28"/>
          <w:lang w:eastAsia="es-CO"/>
          <w14:ligatures w14:val="none"/>
        </w:rPr>
      </w:pPr>
      <w:r w:rsidRPr="00031C70">
        <w:rPr>
          <w:rFonts w:eastAsia="Times New Roman" w:cs="Segoe UI"/>
          <w:b/>
          <w:bCs/>
          <w:color w:val="01382D"/>
          <w:kern w:val="0"/>
          <w:sz w:val="28"/>
          <w:szCs w:val="28"/>
          <w:lang w:eastAsia="es-CO"/>
          <w14:ligatures w14:val="none"/>
        </w:rPr>
        <w:t>Descripción </w:t>
      </w:r>
    </w:p>
    <w:p w14:paraId="5643652D" w14:textId="77777777" w:rsidR="00FD52D7" w:rsidRPr="00031C70" w:rsidRDefault="00FD52D7" w:rsidP="00B308A9">
      <w:pPr>
        <w:spacing w:after="0" w:line="240" w:lineRule="auto"/>
        <w:jc w:val="both"/>
        <w:textAlignment w:val="baseline"/>
        <w:rPr>
          <w:rFonts w:ascii="Segoe UI" w:eastAsia="Times New Roman" w:hAnsi="Segoe UI" w:cs="Segoe UI"/>
          <w:color w:val="01382D"/>
          <w:kern w:val="0"/>
          <w:sz w:val="18"/>
          <w:szCs w:val="18"/>
          <w:lang w:eastAsia="es-CO"/>
          <w14:ligatures w14:val="none"/>
        </w:rPr>
      </w:pPr>
      <w:r w:rsidRPr="00031C70">
        <w:rPr>
          <w:rFonts w:eastAsia="Times New Roman" w:cs="Segoe UI"/>
          <w:color w:val="01382D"/>
          <w:kern w:val="0"/>
          <w:lang w:eastAsia="es-CO"/>
          <w14:ligatures w14:val="none"/>
        </w:rPr>
        <w:t>Systems Analytics for Energy Systems desarrolla herramientas para analizar proyectos y sistemas energéticos como sistemas complejos. El curso complementa la evaluación técnico-económica convencional al examinar las interdependencias entre infraestructura, mercados, regulación, actores, comunidades, ambiente, clima, tecnología y gobernanza. A partir de casos colombianos, el estudiantado formula explicaciones y recomendaciones que reconocen retroalimentaciones, incertidumbre y condiciones de implementación.</w:t>
      </w:r>
    </w:p>
    <w:p w14:paraId="728D4EF4" w14:textId="77777777" w:rsidR="00FD52D7" w:rsidRPr="00031C70" w:rsidRDefault="00FD52D7" w:rsidP="00FD52D7">
      <w:pPr>
        <w:spacing w:after="0" w:line="240" w:lineRule="auto"/>
        <w:textAlignment w:val="baseline"/>
        <w:rPr>
          <w:rFonts w:ascii="Segoe UI" w:eastAsia="Times New Roman" w:hAnsi="Segoe UI" w:cs="Segoe UI"/>
          <w:color w:val="01382D"/>
          <w:kern w:val="0"/>
          <w:sz w:val="18"/>
          <w:szCs w:val="18"/>
          <w:lang w:eastAsia="es-CO"/>
          <w14:ligatures w14:val="none"/>
        </w:rPr>
      </w:pPr>
      <w:r w:rsidRPr="00031C70">
        <w:rPr>
          <w:rFonts w:eastAsia="Times New Roman" w:cs="Segoe UI"/>
          <w:color w:val="01382D"/>
          <w:kern w:val="0"/>
          <w:lang w:eastAsia="es-CO"/>
          <w14:ligatures w14:val="none"/>
        </w:rPr>
        <w:t> </w:t>
      </w:r>
    </w:p>
    <w:p w14:paraId="321ADE27" w14:textId="77777777" w:rsidR="00FD52D7" w:rsidRPr="00031C70" w:rsidRDefault="00FD52D7" w:rsidP="00FD52D7">
      <w:pPr>
        <w:pStyle w:val="Prrafodelista"/>
        <w:numPr>
          <w:ilvl w:val="0"/>
          <w:numId w:val="7"/>
        </w:numPr>
        <w:spacing w:after="0" w:line="240" w:lineRule="auto"/>
        <w:textAlignment w:val="baseline"/>
        <w:rPr>
          <w:rFonts w:eastAsia="Times New Roman" w:cs="Segoe UI"/>
          <w:b/>
          <w:bCs/>
          <w:color w:val="01382D"/>
          <w:kern w:val="0"/>
          <w:sz w:val="28"/>
          <w:szCs w:val="28"/>
          <w:lang w:eastAsia="es-CO"/>
          <w14:ligatures w14:val="none"/>
        </w:rPr>
      </w:pPr>
      <w:r w:rsidRPr="00031C70">
        <w:rPr>
          <w:rFonts w:eastAsia="Times New Roman" w:cs="Segoe UI"/>
          <w:b/>
          <w:bCs/>
          <w:color w:val="01382D"/>
          <w:kern w:val="0"/>
          <w:sz w:val="28"/>
          <w:szCs w:val="28"/>
          <w:lang w:eastAsia="es-CO"/>
          <w14:ligatures w14:val="none"/>
        </w:rPr>
        <w:t>Resultados de aprendizaje del curso y alineación con el programa  </w:t>
      </w:r>
    </w:p>
    <w:p w14:paraId="4BC94D38" w14:textId="77777777" w:rsidR="00FD52D7" w:rsidRDefault="00FD52D7" w:rsidP="00B308A9">
      <w:pPr>
        <w:spacing w:after="0" w:line="240" w:lineRule="auto"/>
        <w:jc w:val="both"/>
        <w:textAlignment w:val="baseline"/>
        <w:rPr>
          <w:rFonts w:eastAsia="Times New Roman" w:cs="Segoe UI"/>
          <w:color w:val="01382D"/>
          <w:kern w:val="0"/>
          <w:lang w:eastAsia="es-CO"/>
          <w14:ligatures w14:val="none"/>
        </w:rPr>
      </w:pPr>
      <w:r w:rsidRPr="00031C70">
        <w:rPr>
          <w:rFonts w:eastAsia="Times New Roman" w:cs="Segoe UI"/>
          <w:color w:val="01382D"/>
          <w:kern w:val="0"/>
          <w:lang w:eastAsia="es-CO"/>
          <w14:ligatures w14:val="none"/>
        </w:rPr>
        <w:t>En el siguiente listado encuentra los resultados de aprendizaje del curso y posteriormente en la tabla podrá ver su alineación con los resultados de aprendizaje del programa y las competencias a las que el curso aporta. </w:t>
      </w:r>
    </w:p>
    <w:p w14:paraId="04A42906" w14:textId="77777777" w:rsidR="00FD52D7" w:rsidRPr="00031C70" w:rsidRDefault="00FD52D7" w:rsidP="00FD52D7">
      <w:pPr>
        <w:spacing w:after="0" w:line="240" w:lineRule="auto"/>
        <w:textAlignment w:val="baseline"/>
        <w:rPr>
          <w:rFonts w:ascii="Segoe UI" w:eastAsia="Times New Roman" w:hAnsi="Segoe UI" w:cs="Segoe UI"/>
          <w:color w:val="01382D"/>
          <w:kern w:val="0"/>
          <w:sz w:val="18"/>
          <w:szCs w:val="18"/>
          <w:lang w:eastAsia="es-CO"/>
          <w14:ligatures w14:val="none"/>
        </w:rPr>
      </w:pPr>
    </w:p>
    <w:p w14:paraId="28C69031" w14:textId="77777777" w:rsidR="00FD52D7" w:rsidRPr="00031C70" w:rsidRDefault="00FD52D7" w:rsidP="00FD52D7">
      <w:pPr>
        <w:pStyle w:val="Prrafodelista"/>
        <w:numPr>
          <w:ilvl w:val="0"/>
          <w:numId w:val="9"/>
        </w:numPr>
        <w:spacing w:after="0" w:line="240" w:lineRule="auto"/>
        <w:textAlignment w:val="baseline"/>
        <w:rPr>
          <w:rFonts w:ascii="Segoe UI" w:eastAsia="Times New Roman" w:hAnsi="Segoe UI" w:cs="Segoe UI"/>
          <w:color w:val="01382D"/>
          <w:kern w:val="0"/>
          <w:sz w:val="18"/>
          <w:szCs w:val="18"/>
          <w:lang w:val="es-ES" w:eastAsia="es-CO"/>
          <w14:ligatures w14:val="none"/>
        </w:rPr>
      </w:pPr>
      <w:r w:rsidRPr="00031C70">
        <w:rPr>
          <w:rFonts w:eastAsia="Times New Roman" w:cs="Segoe UI"/>
          <w:color w:val="01372C"/>
          <w:kern w:val="0"/>
          <w:sz w:val="20"/>
          <w:szCs w:val="20"/>
          <w:lang w:eastAsia="es-CO"/>
          <w14:ligatures w14:val="none"/>
        </w:rPr>
        <w:t>RAC 1. Analizar proyectos y sistemas energéticos como sistemas complejos, identificando interdependencias, retroalimentaciones, no linealidades, retardos, adaptación, memoria, eventos extremos y vulnerabilidades relevantes para la toma de decisiones.</w:t>
      </w:r>
    </w:p>
    <w:p w14:paraId="64966670" w14:textId="77777777" w:rsidR="00FD52D7" w:rsidRPr="00031C70" w:rsidRDefault="00FD52D7" w:rsidP="00FD52D7">
      <w:pPr>
        <w:pStyle w:val="Prrafodelista"/>
        <w:numPr>
          <w:ilvl w:val="0"/>
          <w:numId w:val="9"/>
        </w:numPr>
        <w:spacing w:after="0" w:line="240" w:lineRule="auto"/>
        <w:textAlignment w:val="baseline"/>
        <w:rPr>
          <w:rFonts w:ascii="Segoe UI" w:eastAsia="Times New Roman" w:hAnsi="Segoe UI" w:cs="Segoe UI"/>
          <w:color w:val="01382D"/>
          <w:kern w:val="0"/>
          <w:sz w:val="18"/>
          <w:szCs w:val="18"/>
          <w:lang w:val="es-ES" w:eastAsia="es-CO"/>
          <w14:ligatures w14:val="none"/>
        </w:rPr>
      </w:pPr>
      <w:r w:rsidRPr="00031C70">
        <w:rPr>
          <w:rFonts w:eastAsia="Times New Roman" w:cs="Segoe UI"/>
          <w:color w:val="01382D"/>
          <w:kern w:val="0"/>
          <w:sz w:val="20"/>
          <w:szCs w:val="20"/>
          <w:lang w:eastAsia="es-CO"/>
          <w14:ligatures w14:val="none"/>
        </w:rPr>
        <w:t>RAC 2. Aplicar análisis de redes a la infraestructura eléctrica y a las redes de actores para caracterizar topologías, centralidades, comunidades, mecanismos de difusión y riesgos de cascada en problemas energéticos.</w:t>
      </w:r>
    </w:p>
    <w:p w14:paraId="78E4D131" w14:textId="77777777" w:rsidR="00FD52D7" w:rsidRPr="00031C70" w:rsidRDefault="00FD52D7" w:rsidP="00FD52D7">
      <w:pPr>
        <w:pStyle w:val="Prrafodelista"/>
        <w:numPr>
          <w:ilvl w:val="0"/>
          <w:numId w:val="9"/>
        </w:numPr>
        <w:spacing w:after="0" w:line="240" w:lineRule="auto"/>
        <w:textAlignment w:val="baseline"/>
        <w:rPr>
          <w:rFonts w:ascii="Segoe UI" w:eastAsia="Times New Roman" w:hAnsi="Segoe UI" w:cs="Segoe UI"/>
          <w:color w:val="01382D"/>
          <w:kern w:val="0"/>
          <w:sz w:val="18"/>
          <w:szCs w:val="18"/>
          <w:lang w:val="es-ES" w:eastAsia="es-CO"/>
          <w14:ligatures w14:val="none"/>
        </w:rPr>
      </w:pPr>
      <w:r w:rsidRPr="00031C70">
        <w:rPr>
          <w:rFonts w:eastAsia="Times New Roman" w:cs="Segoe UI"/>
          <w:color w:val="01382D"/>
          <w:kern w:val="0"/>
          <w:sz w:val="20"/>
          <w:szCs w:val="20"/>
          <w:lang w:eastAsia="es-CO"/>
          <w14:ligatures w14:val="none"/>
        </w:rPr>
        <w:lastRenderedPageBreak/>
        <w:t>RAC 3. Formular y analizar modelos de dinámica de sistemas mediante stocks, flujos, lazos de retroalimentación y retardos, incorporando datos, políticas, escenarios y sensibilidad para evaluar decisiones bajo incertidumbre.</w:t>
      </w:r>
    </w:p>
    <w:p w14:paraId="7D3A4453" w14:textId="77777777" w:rsidR="00FD52D7" w:rsidRPr="00031C70" w:rsidRDefault="00FD52D7" w:rsidP="00FD52D7">
      <w:pPr>
        <w:pStyle w:val="Prrafodelista"/>
        <w:numPr>
          <w:ilvl w:val="0"/>
          <w:numId w:val="9"/>
        </w:numPr>
        <w:spacing w:after="0" w:line="240" w:lineRule="auto"/>
        <w:textAlignment w:val="baseline"/>
        <w:rPr>
          <w:rFonts w:ascii="Segoe UI" w:eastAsia="Times New Roman" w:hAnsi="Segoe UI" w:cs="Segoe UI"/>
          <w:color w:val="01382D"/>
          <w:kern w:val="0"/>
          <w:sz w:val="18"/>
          <w:szCs w:val="18"/>
          <w:lang w:val="es-ES" w:eastAsia="es-CO"/>
          <w14:ligatures w14:val="none"/>
        </w:rPr>
      </w:pPr>
      <w:r w:rsidRPr="00031C70">
        <w:rPr>
          <w:rFonts w:eastAsia="Times New Roman" w:cs="Segoe UI"/>
          <w:color w:val="01382D"/>
          <w:kern w:val="0"/>
          <w:sz w:val="20"/>
          <w:szCs w:val="20"/>
          <w:lang w:eastAsia="es-CO"/>
          <w14:ligatures w14:val="none"/>
        </w:rPr>
        <w:t>RAC 4. Integrar dimensiones técnicas, económicas, sociales, ambientales, éticas y de gobernanza para formular y comunicar recomendaciones estratégicas accionables, trazables a evidencia y pertinentes para distintos tomadores de decisión.</w:t>
      </w:r>
    </w:p>
    <w:p w14:paraId="3F5C2A59" w14:textId="77777777" w:rsidR="00FD52D7" w:rsidRPr="00031C70" w:rsidRDefault="00FD52D7" w:rsidP="00FD52D7">
      <w:pPr>
        <w:spacing w:after="0" w:line="240" w:lineRule="auto"/>
        <w:textAlignment w:val="baseline"/>
        <w:rPr>
          <w:rFonts w:ascii="Segoe UI" w:eastAsia="Times New Roman" w:hAnsi="Segoe UI" w:cs="Segoe UI"/>
          <w:color w:val="01382D"/>
          <w:kern w:val="0"/>
          <w:sz w:val="18"/>
          <w:szCs w:val="18"/>
          <w:lang w:val="es-ES" w:eastAsia="es-CO"/>
          <w14:ligatures w14:val="none"/>
        </w:rPr>
      </w:pPr>
      <w:r w:rsidRPr="00031C70">
        <w:rPr>
          <w:rFonts w:eastAsia="Times New Roman" w:cs="Segoe UI"/>
          <w:color w:val="01382D"/>
          <w:kern w:val="0"/>
          <w:lang w:val="es-ES" w:eastAsia="es-CO"/>
          <w14:ligatures w14:val="none"/>
        </w:rPr>
        <w:t> </w:t>
      </w:r>
    </w:p>
    <w:p w14:paraId="4DD17E75" w14:textId="77777777" w:rsidR="00FD52D7" w:rsidRDefault="00FD52D7" w:rsidP="00FD52D7"/>
    <w:tbl>
      <w:tblPr>
        <w:tblStyle w:val="Tablaconcuadrcula4-nfasis1"/>
        <w:tblW w:w="10256" w:type="dxa"/>
        <w:tblLook w:val="04A0" w:firstRow="1" w:lastRow="0" w:firstColumn="1" w:lastColumn="0" w:noHBand="0" w:noVBand="1"/>
      </w:tblPr>
      <w:tblGrid>
        <w:gridCol w:w="482"/>
        <w:gridCol w:w="2931"/>
        <w:gridCol w:w="482"/>
        <w:gridCol w:w="2999"/>
        <w:gridCol w:w="482"/>
        <w:gridCol w:w="2880"/>
      </w:tblGrid>
      <w:tr w:rsidR="00FD52D7" w14:paraId="1D05BDC7" w14:textId="77777777" w:rsidTr="00FD52D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82" w:type="dxa"/>
          </w:tcPr>
          <w:p w14:paraId="78ED3E72" w14:textId="77777777" w:rsidR="00FD52D7" w:rsidRPr="008E7BC0" w:rsidRDefault="00FD52D7" w:rsidP="002F764C">
            <w:pPr>
              <w:rPr>
                <w:rStyle w:val="Fuerte"/>
                <w:b/>
                <w:bCs/>
              </w:rPr>
            </w:pPr>
          </w:p>
        </w:tc>
        <w:tc>
          <w:tcPr>
            <w:tcW w:w="2931" w:type="dxa"/>
          </w:tcPr>
          <w:p w14:paraId="4081837D" w14:textId="77777777" w:rsidR="00FD52D7" w:rsidRPr="00FD52D7" w:rsidRDefault="00FD52D7" w:rsidP="002F764C">
            <w:pPr>
              <w:cnfStyle w:val="100000000000" w:firstRow="1" w:lastRow="0" w:firstColumn="0" w:lastColumn="0" w:oddVBand="0" w:evenVBand="0" w:oddHBand="0" w:evenHBand="0" w:firstRowFirstColumn="0" w:firstRowLastColumn="0" w:lastRowFirstColumn="0" w:lastRowLastColumn="0"/>
              <w:rPr>
                <w:b w:val="0"/>
                <w:bCs w:val="0"/>
              </w:rPr>
            </w:pPr>
            <w:r w:rsidRPr="00FD52D7">
              <w:rPr>
                <w:rStyle w:val="Fuerte"/>
                <w:b/>
                <w:bCs/>
              </w:rPr>
              <w:t>Resultados de aprendizaje del curso</w:t>
            </w:r>
            <w:r w:rsidRPr="00FD52D7">
              <w:rPr>
                <w:rFonts w:eastAsia="Times New Roman" w:cs="Segoe UI"/>
                <w:b w:val="0"/>
                <w:bCs w:val="0"/>
                <w:color w:val="D8FEFA" w:themeColor="text1" w:themeTint="1A"/>
                <w:kern w:val="0"/>
                <w:lang w:eastAsia="es-CO"/>
                <w14:ligatures w14:val="none"/>
              </w:rPr>
              <w:t> </w:t>
            </w:r>
          </w:p>
        </w:tc>
        <w:tc>
          <w:tcPr>
            <w:tcW w:w="482" w:type="dxa"/>
          </w:tcPr>
          <w:p w14:paraId="439E37CA" w14:textId="77777777" w:rsidR="00FD52D7" w:rsidRDefault="00FD52D7" w:rsidP="002F764C">
            <w:pPr>
              <w:cnfStyle w:val="100000000000" w:firstRow="1" w:lastRow="0" w:firstColumn="0" w:lastColumn="0" w:oddVBand="0" w:evenVBand="0" w:oddHBand="0" w:evenHBand="0" w:firstRowFirstColumn="0" w:firstRowLastColumn="0" w:lastRowFirstColumn="0" w:lastRowLastColumn="0"/>
            </w:pPr>
          </w:p>
        </w:tc>
        <w:tc>
          <w:tcPr>
            <w:tcW w:w="2999" w:type="dxa"/>
          </w:tcPr>
          <w:p w14:paraId="27CF1102" w14:textId="77777777" w:rsidR="00FD52D7" w:rsidRDefault="00FD52D7" w:rsidP="002F764C">
            <w:pPr>
              <w:cnfStyle w:val="100000000000" w:firstRow="1" w:lastRow="0" w:firstColumn="0" w:lastColumn="0" w:oddVBand="0" w:evenVBand="0" w:oddHBand="0" w:evenHBand="0" w:firstRowFirstColumn="0" w:firstRowLastColumn="0" w:lastRowFirstColumn="0" w:lastRowLastColumn="0"/>
            </w:pPr>
            <w:r w:rsidRPr="00FD52D7">
              <w:rPr>
                <w:rStyle w:val="Fuerte"/>
                <w:b/>
                <w:bCs/>
              </w:rPr>
              <w:t>Resultados de aprendizaje del programa</w:t>
            </w:r>
          </w:p>
        </w:tc>
        <w:tc>
          <w:tcPr>
            <w:tcW w:w="482" w:type="dxa"/>
          </w:tcPr>
          <w:p w14:paraId="4DCC3E49" w14:textId="77777777" w:rsidR="00FD52D7" w:rsidRDefault="00FD52D7" w:rsidP="002F764C">
            <w:pPr>
              <w:cnfStyle w:val="100000000000" w:firstRow="1" w:lastRow="0" w:firstColumn="0" w:lastColumn="0" w:oddVBand="0" w:evenVBand="0" w:oddHBand="0" w:evenHBand="0" w:firstRowFirstColumn="0" w:firstRowLastColumn="0" w:lastRowFirstColumn="0" w:lastRowLastColumn="0"/>
            </w:pPr>
          </w:p>
        </w:tc>
        <w:tc>
          <w:tcPr>
            <w:tcW w:w="2880" w:type="dxa"/>
          </w:tcPr>
          <w:p w14:paraId="2F7E5814" w14:textId="77777777" w:rsidR="00FD52D7" w:rsidRPr="008E7BC0" w:rsidRDefault="00FD52D7" w:rsidP="002F764C">
            <w:pPr>
              <w:cnfStyle w:val="100000000000" w:firstRow="1" w:lastRow="0" w:firstColumn="0" w:lastColumn="0" w:oddVBand="0" w:evenVBand="0" w:oddHBand="0" w:evenHBand="0" w:firstRowFirstColumn="0" w:firstRowLastColumn="0" w:lastRowFirstColumn="0" w:lastRowLastColumn="0"/>
              <w:rPr>
                <w:rStyle w:val="Fuerte"/>
              </w:rPr>
            </w:pPr>
            <w:r w:rsidRPr="00FD52D7">
              <w:rPr>
                <w:rStyle w:val="Fuerte"/>
                <w:b/>
                <w:bCs/>
              </w:rPr>
              <w:t>Competencias del programa</w:t>
            </w:r>
          </w:p>
        </w:tc>
      </w:tr>
      <w:tr w:rsidR="00FD52D7" w14:paraId="3AE18A64" w14:textId="77777777" w:rsidTr="00FD5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dxa"/>
            <w:vAlign w:val="center"/>
          </w:tcPr>
          <w:p w14:paraId="004E2BDA" w14:textId="77777777" w:rsidR="00FD52D7" w:rsidRPr="008E7BC0" w:rsidRDefault="00FD52D7" w:rsidP="002F764C"/>
        </w:tc>
        <w:tc>
          <w:tcPr>
            <w:tcW w:w="2931" w:type="dxa"/>
            <w:vAlign w:val="center"/>
          </w:tcPr>
          <w:p w14:paraId="51F4F248" w14:textId="77777777" w:rsidR="00FD52D7" w:rsidRPr="008E7BC0" w:rsidRDefault="00FD52D7" w:rsidP="002F764C">
            <w:pPr>
              <w:cnfStyle w:val="000000100000" w:firstRow="0" w:lastRow="0" w:firstColumn="0" w:lastColumn="0" w:oddVBand="0" w:evenVBand="0" w:oddHBand="1" w:evenHBand="0" w:firstRowFirstColumn="0" w:firstRowLastColumn="0" w:lastRowFirstColumn="0" w:lastRowLastColumn="0"/>
            </w:pPr>
            <w:r>
              <w:t>RAC 1. Analizar proyectos y sistemas energéticos como sistemas complejos.</w:t>
            </w:r>
          </w:p>
        </w:tc>
        <w:tc>
          <w:tcPr>
            <w:tcW w:w="482" w:type="dxa"/>
            <w:vAlign w:val="center"/>
          </w:tcPr>
          <w:p w14:paraId="3CFF94D1" w14:textId="77777777" w:rsidR="00FD52D7" w:rsidRPr="008E7BC0" w:rsidRDefault="00FD52D7" w:rsidP="002F764C">
            <w:pPr>
              <w:cnfStyle w:val="000000100000" w:firstRow="0" w:lastRow="0" w:firstColumn="0" w:lastColumn="0" w:oddVBand="0" w:evenVBand="0" w:oddHBand="1" w:evenHBand="0" w:firstRowFirstColumn="0" w:firstRowLastColumn="0" w:lastRowFirstColumn="0" w:lastRowLastColumn="0"/>
            </w:pPr>
          </w:p>
        </w:tc>
        <w:tc>
          <w:tcPr>
            <w:tcW w:w="2999" w:type="dxa"/>
            <w:vAlign w:val="center"/>
          </w:tcPr>
          <w:p w14:paraId="33FCE3ED" w14:textId="77777777" w:rsidR="00FD52D7" w:rsidRPr="008E7BC0" w:rsidRDefault="00FD52D7" w:rsidP="002F764C">
            <w:pPr>
              <w:cnfStyle w:val="000000100000" w:firstRow="0" w:lastRow="0" w:firstColumn="0" w:lastColumn="0" w:oddVBand="0" w:evenVBand="0" w:oddHBand="1" w:evenHBand="0" w:firstRowFirstColumn="0" w:firstRowLastColumn="0" w:lastRowFirstColumn="0" w:lastRowLastColumn="0"/>
            </w:pPr>
            <w:r>
              <w:t>RA1.5. Evaluar la viabilidad técnica y económica de nuevas tecnologías y de la transición energética.</w:t>
            </w:r>
          </w:p>
        </w:tc>
        <w:tc>
          <w:tcPr>
            <w:tcW w:w="482" w:type="dxa"/>
            <w:vAlign w:val="center"/>
          </w:tcPr>
          <w:p w14:paraId="07C0D850" w14:textId="77777777" w:rsidR="00FD52D7" w:rsidRPr="008E7BC0" w:rsidRDefault="00FD52D7" w:rsidP="002F764C">
            <w:pPr>
              <w:cnfStyle w:val="000000100000" w:firstRow="0" w:lastRow="0" w:firstColumn="0" w:lastColumn="0" w:oddVBand="0" w:evenVBand="0" w:oddHBand="1" w:evenHBand="0" w:firstRowFirstColumn="0" w:firstRowLastColumn="0" w:lastRowFirstColumn="0" w:lastRowLastColumn="0"/>
            </w:pPr>
          </w:p>
        </w:tc>
        <w:tc>
          <w:tcPr>
            <w:tcW w:w="2880" w:type="dxa"/>
            <w:vAlign w:val="center"/>
          </w:tcPr>
          <w:p w14:paraId="0C37270B" w14:textId="77777777" w:rsidR="00FD52D7" w:rsidRPr="008E7BC0" w:rsidRDefault="00FD52D7" w:rsidP="002F764C">
            <w:pPr>
              <w:cnfStyle w:val="000000100000" w:firstRow="0" w:lastRow="0" w:firstColumn="0" w:lastColumn="0" w:oddVBand="0" w:evenVBand="0" w:oddHBand="1" w:evenHBand="0" w:firstRowFirstColumn="0" w:firstRowLastColumn="0" w:lastRowFirstColumn="0" w:lastRowLastColumn="0"/>
            </w:pPr>
            <w:r>
              <w:t>Disciplinares: Materias Primas y Procesos Energéticos; Sostenibilidad y Cambio Climático.</w:t>
            </w:r>
            <w:r>
              <w:br/>
              <w:t>Transversal: Aprendizaje Continuo.</w:t>
            </w:r>
          </w:p>
        </w:tc>
      </w:tr>
      <w:tr w:rsidR="00FD52D7" w14:paraId="0DA7BF43" w14:textId="77777777" w:rsidTr="00FD52D7">
        <w:tc>
          <w:tcPr>
            <w:cnfStyle w:val="001000000000" w:firstRow="0" w:lastRow="0" w:firstColumn="1" w:lastColumn="0" w:oddVBand="0" w:evenVBand="0" w:oddHBand="0" w:evenHBand="0" w:firstRowFirstColumn="0" w:firstRowLastColumn="0" w:lastRowFirstColumn="0" w:lastRowLastColumn="0"/>
            <w:tcW w:w="482" w:type="dxa"/>
            <w:vAlign w:val="center"/>
          </w:tcPr>
          <w:p w14:paraId="7986FD69" w14:textId="77777777" w:rsidR="00FD52D7" w:rsidRDefault="00FD52D7" w:rsidP="002F764C"/>
        </w:tc>
        <w:tc>
          <w:tcPr>
            <w:tcW w:w="2931" w:type="dxa"/>
            <w:vAlign w:val="center"/>
          </w:tcPr>
          <w:p w14:paraId="4AB4923D"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r>
              <w:t>RAC 2. Aplicar análisis de redes a infraestructura y redes de actores.</w:t>
            </w:r>
          </w:p>
        </w:tc>
        <w:tc>
          <w:tcPr>
            <w:tcW w:w="482" w:type="dxa"/>
            <w:vAlign w:val="center"/>
          </w:tcPr>
          <w:p w14:paraId="0C5B19FC"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p>
        </w:tc>
        <w:tc>
          <w:tcPr>
            <w:tcW w:w="2999" w:type="dxa"/>
            <w:vAlign w:val="center"/>
          </w:tcPr>
          <w:p w14:paraId="1E009AA3"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r>
              <w:t>RA2.5. Identificar retos en transporte y almacenamiento en sistemas centralizados y distribuidos.</w:t>
            </w:r>
          </w:p>
        </w:tc>
        <w:tc>
          <w:tcPr>
            <w:tcW w:w="482" w:type="dxa"/>
            <w:vAlign w:val="center"/>
          </w:tcPr>
          <w:p w14:paraId="18391AA3"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p>
        </w:tc>
        <w:tc>
          <w:tcPr>
            <w:tcW w:w="2880" w:type="dxa"/>
            <w:vAlign w:val="center"/>
          </w:tcPr>
          <w:p w14:paraId="61BF9443"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r>
              <w:t>Disciplinares: Almacenamiento y Transporte Energético; Materias Primas y Procesos Energéticos.</w:t>
            </w:r>
            <w:r>
              <w:br/>
              <w:t>Transversal: Aprendizaje Continuo.</w:t>
            </w:r>
          </w:p>
        </w:tc>
      </w:tr>
      <w:tr w:rsidR="00FD52D7" w14:paraId="00140EDE" w14:textId="77777777" w:rsidTr="00FD5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dxa"/>
            <w:vAlign w:val="center"/>
          </w:tcPr>
          <w:p w14:paraId="7761168C" w14:textId="77777777" w:rsidR="00FD52D7" w:rsidRDefault="00FD52D7" w:rsidP="002F764C"/>
        </w:tc>
        <w:tc>
          <w:tcPr>
            <w:tcW w:w="2931" w:type="dxa"/>
            <w:vAlign w:val="center"/>
          </w:tcPr>
          <w:p w14:paraId="62AAF550"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r>
              <w:t>RAC 3. Formular y analizar modelos de dinámica de sistemas, políticas y escenarios.</w:t>
            </w:r>
          </w:p>
        </w:tc>
        <w:tc>
          <w:tcPr>
            <w:tcW w:w="482" w:type="dxa"/>
            <w:vAlign w:val="center"/>
          </w:tcPr>
          <w:p w14:paraId="5391F306"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p>
        </w:tc>
        <w:tc>
          <w:tcPr>
            <w:tcW w:w="2999" w:type="dxa"/>
            <w:vAlign w:val="center"/>
          </w:tcPr>
          <w:p w14:paraId="21251BC7"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r>
              <w:t>RA3.2. Aplicar herramientas económicas y modelos de negocio para descarbonización.</w:t>
            </w:r>
          </w:p>
        </w:tc>
        <w:tc>
          <w:tcPr>
            <w:tcW w:w="482" w:type="dxa"/>
            <w:vAlign w:val="center"/>
          </w:tcPr>
          <w:p w14:paraId="27A758AB"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p>
        </w:tc>
        <w:tc>
          <w:tcPr>
            <w:tcW w:w="2880" w:type="dxa"/>
            <w:vAlign w:val="center"/>
          </w:tcPr>
          <w:p w14:paraId="5A015483"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r>
              <w:t>Disciplinares: Sostenibilidad y Cambio Climático; Materias Primas y Procesos Energéticos.</w:t>
            </w:r>
            <w:r>
              <w:br/>
              <w:t>Transversal: Aprendizaje Continuo.</w:t>
            </w:r>
          </w:p>
        </w:tc>
      </w:tr>
      <w:tr w:rsidR="00FD52D7" w14:paraId="795D56BE" w14:textId="77777777" w:rsidTr="00FD52D7">
        <w:tc>
          <w:tcPr>
            <w:cnfStyle w:val="001000000000" w:firstRow="0" w:lastRow="0" w:firstColumn="1" w:lastColumn="0" w:oddVBand="0" w:evenVBand="0" w:oddHBand="0" w:evenHBand="0" w:firstRowFirstColumn="0" w:firstRowLastColumn="0" w:lastRowFirstColumn="0" w:lastRowLastColumn="0"/>
            <w:tcW w:w="482" w:type="dxa"/>
            <w:vAlign w:val="center"/>
          </w:tcPr>
          <w:p w14:paraId="1C8B15FE" w14:textId="77777777" w:rsidR="00FD52D7" w:rsidRDefault="00FD52D7" w:rsidP="002F764C"/>
        </w:tc>
        <w:tc>
          <w:tcPr>
            <w:tcW w:w="2931" w:type="dxa"/>
            <w:vAlign w:val="center"/>
          </w:tcPr>
          <w:p w14:paraId="1ED785B9"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r>
              <w:t>RAC 4. Integrar dimensiones socioambientales, éticas y de gobernanza y comunicar recomendaciones.</w:t>
            </w:r>
          </w:p>
        </w:tc>
        <w:tc>
          <w:tcPr>
            <w:tcW w:w="482" w:type="dxa"/>
            <w:vAlign w:val="center"/>
          </w:tcPr>
          <w:p w14:paraId="4D31C028"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p>
        </w:tc>
        <w:tc>
          <w:tcPr>
            <w:tcW w:w="2999" w:type="dxa"/>
            <w:vAlign w:val="center"/>
          </w:tcPr>
          <w:p w14:paraId="08A58FFB"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r>
              <w:t>RA4. Asegurar cumplimiento normativo y socioambiental en la cadena de valor energética.</w:t>
            </w:r>
          </w:p>
        </w:tc>
        <w:tc>
          <w:tcPr>
            <w:tcW w:w="482" w:type="dxa"/>
            <w:vAlign w:val="center"/>
          </w:tcPr>
          <w:p w14:paraId="529154AB"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p>
        </w:tc>
        <w:tc>
          <w:tcPr>
            <w:tcW w:w="2880" w:type="dxa"/>
            <w:vAlign w:val="center"/>
          </w:tcPr>
          <w:p w14:paraId="2C69FEB6" w14:textId="77777777" w:rsidR="00FD52D7" w:rsidRDefault="00FD52D7" w:rsidP="002F764C">
            <w:pPr>
              <w:cnfStyle w:val="000000000000" w:firstRow="0" w:lastRow="0" w:firstColumn="0" w:lastColumn="0" w:oddVBand="0" w:evenVBand="0" w:oddHBand="0" w:evenHBand="0" w:firstRowFirstColumn="0" w:firstRowLastColumn="0" w:lastRowFirstColumn="0" w:lastRowLastColumn="0"/>
            </w:pPr>
            <w:r>
              <w:t>Disciplinar: Sostenibilidad y Cambio Climático.</w:t>
            </w:r>
            <w:r>
              <w:br/>
              <w:t>Transversales: Ética, Comunicación y Aprendizaje Continuo.</w:t>
            </w:r>
          </w:p>
        </w:tc>
      </w:tr>
      <w:tr w:rsidR="00FD52D7" w14:paraId="2220E981" w14:textId="77777777" w:rsidTr="00FD5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dxa"/>
            <w:vAlign w:val="center"/>
          </w:tcPr>
          <w:p w14:paraId="0CD5B3EF" w14:textId="77777777" w:rsidR="00FD52D7" w:rsidRDefault="00FD52D7" w:rsidP="002F764C"/>
        </w:tc>
        <w:tc>
          <w:tcPr>
            <w:tcW w:w="2931" w:type="dxa"/>
            <w:vAlign w:val="center"/>
          </w:tcPr>
          <w:p w14:paraId="7D648381"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p>
        </w:tc>
        <w:tc>
          <w:tcPr>
            <w:tcW w:w="482" w:type="dxa"/>
            <w:vAlign w:val="center"/>
          </w:tcPr>
          <w:p w14:paraId="1415E819"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p>
        </w:tc>
        <w:tc>
          <w:tcPr>
            <w:tcW w:w="2999" w:type="dxa"/>
            <w:vAlign w:val="center"/>
          </w:tcPr>
          <w:p w14:paraId="2775C0DB"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p>
        </w:tc>
        <w:tc>
          <w:tcPr>
            <w:tcW w:w="482" w:type="dxa"/>
            <w:vAlign w:val="center"/>
          </w:tcPr>
          <w:p w14:paraId="6B7446C1"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p>
        </w:tc>
        <w:tc>
          <w:tcPr>
            <w:tcW w:w="2880" w:type="dxa"/>
            <w:vAlign w:val="center"/>
          </w:tcPr>
          <w:p w14:paraId="66CB58F7" w14:textId="77777777" w:rsidR="00FD52D7" w:rsidRDefault="00FD52D7" w:rsidP="002F764C">
            <w:pPr>
              <w:cnfStyle w:val="000000100000" w:firstRow="0" w:lastRow="0" w:firstColumn="0" w:lastColumn="0" w:oddVBand="0" w:evenVBand="0" w:oddHBand="1" w:evenHBand="0" w:firstRowFirstColumn="0" w:firstRowLastColumn="0" w:lastRowFirstColumn="0" w:lastRowLastColumn="0"/>
            </w:pPr>
          </w:p>
        </w:tc>
      </w:tr>
    </w:tbl>
    <w:p w14:paraId="63AAB14F" w14:textId="77777777" w:rsidR="00E613BB" w:rsidRDefault="00E613BB" w:rsidP="002F764C"/>
    <w:p w14:paraId="26610D6D" w14:textId="77777777" w:rsidR="00FD52D7" w:rsidRDefault="00FD52D7" w:rsidP="002F764C"/>
    <w:p w14:paraId="744CCD62" w14:textId="77777777" w:rsidR="00FD52D7" w:rsidRDefault="00FD52D7" w:rsidP="00FD52D7">
      <w:pPr>
        <w:pStyle w:val="Ttulo1"/>
      </w:pPr>
      <w:r w:rsidRPr="00FD52D7">
        <w:t>3.</w:t>
      </w:r>
      <w:r w:rsidR="002F1761">
        <w:t xml:space="preserve"> </w:t>
      </w:r>
      <w:r w:rsidRPr="00FD52D7">
        <w:t>Metodología</w:t>
      </w:r>
    </w:p>
    <w:p w14:paraId="4170310C" w14:textId="77777777" w:rsidR="00FD52D7" w:rsidRDefault="00FD52D7" w:rsidP="00FD52D7">
      <w:pPr>
        <w:pStyle w:val="Subttulo"/>
      </w:pPr>
      <w:r>
        <w:t xml:space="preserve">a. Metodología </w:t>
      </w:r>
    </w:p>
    <w:p w14:paraId="08166A5C" w14:textId="77777777" w:rsidR="00FD52D7" w:rsidRDefault="00FD52D7" w:rsidP="00B308A9">
      <w:pPr>
        <w:jc w:val="both"/>
      </w:pPr>
      <w:r>
        <w:t xml:space="preserve">El curso combina aprendizaje autónomo y trabajo aplicado. Antes y durante cada bloque, los estudiantes estudian videoclips, lecturas y guías de autoestudio que introducen los conceptos fundamentales. Estos contenidos se complementan con actividades de modelación, análisis de datos, laboratorios </w:t>
      </w:r>
      <w:r>
        <w:lastRenderedPageBreak/>
        <w:t>computacionales y discusión de resultados. Las herramientas se aplican progresivamente al análisis de proyectos y sistemas energéticos, y se integran en un proyecto desarrollado a lo largo del curso. Las actividades sincrónicas privilegian la discusión, la interpretación de resultados, la resolución de dudas y la aplicación de los conceptos; la evaluación conceptual se concentra en Quiz de bloque y la evaluación aplicada en los entregables principales del proyecto.</w:t>
      </w:r>
    </w:p>
    <w:p w14:paraId="6019D7D1" w14:textId="77777777" w:rsidR="00FD52D7" w:rsidRDefault="00FD52D7" w:rsidP="00FD52D7">
      <w:pPr>
        <w:pStyle w:val="Subttulo"/>
      </w:pPr>
      <w:r>
        <w:t xml:space="preserve">b. Estructura del curso </w:t>
      </w:r>
    </w:p>
    <w:p w14:paraId="5A795BAB" w14:textId="77777777" w:rsidR="00FD52D7" w:rsidRDefault="00FD52D7" w:rsidP="00FD52D7">
      <w:r>
        <w:t>Los módulos se articulan mediante el proyecto integrador y una sesión sincrónica virtual semanal de dos horas; la Semana 8 incluye una sesión extendida de tres horas para el panel de sustentación.</w:t>
      </w:r>
    </w:p>
    <w:tbl>
      <w:tblPr>
        <w:tblStyle w:val="Tablaconcuadrcula4-nfasis1"/>
        <w:tblW w:w="0" w:type="dxa"/>
        <w:tblLook w:val="04A0" w:firstRow="1" w:lastRow="0" w:firstColumn="1" w:lastColumn="0" w:noHBand="0" w:noVBand="1"/>
      </w:tblPr>
      <w:tblGrid>
        <w:gridCol w:w="1683"/>
        <w:gridCol w:w="2208"/>
        <w:gridCol w:w="3333"/>
        <w:gridCol w:w="2852"/>
      </w:tblGrid>
      <w:tr w:rsidR="00FD52D7" w:rsidRPr="00031C70" w14:paraId="74455380" w14:textId="77777777" w:rsidTr="001A4ED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710" w:type="dxa"/>
            <w:hideMark/>
          </w:tcPr>
          <w:p w14:paraId="7CBE9ACA" w14:textId="77777777" w:rsidR="00FD52D7" w:rsidRPr="00FD52D7" w:rsidRDefault="00FD52D7" w:rsidP="00FD52D7">
            <w:pPr>
              <w:rPr>
                <w:rStyle w:val="Fuerte"/>
                <w:b/>
                <w:bCs/>
              </w:rPr>
            </w:pPr>
            <w:r w:rsidRPr="00FD52D7">
              <w:rPr>
                <w:rStyle w:val="Fuerte"/>
                <w:b/>
                <w:bCs/>
              </w:rPr>
              <w:t>Módulo nombre </w:t>
            </w:r>
          </w:p>
        </w:tc>
        <w:tc>
          <w:tcPr>
            <w:tcW w:w="1350" w:type="dxa"/>
            <w:hideMark/>
          </w:tcPr>
          <w:p w14:paraId="37453843" w14:textId="77777777" w:rsidR="00FD52D7" w:rsidRPr="00FD52D7" w:rsidRDefault="00FD52D7" w:rsidP="00FD52D7">
            <w:pPr>
              <w:cnfStyle w:val="100000000000" w:firstRow="1" w:lastRow="0" w:firstColumn="0" w:lastColumn="0" w:oddVBand="0" w:evenVBand="0" w:oddHBand="0" w:evenHBand="0" w:firstRowFirstColumn="0" w:firstRowLastColumn="0" w:lastRowFirstColumn="0" w:lastRowLastColumn="0"/>
              <w:rPr>
                <w:rStyle w:val="Fuerte"/>
                <w:b/>
                <w:bCs/>
              </w:rPr>
            </w:pPr>
            <w:r w:rsidRPr="00FD52D7">
              <w:rPr>
                <w:rStyle w:val="Fuerte"/>
                <w:b/>
                <w:bCs/>
              </w:rPr>
              <w:t>Semana / Título </w:t>
            </w:r>
          </w:p>
        </w:tc>
        <w:tc>
          <w:tcPr>
            <w:tcW w:w="3780" w:type="dxa"/>
            <w:hideMark/>
          </w:tcPr>
          <w:p w14:paraId="758C25FF" w14:textId="77777777" w:rsidR="00FD52D7" w:rsidRPr="00FD52D7" w:rsidRDefault="00FD52D7" w:rsidP="00FD52D7">
            <w:pPr>
              <w:cnfStyle w:val="100000000000" w:firstRow="1" w:lastRow="0" w:firstColumn="0" w:lastColumn="0" w:oddVBand="0" w:evenVBand="0" w:oddHBand="0" w:evenHBand="0" w:firstRowFirstColumn="0" w:firstRowLastColumn="0" w:lastRowFirstColumn="0" w:lastRowLastColumn="0"/>
              <w:rPr>
                <w:rStyle w:val="Fuerte"/>
                <w:b/>
                <w:bCs/>
              </w:rPr>
            </w:pPr>
            <w:r w:rsidRPr="00FD52D7">
              <w:rPr>
                <w:rStyle w:val="Fuerte"/>
                <w:b/>
                <w:bCs/>
              </w:rPr>
              <w:t>Descripción </w:t>
            </w:r>
          </w:p>
        </w:tc>
        <w:tc>
          <w:tcPr>
            <w:tcW w:w="3135" w:type="dxa"/>
            <w:hideMark/>
          </w:tcPr>
          <w:p w14:paraId="1C9AA8AA" w14:textId="77777777" w:rsidR="00FD52D7" w:rsidRPr="00FD52D7" w:rsidRDefault="00FD52D7" w:rsidP="00FD52D7">
            <w:pPr>
              <w:cnfStyle w:val="100000000000" w:firstRow="1" w:lastRow="0" w:firstColumn="0" w:lastColumn="0" w:oddVBand="0" w:evenVBand="0" w:oddHBand="0" w:evenHBand="0" w:firstRowFirstColumn="0" w:firstRowLastColumn="0" w:lastRowFirstColumn="0" w:lastRowLastColumn="0"/>
              <w:rPr>
                <w:rStyle w:val="Fuerte"/>
                <w:b/>
                <w:bCs/>
              </w:rPr>
            </w:pPr>
            <w:r w:rsidRPr="00FD52D7">
              <w:rPr>
                <w:rStyle w:val="Fuerte"/>
                <w:b/>
                <w:bCs/>
              </w:rPr>
              <w:t>Encuentro sincrónico</w:t>
            </w:r>
          </w:p>
        </w:tc>
      </w:tr>
      <w:tr w:rsidR="00FD52D7" w:rsidRPr="00031C70" w14:paraId="0748842A" w14:textId="77777777" w:rsidTr="001A4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22A15C39"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Módulo 1. Complejidad y redes en sistemas energéticos</w:t>
            </w:r>
          </w:p>
        </w:tc>
        <w:tc>
          <w:tcPr>
            <w:tcW w:w="1350" w:type="dxa"/>
            <w:vAlign w:val="center"/>
            <w:hideMark/>
          </w:tcPr>
          <w:p w14:paraId="235BC0F7"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1. Introducción a los sistemas complejos</w:t>
            </w:r>
          </w:p>
        </w:tc>
        <w:tc>
          <w:tcPr>
            <w:tcW w:w="3780" w:type="dxa"/>
            <w:vAlign w:val="center"/>
            <w:hideMark/>
          </w:tcPr>
          <w:p w14:paraId="1206776F"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A partir de la crisis de El Niño 2015-2016, se examina por qué el análisis convencional es necesario pero insuficiente. Se introducen retroalimentación, no linealidad, emergencia, adaptación, memoria, dependencia del camino y eventos extremos. El estudiante construye un mapa causal preliminar y delimita su caso de proyecto. La Saga Colombia aporta la identidad sistémica del SIN.</w:t>
            </w:r>
          </w:p>
        </w:tc>
        <w:tc>
          <w:tcPr>
            <w:tcW w:w="3135" w:type="dxa"/>
            <w:vAlign w:val="center"/>
            <w:hideMark/>
          </w:tcPr>
          <w:p w14:paraId="1D209D8A"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Segoe UI"/>
                <w:color w:val="01372C"/>
                <w:kern w:val="0"/>
                <w:lang w:eastAsia="es-CO"/>
                <w14:ligatures w14:val="none"/>
              </w:rPr>
            </w:pPr>
            <w:r>
              <w:t>Sí. Discusión de caso, mapa causal y retroalimentación.</w:t>
            </w:r>
          </w:p>
        </w:tc>
      </w:tr>
      <w:tr w:rsidR="00FD52D7" w:rsidRPr="00031C70" w14:paraId="4BF33665" w14:textId="77777777" w:rsidTr="001A4EDA">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0402E83F"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p>
        </w:tc>
        <w:tc>
          <w:tcPr>
            <w:tcW w:w="1350" w:type="dxa"/>
            <w:vAlign w:val="center"/>
            <w:hideMark/>
          </w:tcPr>
          <w:p w14:paraId="7E947A12"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2. Redes I: topología y vulnerabilidades</w:t>
            </w:r>
          </w:p>
        </w:tc>
        <w:tc>
          <w:tcPr>
            <w:tcW w:w="3780" w:type="dxa"/>
            <w:vAlign w:val="center"/>
            <w:hideMark/>
          </w:tcPr>
          <w:p w14:paraId="211C05CB"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El SIN se modela como red física de subestaciones y líneas. Se construyen grafos y se interpretan métricas locales y globales, distribución de grado y topologías Erdős-Rényi, Barabási-Albert y Watts-Strogatz. Se evalúan robustez, fragilidad, criterio N-1 y fallas en cascada mediante NetworkX. El proyecto define las redes pertinentes y la Saga Colombia analiza su estructura física.</w:t>
            </w:r>
          </w:p>
        </w:tc>
        <w:tc>
          <w:tcPr>
            <w:tcW w:w="3135" w:type="dxa"/>
            <w:vAlign w:val="center"/>
            <w:hideMark/>
          </w:tcPr>
          <w:p w14:paraId="4B16FCF6"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Segoe UI"/>
                <w:color w:val="01372C"/>
                <w:kern w:val="0"/>
                <w:lang w:eastAsia="es-CO"/>
                <w14:ligatures w14:val="none"/>
              </w:rPr>
            </w:pPr>
            <w:r>
              <w:t>Sí. Laboratorio de redes y ejercicio aplicado.</w:t>
            </w:r>
          </w:p>
        </w:tc>
      </w:tr>
      <w:tr w:rsidR="00FD52D7" w:rsidRPr="00031C70" w14:paraId="19A36813" w14:textId="77777777" w:rsidTr="001A4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4C7A900A"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p>
        </w:tc>
        <w:tc>
          <w:tcPr>
            <w:tcW w:w="1350" w:type="dxa"/>
            <w:vAlign w:val="center"/>
            <w:hideMark/>
          </w:tcPr>
          <w:p w14:paraId="14F4B730"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3. Redes II: dinámica sobre redes y redes de actores</w:t>
            </w:r>
          </w:p>
        </w:tc>
        <w:tc>
          <w:tcPr>
            <w:tcW w:w="3780" w:type="dxa"/>
            <w:vAlign w:val="center"/>
            <w:hideMark/>
          </w:tcPr>
          <w:p w14:paraId="0B2460F7"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 xml:space="preserve">Se modelan contagio simple, umbrales y difusión de adopción solar, distinguiendo mecanismo, supuestos y evidencia. También se representan redes de contratos y actores del sector energético, con dirección, </w:t>
            </w:r>
            <w:r w:rsidRPr="00031C70">
              <w:rPr>
                <w:rFonts w:eastAsia="Times New Roman" w:cs="Segoe UI"/>
                <w:color w:val="01372C"/>
                <w:kern w:val="0"/>
                <w:lang w:eastAsia="es-CO"/>
                <w14:ligatures w14:val="none"/>
              </w:rPr>
              <w:lastRenderedPageBreak/>
              <w:t>pesos, centralidades y comunidades. El estudiantado interpreta los límites del modelo y entrega el Avance 1: problema, mapa causal, red y análisis inicial.</w:t>
            </w:r>
          </w:p>
        </w:tc>
        <w:tc>
          <w:tcPr>
            <w:tcW w:w="3135" w:type="dxa"/>
            <w:vAlign w:val="center"/>
            <w:hideMark/>
          </w:tcPr>
          <w:p w14:paraId="0DA8A3DF"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Segoe UI"/>
                <w:color w:val="01372C"/>
                <w:kern w:val="0"/>
                <w:lang w:eastAsia="es-CO"/>
                <w14:ligatures w14:val="none"/>
              </w:rPr>
            </w:pPr>
            <w:r>
              <w:lastRenderedPageBreak/>
              <w:t>Sí. Presentación y retroalimentación del Avance 1.</w:t>
            </w:r>
          </w:p>
        </w:tc>
      </w:tr>
      <w:tr w:rsidR="00FD52D7" w:rsidRPr="00031C70" w14:paraId="0760B69A" w14:textId="77777777" w:rsidTr="001A4EDA">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2CDC4E03"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Módulo 2. Dinámica de sistemas y decisiones bajo incertidumbre</w:t>
            </w:r>
          </w:p>
        </w:tc>
        <w:tc>
          <w:tcPr>
            <w:tcW w:w="1350" w:type="dxa"/>
            <w:vAlign w:val="center"/>
            <w:hideMark/>
          </w:tcPr>
          <w:p w14:paraId="1AA989E8"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4. Dinámica de sistemas I: stocks, flujos y retroalimentaciones</w:t>
            </w:r>
          </w:p>
        </w:tc>
        <w:tc>
          <w:tcPr>
            <w:tcW w:w="3780" w:type="dxa"/>
            <w:vAlign w:val="center"/>
            <w:hideMark/>
          </w:tcPr>
          <w:p w14:paraId="751C4153"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Se transita de los diagramas causales a modelos cuantitativos de comportamiento en el tiempo. Se formalizan stocks, flujos, auxiliares, constantes y funciones de tabla mediante la ecuación del stock y la integración numérica. Se interpretan polaridades, lazos y retardos, y se aplican criterios de consistencia dimensional, validación y calibración. El laboratorio construye y examina un modelo dinámico integrado de inversión-capacidad para analizar supuestos y resultados.</w:t>
            </w:r>
          </w:p>
        </w:tc>
        <w:tc>
          <w:tcPr>
            <w:tcW w:w="3135" w:type="dxa"/>
            <w:vAlign w:val="center"/>
            <w:hideMark/>
          </w:tcPr>
          <w:p w14:paraId="58030842"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Segoe UI"/>
                <w:color w:val="01372C"/>
                <w:kern w:val="0"/>
                <w:lang w:eastAsia="es-CO"/>
                <w14:ligatures w14:val="none"/>
              </w:rPr>
            </w:pPr>
            <w:r>
              <w:t>Sí. Discusión de modelos y práctica de stocks y flujos.</w:t>
            </w:r>
          </w:p>
        </w:tc>
      </w:tr>
      <w:tr w:rsidR="00FD52D7" w:rsidRPr="00031C70" w14:paraId="4A237E89" w14:textId="77777777" w:rsidTr="001A4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2449F7A1"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p>
        </w:tc>
        <w:tc>
          <w:tcPr>
            <w:tcW w:w="1350" w:type="dxa"/>
            <w:vAlign w:val="center"/>
            <w:hideMark/>
          </w:tcPr>
          <w:p w14:paraId="44ADB27B"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5. Dinámica de sistemas II: políticas, escenarios e incertidumbre</w:t>
            </w:r>
          </w:p>
        </w:tc>
        <w:tc>
          <w:tcPr>
            <w:tcW w:w="3780" w:type="dxa"/>
            <w:vAlign w:val="center"/>
            <w:hideMark/>
          </w:tcPr>
          <w:p w14:paraId="56A4EE1A"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Se analizan comportamientos generados por la retroalimentación, como crecimiento, búsqueda de equilibrio y oscilación, y se examinan políticas y puntos de apalancamiento. Mediante análisis de sensibilidad se distinguen riesgo e incertidumbre profunda, se diseñan escenarios y se comparan alternativas con criterios de robustez y arrepentimiento máximo. La semana introduce Robust Decision Making y culmina con una aplicación integrada de políticas y escenarios en un sistema energético.</w:t>
            </w:r>
          </w:p>
        </w:tc>
        <w:tc>
          <w:tcPr>
            <w:tcW w:w="3135" w:type="dxa"/>
            <w:vAlign w:val="center"/>
            <w:hideMark/>
          </w:tcPr>
          <w:p w14:paraId="104F37FC"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Sí. Simulación, comparación de políticas y Avance 2.</w:t>
            </w:r>
          </w:p>
        </w:tc>
      </w:tr>
      <w:tr w:rsidR="00FD52D7" w:rsidRPr="00031C70" w14:paraId="48B291EF" w14:textId="77777777" w:rsidTr="001A4EDA">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4EBA2C41"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 xml:space="preserve">Módulo 3. Integración sistémica y </w:t>
            </w:r>
            <w:r w:rsidRPr="00031C70">
              <w:rPr>
                <w:rFonts w:eastAsia="Times New Roman" w:cs="Segoe UI"/>
                <w:color w:val="01372C"/>
                <w:kern w:val="0"/>
                <w:lang w:eastAsia="es-CO"/>
                <w14:ligatures w14:val="none"/>
              </w:rPr>
              <w:lastRenderedPageBreak/>
              <w:t>proyecto de consultoría</w:t>
            </w:r>
          </w:p>
        </w:tc>
        <w:tc>
          <w:tcPr>
            <w:tcW w:w="1350" w:type="dxa"/>
            <w:vAlign w:val="center"/>
            <w:hideMark/>
          </w:tcPr>
          <w:p w14:paraId="57409553"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lastRenderedPageBreak/>
              <w:t>6. Integración: gobernanza, justicia y comunicación</w:t>
            </w:r>
          </w:p>
        </w:tc>
        <w:tc>
          <w:tcPr>
            <w:tcW w:w="3780" w:type="dxa"/>
            <w:vAlign w:val="center"/>
            <w:hideMark/>
          </w:tcPr>
          <w:p w14:paraId="63AD7794"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 xml:space="preserve">Se integran perspectivas multicapa para estudiar un proyecto energético como </w:t>
            </w:r>
            <w:r w:rsidRPr="00031C70">
              <w:rPr>
                <w:rFonts w:eastAsia="Times New Roman" w:cs="Segoe UI"/>
                <w:color w:val="01372C"/>
                <w:kern w:val="0"/>
                <w:lang w:eastAsia="es-CO"/>
                <w14:ligatures w14:val="none"/>
              </w:rPr>
              <w:lastRenderedPageBreak/>
              <w:t>sistema socio-técnico-ambiental. Se examinan gobernanza policéntrica, justicia energética, consulta previa, licencia social y redes de actores considerando poder, intereses y relaciones. El análisis vincula dimensiones técnicas, económicas, sociales y ambientales con la comunicación transparente de supuestos, incertidumbres y resultados, para formular recomendaciones estratégicas y viables.</w:t>
            </w:r>
          </w:p>
        </w:tc>
        <w:tc>
          <w:tcPr>
            <w:tcW w:w="3135" w:type="dxa"/>
            <w:vAlign w:val="center"/>
            <w:hideMark/>
          </w:tcPr>
          <w:p w14:paraId="10D14E39"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lastRenderedPageBreak/>
              <w:t>Sí. Análisis multiactor y discusión de gobernanza.</w:t>
            </w:r>
          </w:p>
        </w:tc>
      </w:tr>
      <w:tr w:rsidR="00FD52D7" w:rsidRPr="00031C70" w14:paraId="7A77D152" w14:textId="77777777" w:rsidTr="001A4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059564A1"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p>
        </w:tc>
        <w:tc>
          <w:tcPr>
            <w:tcW w:w="1350" w:type="dxa"/>
            <w:vAlign w:val="center"/>
            <w:hideMark/>
          </w:tcPr>
          <w:p w14:paraId="4F42300E"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7. Taller de integración y recomendaciones</w:t>
            </w:r>
          </w:p>
        </w:tc>
        <w:tc>
          <w:tcPr>
            <w:tcW w:w="3780" w:type="dxa"/>
            <w:vAlign w:val="center"/>
            <w:hideMark/>
          </w:tcPr>
          <w:p w14:paraId="393A7270"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La semana consolida el proyecto como informe de consultoría, no como suma de ejercicios. Cada equipo integra complejidad, redes, dinámica de sistemas, dimensión socioambiental y gobernanza para responder una decisión concreta. Se distinguen resultados de hallazgos, se fortalece la cadena de evidencia y se realiza revisión por pares. El Avance 3 presenta una recomendación preliminar y brechas pendientes.</w:t>
            </w:r>
          </w:p>
        </w:tc>
        <w:tc>
          <w:tcPr>
            <w:tcW w:w="3135" w:type="dxa"/>
            <w:vAlign w:val="center"/>
            <w:hideMark/>
          </w:tcPr>
          <w:p w14:paraId="1244F501" w14:textId="77777777" w:rsidR="00FD52D7" w:rsidRPr="00031C7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Sí. Presentaciones de Avance 3 y retroalimentación.</w:t>
            </w:r>
          </w:p>
        </w:tc>
      </w:tr>
      <w:tr w:rsidR="00FD52D7" w:rsidRPr="00031C70" w14:paraId="30BA9122" w14:textId="77777777" w:rsidTr="001A4EDA">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61A62C33" w14:textId="77777777" w:rsidR="00FD52D7" w:rsidRPr="00031C70" w:rsidRDefault="00FD52D7" w:rsidP="001A4EDA">
            <w:pPr>
              <w:textAlignment w:val="baseline"/>
              <w:rPr>
                <w:rFonts w:ascii="Segoe UI" w:eastAsia="Times New Roman" w:hAnsi="Segoe UI" w:cs="Segoe UI"/>
                <w:color w:val="01382D"/>
                <w:kern w:val="0"/>
                <w:sz w:val="18"/>
                <w:szCs w:val="18"/>
                <w:lang w:eastAsia="es-CO"/>
                <w14:ligatures w14:val="none"/>
              </w:rPr>
            </w:pPr>
          </w:p>
        </w:tc>
        <w:tc>
          <w:tcPr>
            <w:tcW w:w="1350" w:type="dxa"/>
            <w:vAlign w:val="center"/>
            <w:hideMark/>
          </w:tcPr>
          <w:p w14:paraId="3EFA92A5"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8. Cierre: sustentación y horizontes de profundización</w:t>
            </w:r>
          </w:p>
        </w:tc>
        <w:tc>
          <w:tcPr>
            <w:tcW w:w="3780" w:type="dxa"/>
            <w:vAlign w:val="center"/>
            <w:hideMark/>
          </w:tcPr>
          <w:p w14:paraId="2DD88FEC"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t xml:space="preserve">Se entrega y defiende el informe de consultoría sistémica ante un panel. El informe integra diagnóstico, análisis de redes, dinámica de sistemas, escenarios, dimensión social, ambiental y de gobernanza, y recomendaciones accionables. Una reflexión individual vincula el aprendizaje con la práctica profesional. El cierre presenta rutas de profundización: modelos basados en agentes, Robust Decision Making formal </w:t>
            </w:r>
            <w:r w:rsidRPr="00031C70">
              <w:rPr>
                <w:rFonts w:eastAsia="Times New Roman" w:cs="Segoe UI"/>
                <w:color w:val="01372C"/>
                <w:kern w:val="0"/>
                <w:lang w:eastAsia="es-CO"/>
                <w14:ligatures w14:val="none"/>
              </w:rPr>
              <w:lastRenderedPageBreak/>
              <w:t>y aprendizaje automático sobre grafos.</w:t>
            </w:r>
          </w:p>
        </w:tc>
        <w:tc>
          <w:tcPr>
            <w:tcW w:w="3135" w:type="dxa"/>
            <w:vAlign w:val="center"/>
            <w:hideMark/>
          </w:tcPr>
          <w:p w14:paraId="68160B40" w14:textId="77777777" w:rsidR="00FD52D7" w:rsidRPr="00031C7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031C70">
              <w:rPr>
                <w:rFonts w:eastAsia="Times New Roman" w:cs="Segoe UI"/>
                <w:color w:val="01372C"/>
                <w:kern w:val="0"/>
                <w:lang w:eastAsia="es-CO"/>
                <w14:ligatures w14:val="none"/>
              </w:rPr>
              <w:lastRenderedPageBreak/>
              <w:t>Sí, sesión extendida de 3 horas. Panel y sustentación final.</w:t>
            </w:r>
          </w:p>
        </w:tc>
      </w:tr>
    </w:tbl>
    <w:p w14:paraId="005E9B00" w14:textId="77777777" w:rsidR="00FD52D7" w:rsidRDefault="00FD52D7" w:rsidP="00FD52D7"/>
    <w:p w14:paraId="486CF3B7" w14:textId="77777777" w:rsidR="00FD52D7" w:rsidRDefault="00FD52D7" w:rsidP="00FD52D7">
      <w:pPr>
        <w:pStyle w:val="Ttulo1"/>
      </w:pPr>
      <w:r w:rsidRPr="00FD52D7">
        <w:t>4. Evaluación</w:t>
      </w:r>
    </w:p>
    <w:p w14:paraId="16CE8D79" w14:textId="77777777" w:rsidR="00FD52D7" w:rsidRDefault="00FD52D7" w:rsidP="00FD52D7">
      <w:r>
        <w:t>La evaluación es continua y se organiza como un sistema de evidencias vinculado con los RAC. No hay examen parcial. Las actividades formativas, tales como foros, preguntas de discusión, ejercicios en vivo, prácticas breves y comprobaciones de lectura, no tienen calificación independiente. La evaluación conceptual se concentra en tres Quiz de bloque, individuales y de selección múltiple; la evaluación aplicada se articula a los laboratorios y al proyecto integrador, que culmina en un informe de consultoría sistémica y su sustentación ante panel.</w:t>
      </w:r>
    </w:p>
    <w:tbl>
      <w:tblPr>
        <w:tblStyle w:val="Tablaconcuadrcula4-nfasis1"/>
        <w:tblW w:w="9960" w:type="dxa"/>
        <w:tblLook w:val="04A0" w:firstRow="1" w:lastRow="0" w:firstColumn="1" w:lastColumn="0" w:noHBand="0" w:noVBand="1"/>
      </w:tblPr>
      <w:tblGrid>
        <w:gridCol w:w="2745"/>
        <w:gridCol w:w="2385"/>
        <w:gridCol w:w="2460"/>
        <w:gridCol w:w="2370"/>
      </w:tblGrid>
      <w:tr w:rsidR="00FD52D7" w:rsidRPr="00FD52D7" w14:paraId="272D8AA3" w14:textId="77777777" w:rsidTr="00B308A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349C199E" w14:textId="77777777" w:rsidR="00FD52D7" w:rsidRPr="00FD52D7" w:rsidRDefault="00FD52D7" w:rsidP="001A4EDA">
            <w:pPr>
              <w:jc w:val="center"/>
              <w:textAlignment w:val="baseline"/>
              <w:rPr>
                <w:rStyle w:val="Fuerte"/>
                <w:b/>
                <w:bCs/>
              </w:rPr>
            </w:pPr>
            <w:r w:rsidRPr="00FD52D7">
              <w:rPr>
                <w:rStyle w:val="Fuerte"/>
                <w:b/>
                <w:bCs/>
              </w:rPr>
              <w:t>Actividades de evaluación</w:t>
            </w:r>
          </w:p>
        </w:tc>
        <w:tc>
          <w:tcPr>
            <w:tcW w:w="2385" w:type="dxa"/>
            <w:vAlign w:val="center"/>
            <w:hideMark/>
          </w:tcPr>
          <w:p w14:paraId="638F824F" w14:textId="77777777" w:rsidR="00FD52D7" w:rsidRPr="00FD52D7" w:rsidRDefault="00FD52D7" w:rsidP="001A4EDA">
            <w:pPr>
              <w:jc w:val="center"/>
              <w:textAlignment w:val="baseline"/>
              <w:cnfStyle w:val="100000000000" w:firstRow="1" w:lastRow="0" w:firstColumn="0" w:lastColumn="0" w:oddVBand="0" w:evenVBand="0" w:oddHBand="0" w:evenHBand="0" w:firstRowFirstColumn="0" w:firstRowLastColumn="0" w:lastRowFirstColumn="0" w:lastRowLastColumn="0"/>
              <w:rPr>
                <w:rStyle w:val="Fuerte"/>
                <w:b/>
                <w:bCs/>
              </w:rPr>
            </w:pPr>
            <w:r w:rsidRPr="00FD52D7">
              <w:rPr>
                <w:rStyle w:val="Fuerte"/>
                <w:b/>
                <w:bCs/>
              </w:rPr>
              <w:t>Tipo de entrega</w:t>
            </w:r>
          </w:p>
        </w:tc>
        <w:tc>
          <w:tcPr>
            <w:tcW w:w="2460" w:type="dxa"/>
            <w:vAlign w:val="center"/>
            <w:hideMark/>
          </w:tcPr>
          <w:p w14:paraId="13870E95" w14:textId="77777777" w:rsidR="00FD52D7" w:rsidRPr="00FD52D7" w:rsidRDefault="00FD52D7" w:rsidP="001A4EDA">
            <w:pPr>
              <w:jc w:val="center"/>
              <w:textAlignment w:val="baseline"/>
              <w:cnfStyle w:val="100000000000" w:firstRow="1" w:lastRow="0" w:firstColumn="0" w:lastColumn="0" w:oddVBand="0" w:evenVBand="0" w:oddHBand="0" w:evenHBand="0" w:firstRowFirstColumn="0" w:firstRowLastColumn="0" w:lastRowFirstColumn="0" w:lastRowLastColumn="0"/>
              <w:rPr>
                <w:rStyle w:val="Fuerte"/>
                <w:b/>
                <w:bCs/>
              </w:rPr>
            </w:pPr>
            <w:r w:rsidRPr="00FD52D7">
              <w:rPr>
                <w:rStyle w:val="Fuerte"/>
                <w:b/>
                <w:bCs/>
              </w:rPr>
              <w:t>Porcentaje</w:t>
            </w:r>
          </w:p>
        </w:tc>
        <w:tc>
          <w:tcPr>
            <w:tcW w:w="2370" w:type="dxa"/>
            <w:vAlign w:val="center"/>
            <w:hideMark/>
          </w:tcPr>
          <w:p w14:paraId="3F472399" w14:textId="77777777" w:rsidR="00FD52D7" w:rsidRPr="00FD52D7" w:rsidRDefault="00FD52D7" w:rsidP="001A4EDA">
            <w:pPr>
              <w:jc w:val="center"/>
              <w:textAlignment w:val="baseline"/>
              <w:cnfStyle w:val="100000000000" w:firstRow="1" w:lastRow="0" w:firstColumn="0" w:lastColumn="0" w:oddVBand="0" w:evenVBand="0" w:oddHBand="0" w:evenHBand="0" w:firstRowFirstColumn="0" w:firstRowLastColumn="0" w:lastRowFirstColumn="0" w:lastRowLastColumn="0"/>
              <w:rPr>
                <w:rStyle w:val="Fuerte"/>
                <w:b/>
                <w:bCs/>
              </w:rPr>
            </w:pPr>
            <w:r w:rsidRPr="00FD52D7">
              <w:rPr>
                <w:rStyle w:val="Fuerte"/>
                <w:b/>
                <w:bCs/>
              </w:rPr>
              <w:t>Momento o bloque</w:t>
            </w:r>
          </w:p>
        </w:tc>
      </w:tr>
      <w:tr w:rsidR="00FD52D7" w:rsidRPr="00B448F0" w14:paraId="7DD5E8BD" w14:textId="77777777" w:rsidTr="00B30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192C51D4" w14:textId="77777777" w:rsidR="00FD52D7" w:rsidRPr="00B448F0" w:rsidRDefault="00FD52D7" w:rsidP="001A4EDA">
            <w:pPr>
              <w:textAlignment w:val="baseline"/>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Tres Quiz de bloque</w:t>
            </w:r>
          </w:p>
        </w:tc>
        <w:tc>
          <w:tcPr>
            <w:tcW w:w="2385" w:type="dxa"/>
            <w:vAlign w:val="center"/>
            <w:hideMark/>
          </w:tcPr>
          <w:p w14:paraId="544BF7D9"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Individual, sumativa</w:t>
            </w:r>
          </w:p>
        </w:tc>
        <w:tc>
          <w:tcPr>
            <w:tcW w:w="2460" w:type="dxa"/>
            <w:vAlign w:val="center"/>
            <w:hideMark/>
          </w:tcPr>
          <w:p w14:paraId="017024C4"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20%</w:t>
            </w:r>
          </w:p>
        </w:tc>
        <w:tc>
          <w:tcPr>
            <w:tcW w:w="2370" w:type="dxa"/>
            <w:vAlign w:val="center"/>
            <w:hideMark/>
          </w:tcPr>
          <w:p w14:paraId="463F1A04"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Bloques 1, 2 y 3</w:t>
            </w:r>
          </w:p>
        </w:tc>
      </w:tr>
      <w:tr w:rsidR="00FD52D7" w:rsidRPr="00B448F0" w14:paraId="508B5CCB" w14:textId="77777777" w:rsidTr="00B308A9">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124E8570" w14:textId="77777777" w:rsidR="00FD52D7" w:rsidRPr="00B448F0" w:rsidRDefault="00FD52D7" w:rsidP="001A4EDA">
            <w:pPr>
              <w:ind w:left="705"/>
              <w:textAlignment w:val="baseline"/>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Laboratorios aplicados en Python/Jupyter (4)</w:t>
            </w:r>
          </w:p>
        </w:tc>
        <w:tc>
          <w:tcPr>
            <w:tcW w:w="2385" w:type="dxa"/>
            <w:vAlign w:val="center"/>
            <w:hideMark/>
          </w:tcPr>
          <w:p w14:paraId="6961C704"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Individual / grupal, sumativa</w:t>
            </w:r>
          </w:p>
        </w:tc>
        <w:tc>
          <w:tcPr>
            <w:tcW w:w="2460" w:type="dxa"/>
            <w:vAlign w:val="center"/>
            <w:hideMark/>
          </w:tcPr>
          <w:p w14:paraId="671CE088"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25%</w:t>
            </w:r>
          </w:p>
        </w:tc>
        <w:tc>
          <w:tcPr>
            <w:tcW w:w="2370" w:type="dxa"/>
            <w:vAlign w:val="center"/>
            <w:hideMark/>
          </w:tcPr>
          <w:p w14:paraId="59DEB9D1"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Semanas 2-5</w:t>
            </w:r>
          </w:p>
        </w:tc>
      </w:tr>
      <w:tr w:rsidR="00FD52D7" w:rsidRPr="00B448F0" w14:paraId="5580A06A" w14:textId="77777777" w:rsidTr="00B30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0D73B7BC" w14:textId="77777777" w:rsidR="00FD52D7" w:rsidRPr="00B448F0" w:rsidRDefault="00FD52D7" w:rsidP="001A4EDA">
            <w:pPr>
              <w:ind w:left="705"/>
              <w:textAlignment w:val="baseline"/>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Presentaciones y defensa oral de avances</w:t>
            </w:r>
          </w:p>
        </w:tc>
        <w:tc>
          <w:tcPr>
            <w:tcW w:w="2385" w:type="dxa"/>
            <w:vAlign w:val="center"/>
            <w:hideMark/>
          </w:tcPr>
          <w:p w14:paraId="2B5C4E90"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Grupal, sumativa</w:t>
            </w:r>
          </w:p>
        </w:tc>
        <w:tc>
          <w:tcPr>
            <w:tcW w:w="2460" w:type="dxa"/>
            <w:vAlign w:val="center"/>
            <w:hideMark/>
          </w:tcPr>
          <w:p w14:paraId="0F3EA4AF"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10%</w:t>
            </w:r>
          </w:p>
        </w:tc>
        <w:tc>
          <w:tcPr>
            <w:tcW w:w="2370" w:type="dxa"/>
            <w:vAlign w:val="center"/>
            <w:hideMark/>
          </w:tcPr>
          <w:p w14:paraId="71409427"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Semanas 3, 5 y 7</w:t>
            </w:r>
          </w:p>
        </w:tc>
      </w:tr>
      <w:tr w:rsidR="00FD52D7" w:rsidRPr="00B448F0" w14:paraId="2C07716C" w14:textId="77777777" w:rsidTr="00B308A9">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4296F346" w14:textId="77777777" w:rsidR="00FD52D7" w:rsidRPr="00B448F0" w:rsidRDefault="00FD52D7" w:rsidP="001A4EDA">
            <w:pPr>
              <w:ind w:left="705"/>
              <w:textAlignment w:val="baseline"/>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Proyecto integrador: Avances 1, 2 y 3</w:t>
            </w:r>
          </w:p>
        </w:tc>
        <w:tc>
          <w:tcPr>
            <w:tcW w:w="2385" w:type="dxa"/>
            <w:vAlign w:val="center"/>
            <w:hideMark/>
          </w:tcPr>
          <w:p w14:paraId="33FFAC6E"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Grupal, sumativa</w:t>
            </w:r>
          </w:p>
        </w:tc>
        <w:tc>
          <w:tcPr>
            <w:tcW w:w="2460" w:type="dxa"/>
            <w:vAlign w:val="center"/>
            <w:hideMark/>
          </w:tcPr>
          <w:p w14:paraId="7286D64B"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15% (5% cada avance)</w:t>
            </w:r>
          </w:p>
        </w:tc>
        <w:tc>
          <w:tcPr>
            <w:tcW w:w="2370" w:type="dxa"/>
            <w:vAlign w:val="center"/>
            <w:hideMark/>
          </w:tcPr>
          <w:p w14:paraId="39D7EF63"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Semanas 3, 5 y 7</w:t>
            </w:r>
          </w:p>
        </w:tc>
      </w:tr>
      <w:tr w:rsidR="00FD52D7" w:rsidRPr="00B448F0" w14:paraId="3DB6B36C" w14:textId="77777777" w:rsidTr="00B30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34970883" w14:textId="77777777" w:rsidR="00FD52D7" w:rsidRPr="00B448F0" w:rsidRDefault="00FD52D7" w:rsidP="001A4EDA">
            <w:pPr>
              <w:textAlignment w:val="baseline"/>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Proyecto integrador: informe final de consultoría sistémica</w:t>
            </w:r>
          </w:p>
        </w:tc>
        <w:tc>
          <w:tcPr>
            <w:tcW w:w="2385" w:type="dxa"/>
            <w:vAlign w:val="center"/>
            <w:hideMark/>
          </w:tcPr>
          <w:p w14:paraId="212E5FFC"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Grupal, sumativa</w:t>
            </w:r>
          </w:p>
        </w:tc>
        <w:tc>
          <w:tcPr>
            <w:tcW w:w="2460" w:type="dxa"/>
            <w:vAlign w:val="center"/>
            <w:hideMark/>
          </w:tcPr>
          <w:p w14:paraId="0B250A96"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25%</w:t>
            </w:r>
          </w:p>
        </w:tc>
        <w:tc>
          <w:tcPr>
            <w:tcW w:w="2370" w:type="dxa"/>
            <w:vAlign w:val="center"/>
            <w:hideMark/>
          </w:tcPr>
          <w:p w14:paraId="2713CD46"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Semana 8</w:t>
            </w:r>
          </w:p>
        </w:tc>
      </w:tr>
      <w:tr w:rsidR="00FD52D7" w:rsidRPr="00B448F0" w14:paraId="72A8D1E7" w14:textId="77777777" w:rsidTr="00B308A9">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250E0A88" w14:textId="77777777" w:rsidR="00FD52D7" w:rsidRPr="00B448F0" w:rsidRDefault="00FD52D7" w:rsidP="001A4EDA">
            <w:pPr>
              <w:textAlignment w:val="baseline"/>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Proyecto integrador: presentación oral ante panel</w:t>
            </w:r>
          </w:p>
        </w:tc>
        <w:tc>
          <w:tcPr>
            <w:tcW w:w="2385" w:type="dxa"/>
            <w:vAlign w:val="center"/>
            <w:hideMark/>
          </w:tcPr>
          <w:p w14:paraId="26B6C425"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Grupal, sumativa</w:t>
            </w:r>
          </w:p>
        </w:tc>
        <w:tc>
          <w:tcPr>
            <w:tcW w:w="2460" w:type="dxa"/>
            <w:vAlign w:val="center"/>
            <w:hideMark/>
          </w:tcPr>
          <w:p w14:paraId="4C8F96E2"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5%</w:t>
            </w:r>
          </w:p>
        </w:tc>
        <w:tc>
          <w:tcPr>
            <w:tcW w:w="2370" w:type="dxa"/>
            <w:vAlign w:val="center"/>
            <w:hideMark/>
          </w:tcPr>
          <w:p w14:paraId="3B9C34F8"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Semana 8</w:t>
            </w:r>
          </w:p>
        </w:tc>
      </w:tr>
      <w:tr w:rsidR="00FD52D7" w:rsidRPr="00B448F0" w14:paraId="3C0F5AC6" w14:textId="77777777" w:rsidTr="00B30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51897384" w14:textId="77777777" w:rsidR="00FD52D7" w:rsidRPr="00B448F0" w:rsidRDefault="00FD52D7" w:rsidP="001A4EDA">
            <w:pPr>
              <w:textAlignment w:val="baseline"/>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Reflexión individual final</w:t>
            </w:r>
          </w:p>
        </w:tc>
        <w:tc>
          <w:tcPr>
            <w:tcW w:w="2385" w:type="dxa"/>
            <w:vAlign w:val="center"/>
            <w:hideMark/>
          </w:tcPr>
          <w:p w14:paraId="21217EAC"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Individual, formativa</w:t>
            </w:r>
          </w:p>
        </w:tc>
        <w:tc>
          <w:tcPr>
            <w:tcW w:w="2460" w:type="dxa"/>
            <w:vAlign w:val="center"/>
            <w:hideMark/>
          </w:tcPr>
          <w:p w14:paraId="1D055FA8"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0%</w:t>
            </w:r>
          </w:p>
        </w:tc>
        <w:tc>
          <w:tcPr>
            <w:tcW w:w="2370" w:type="dxa"/>
            <w:vAlign w:val="center"/>
            <w:hideMark/>
          </w:tcPr>
          <w:p w14:paraId="72337B55" w14:textId="77777777" w:rsidR="00FD52D7" w:rsidRPr="00B448F0" w:rsidRDefault="00FD52D7" w:rsidP="001A4EDA">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Semana 8</w:t>
            </w:r>
          </w:p>
        </w:tc>
      </w:tr>
      <w:tr w:rsidR="00FD52D7" w:rsidRPr="00B448F0" w14:paraId="4204F0EE" w14:textId="77777777" w:rsidTr="00B308A9">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341A312D" w14:textId="77777777" w:rsidR="00FD52D7" w:rsidRPr="00B448F0" w:rsidRDefault="00FD52D7" w:rsidP="001A4EDA">
            <w:pPr>
              <w:textAlignment w:val="baseline"/>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TOTAL</w:t>
            </w:r>
          </w:p>
        </w:tc>
        <w:tc>
          <w:tcPr>
            <w:tcW w:w="2385" w:type="dxa"/>
            <w:vAlign w:val="center"/>
            <w:hideMark/>
          </w:tcPr>
          <w:p w14:paraId="6BDD5D9E"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p>
        </w:tc>
        <w:tc>
          <w:tcPr>
            <w:tcW w:w="2460" w:type="dxa"/>
            <w:vAlign w:val="center"/>
            <w:hideMark/>
          </w:tcPr>
          <w:p w14:paraId="265D612C"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r w:rsidRPr="00B448F0">
              <w:rPr>
                <w:rFonts w:eastAsia="Times New Roman" w:cs="Segoe UI"/>
                <w:color w:val="01372C"/>
                <w:kern w:val="0"/>
                <w:lang w:eastAsia="es-CO"/>
                <w14:ligatures w14:val="none"/>
              </w:rPr>
              <w:t>100%</w:t>
            </w:r>
          </w:p>
        </w:tc>
        <w:tc>
          <w:tcPr>
            <w:tcW w:w="2370" w:type="dxa"/>
            <w:vAlign w:val="center"/>
            <w:hideMark/>
          </w:tcPr>
          <w:p w14:paraId="6765A8AD" w14:textId="77777777" w:rsidR="00FD52D7" w:rsidRPr="00B448F0" w:rsidRDefault="00FD52D7" w:rsidP="001A4EDA">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1382D"/>
                <w:kern w:val="0"/>
                <w:sz w:val="18"/>
                <w:szCs w:val="18"/>
                <w:lang w:eastAsia="es-CO"/>
                <w14:ligatures w14:val="none"/>
              </w:rPr>
            </w:pPr>
          </w:p>
        </w:tc>
      </w:tr>
    </w:tbl>
    <w:p w14:paraId="529BAC82" w14:textId="77777777" w:rsidR="00FD52D7" w:rsidRDefault="00FD52D7" w:rsidP="00FD52D7"/>
    <w:p w14:paraId="3935CD18" w14:textId="77777777" w:rsidR="00FD52D7" w:rsidRDefault="00FD52D7" w:rsidP="00FD52D7"/>
    <w:p w14:paraId="6009F1B3" w14:textId="77777777" w:rsidR="00FD52D7" w:rsidRPr="002F1761" w:rsidRDefault="00FD52D7" w:rsidP="00FD52D7">
      <w:pPr>
        <w:pStyle w:val="Prrafodelista"/>
        <w:numPr>
          <w:ilvl w:val="0"/>
          <w:numId w:val="10"/>
        </w:numPr>
        <w:rPr>
          <w:rStyle w:val="eop"/>
        </w:rPr>
      </w:pPr>
      <w:r w:rsidRPr="00B448F0">
        <w:rPr>
          <w:rStyle w:val="normaltextrun"/>
          <w:color w:val="01372C"/>
          <w:shd w:val="clear" w:color="auto" w:fill="FFFFFF"/>
        </w:rPr>
        <w:t>Política de entregas tardías. Los avances del proyecto, los laboratorios y los Quiz de bloque se reciben hasta las 23:59 del día definido en el cronograma. Por cada día calendario de retraso se descontará 10% sobre la nota máxima del entregable; después de tres días calendario, la entrega no será aceptada y se calificará con 0.0. Las solicitudes de extensión deberán sustentarse por correo al profesor con al menos 48 horas de anticipación y solo se considerarán en circunstancias excepcionales verificables.</w:t>
      </w:r>
    </w:p>
    <w:p w14:paraId="788A5403" w14:textId="77777777" w:rsidR="002F1761" w:rsidRDefault="002F1761" w:rsidP="002F1761">
      <w:pPr>
        <w:rPr>
          <w:rStyle w:val="eop"/>
        </w:rPr>
      </w:pPr>
    </w:p>
    <w:p w14:paraId="6DC5FE2F" w14:textId="77777777" w:rsidR="002F1761" w:rsidRDefault="002F1761" w:rsidP="002F1761">
      <w:pPr>
        <w:pStyle w:val="Ttulo1"/>
      </w:pPr>
      <w:r w:rsidRPr="00B448F0">
        <w:lastRenderedPageBreak/>
        <w:t>5.</w:t>
      </w:r>
      <w:r>
        <w:t xml:space="preserve"> Asistencia a clases</w:t>
      </w:r>
    </w:p>
    <w:p w14:paraId="5FB53E18" w14:textId="77777777" w:rsidR="002F1761" w:rsidRDefault="002F1761" w:rsidP="002F1761">
      <w:pPr>
        <w:rPr>
          <w:rStyle w:val="eop"/>
        </w:rPr>
      </w:pPr>
    </w:p>
    <w:p w14:paraId="471C03A6" w14:textId="77777777" w:rsidR="002F1761" w:rsidRPr="008472D1" w:rsidRDefault="002F1761" w:rsidP="002F1761">
      <w:pPr>
        <w:jc w:val="both"/>
        <w:rPr>
          <w:rFonts w:eastAsia="Calibri" w:cs="Times New Roman"/>
          <w:color w:val="01382D"/>
        </w:rPr>
      </w:pPr>
      <w:r w:rsidRPr="008472D1">
        <w:rPr>
          <w:rFonts w:eastAsia="Calibri" w:cs="Times New Roman"/>
          <w:color w:val="01382D"/>
        </w:rPr>
        <w:t xml:space="preserve">La asistencia a las sesiones sincrónicas es obligatoria. De conformidad con el Reglamento General de Estudiantes de Maestría de la Universidad de los Andes, el profesor define si lleva control de asistencia y establece las consecuencias académicas en caso de que la inasistencia supere el veinte por ciento (20%). </w:t>
      </w:r>
    </w:p>
    <w:p w14:paraId="18C4C47C" w14:textId="77777777" w:rsidR="002F1761" w:rsidRDefault="002F1761" w:rsidP="002F1761">
      <w:pPr>
        <w:rPr>
          <w:rFonts w:eastAsia="Calibri" w:cs="Times New Roman"/>
          <w:color w:val="01382D"/>
        </w:rPr>
      </w:pPr>
      <w:r w:rsidRPr="4AF799B6">
        <w:rPr>
          <w:rFonts w:eastAsia="Calibri" w:cs="Times New Roman"/>
          <w:color w:val="01382D"/>
        </w:rPr>
        <w:t>En caso de no asistir a una sesión sincrónica, el estudiante deberá justificar su ausencia dentro de los tres (3) días calendario siguientes a la sesión. Se recomienda informar por correo al profesor la razón de la ausencia dentro de las 24 horas siguientes a la fecha de la actividad académica.</w:t>
      </w:r>
    </w:p>
    <w:p w14:paraId="4FB27FF8" w14:textId="77777777" w:rsidR="002F1761" w:rsidRDefault="002F1761" w:rsidP="002F1761">
      <w:pPr>
        <w:rPr>
          <w:rStyle w:val="eop"/>
        </w:rPr>
      </w:pPr>
    </w:p>
    <w:p w14:paraId="0DE42C68" w14:textId="77777777" w:rsidR="002F1761" w:rsidRDefault="002F1761" w:rsidP="002F1761">
      <w:pPr>
        <w:pStyle w:val="Ttulo1"/>
      </w:pPr>
      <w:r>
        <w:t>6</w:t>
      </w:r>
      <w:r w:rsidRPr="00B448F0">
        <w:t>.</w:t>
      </w:r>
      <w:r>
        <w:t xml:space="preserve"> Solicitud de supletorios</w:t>
      </w:r>
    </w:p>
    <w:p w14:paraId="0588470F" w14:textId="77777777" w:rsidR="002F1761" w:rsidRPr="008472D1" w:rsidRDefault="002F1761" w:rsidP="002F1761">
      <w:pPr>
        <w:jc w:val="both"/>
        <w:rPr>
          <w:rFonts w:eastAsia="Calibri" w:cs="Times New Roman"/>
          <w:color w:val="01382D"/>
        </w:rPr>
      </w:pPr>
      <w:r w:rsidRPr="23E9739E">
        <w:rPr>
          <w:rFonts w:eastAsia="Calibri" w:cs="Times New Roman"/>
          <w:color w:val="01382D"/>
        </w:rPr>
        <w:t>En caso de no asistir a una actividad evaluativa, el estudiante deberá presentar una justificación debidamente sustentada ante el profesor dentro de los tres (3) días calendario siguientes a la fecha de la evaluación para solicitar la realización de la actividad en otro momento, conforme al Reglamento General de Estudiantes de Maestría. Se recomienda informar por correo al profesor la razón de la ausencia dentro de las 24 horas siguientes a la fecha de la actividad académica.</w:t>
      </w:r>
    </w:p>
    <w:p w14:paraId="581AC38B" w14:textId="77777777" w:rsidR="002F1761" w:rsidRPr="008472D1" w:rsidRDefault="002F1761" w:rsidP="002F1761">
      <w:pPr>
        <w:jc w:val="both"/>
        <w:rPr>
          <w:rFonts w:eastAsia="Calibri" w:cs="Times New Roman"/>
          <w:color w:val="01382D"/>
        </w:rPr>
      </w:pPr>
      <w:r w:rsidRPr="008472D1">
        <w:rPr>
          <w:rFonts w:eastAsia="Calibri" w:cs="Times New Roman"/>
          <w:color w:val="01382D"/>
        </w:rPr>
        <w:t>El profesor evaluará la justificación presentada y, en caso de considerarla válida, definirá la forma, fecha y condiciones de la actividad supletoria, la cual deberá realizarse dentro de las dos semanas siguientes a la aceptación de la justificación presentada. Las solicitudes deberán sustentarse en circunstancias excepcionales y verificables. La no presentación de la justificación en los tiempos establecidos, o su no aprobación, podrá dar lugar a la asignación de la calificación cero (0) en la actividad correspondiente.</w:t>
      </w:r>
    </w:p>
    <w:p w14:paraId="15CC9513" w14:textId="77777777" w:rsidR="002F1761" w:rsidRPr="00B448F0" w:rsidRDefault="002F1761" w:rsidP="002F1761">
      <w:pPr>
        <w:rPr>
          <w:rStyle w:val="eop"/>
        </w:rPr>
      </w:pPr>
    </w:p>
    <w:p w14:paraId="647FAAC1" w14:textId="77777777" w:rsidR="00FD52D7" w:rsidRDefault="002F1761" w:rsidP="00FD52D7">
      <w:pPr>
        <w:pStyle w:val="Ttulo1"/>
      </w:pPr>
      <w:r>
        <w:t>7</w:t>
      </w:r>
      <w:r w:rsidR="00FD52D7" w:rsidRPr="00B448F0">
        <w:t>.</w:t>
      </w:r>
      <w:r>
        <w:t xml:space="preserve"> </w:t>
      </w:r>
      <w:r w:rsidR="00FD52D7" w:rsidRPr="00B448F0">
        <w:t>Bibliografía</w:t>
      </w:r>
    </w:p>
    <w:p w14:paraId="10C69871" w14:textId="77777777" w:rsidR="00FD52D7" w:rsidRPr="007355CF" w:rsidRDefault="00FD52D7" w:rsidP="00FD52D7">
      <w:pPr>
        <w:rPr>
          <w:b/>
          <w:bCs/>
        </w:rPr>
      </w:pPr>
      <w:r w:rsidRPr="007355CF">
        <w:rPr>
          <w:b/>
          <w:bCs/>
        </w:rPr>
        <w:t>Referencias bibliográficas</w:t>
      </w:r>
    </w:p>
    <w:p w14:paraId="3DD58E15" w14:textId="77777777" w:rsidR="002D794A" w:rsidRPr="00B308A9" w:rsidRDefault="00000000">
      <w:pPr>
        <w:spacing w:after="0" w:line="240" w:lineRule="auto"/>
        <w:rPr>
          <w:lang w:val="en-US"/>
        </w:rPr>
      </w:pPr>
      <w:r w:rsidRPr="00DD352E">
        <w:t xml:space="preserve">Albert, R., Albert, I., &amp; Nakarado, G. L. (2004). </w:t>
      </w:r>
      <w:r w:rsidRPr="00B308A9">
        <w:rPr>
          <w:lang w:val="en-US"/>
        </w:rPr>
        <w:t>Structural vulnerability of the North American power grid. Physical Review E, 69, 025103.</w:t>
      </w:r>
    </w:p>
    <w:p w14:paraId="44B88150" w14:textId="77777777" w:rsidR="002D794A" w:rsidRPr="00B308A9" w:rsidRDefault="00000000">
      <w:pPr>
        <w:spacing w:after="0" w:line="240" w:lineRule="auto"/>
        <w:rPr>
          <w:lang w:val="en-US"/>
        </w:rPr>
      </w:pPr>
      <w:r w:rsidRPr="00B308A9">
        <w:rPr>
          <w:lang w:val="en-US"/>
        </w:rPr>
        <w:t>Arango, S., &amp; Larsen, E. R. (2011). Cycles in deregulated electricity markets: Empirical evidence from two decades. Energy Policy, 39(5), 2457-2466.</w:t>
      </w:r>
    </w:p>
    <w:p w14:paraId="7545B10D" w14:textId="77777777" w:rsidR="002D794A" w:rsidRPr="00B308A9" w:rsidRDefault="00000000">
      <w:pPr>
        <w:spacing w:after="0" w:line="240" w:lineRule="auto"/>
        <w:rPr>
          <w:lang w:val="en-US"/>
        </w:rPr>
      </w:pPr>
      <w:r w:rsidRPr="00B308A9">
        <w:rPr>
          <w:lang w:val="en-US"/>
        </w:rPr>
        <w:t>Barabási, A.-L. (2016). Network science. Cambridge University Press.</w:t>
      </w:r>
    </w:p>
    <w:p w14:paraId="0DA63B82" w14:textId="77777777" w:rsidR="002D794A" w:rsidRPr="00B308A9" w:rsidRDefault="00000000">
      <w:pPr>
        <w:spacing w:after="0" w:line="240" w:lineRule="auto"/>
        <w:rPr>
          <w:lang w:val="en-US"/>
        </w:rPr>
      </w:pPr>
      <w:r w:rsidRPr="00B308A9">
        <w:rPr>
          <w:lang w:val="en-US"/>
        </w:rPr>
        <w:t>Bass, F. M. (1969). A new product growth for model consumer durables. Management Science, 15(5), 215-227.</w:t>
      </w:r>
    </w:p>
    <w:p w14:paraId="3D45A066" w14:textId="77777777" w:rsidR="002D794A" w:rsidRPr="00B308A9" w:rsidRDefault="00000000">
      <w:pPr>
        <w:spacing w:after="0" w:line="240" w:lineRule="auto"/>
        <w:rPr>
          <w:lang w:val="en-US"/>
        </w:rPr>
      </w:pPr>
      <w:r w:rsidRPr="00B308A9">
        <w:rPr>
          <w:lang w:val="en-US"/>
        </w:rPr>
        <w:t>Carreras, B. A., Lynch, V. E., Dobson, I., &amp; Newman, D. E. (2004). Complex dynamics of blackouts in power transmission systems. Chaos, 14(3), 643-652.</w:t>
      </w:r>
    </w:p>
    <w:p w14:paraId="33274F68" w14:textId="77777777" w:rsidR="002D794A" w:rsidRDefault="00000000">
      <w:pPr>
        <w:spacing w:after="0" w:line="240" w:lineRule="auto"/>
      </w:pPr>
      <w:r w:rsidRPr="00B308A9">
        <w:rPr>
          <w:lang w:val="en-US"/>
        </w:rPr>
        <w:t xml:space="preserve">Centola, D., &amp; Macy, M. (2007). Complex contagions and the weakness of long ties. </w:t>
      </w:r>
      <w:r>
        <w:t>American Journal of Sociology, 113(3), 702-734.</w:t>
      </w:r>
    </w:p>
    <w:p w14:paraId="061E2745" w14:textId="77777777" w:rsidR="002D794A" w:rsidRDefault="00000000">
      <w:pPr>
        <w:spacing w:after="0" w:line="240" w:lineRule="auto"/>
      </w:pPr>
      <w:r>
        <w:lastRenderedPageBreak/>
        <w:t>Comisión de Regulación de Energía y Gas. (2006). Resolución CREG 071 de 2006: Metodología para la remuneración del Cargo por Confiabilidad.</w:t>
      </w:r>
    </w:p>
    <w:p w14:paraId="4DD5376A" w14:textId="77777777" w:rsidR="002D794A" w:rsidRDefault="00000000">
      <w:pPr>
        <w:spacing w:after="0" w:line="240" w:lineRule="auto"/>
      </w:pPr>
      <w:r>
        <w:t>Contraloría General de la República. (s. f.). Evaluación de proyectos FNCER en La Guajira.</w:t>
      </w:r>
    </w:p>
    <w:p w14:paraId="07BBC3F0" w14:textId="77777777" w:rsidR="002D794A" w:rsidRPr="00B308A9" w:rsidRDefault="00000000">
      <w:pPr>
        <w:spacing w:after="0" w:line="240" w:lineRule="auto"/>
        <w:rPr>
          <w:lang w:val="en-US"/>
        </w:rPr>
      </w:pPr>
      <w:r w:rsidRPr="00B308A9">
        <w:rPr>
          <w:lang w:val="en-US"/>
        </w:rPr>
        <w:t>Farmer, J. D., et al. (2019). Sensitive intervention points in the post-carbon transition. Science, 364(6436), 132-134.</w:t>
      </w:r>
    </w:p>
    <w:p w14:paraId="49588D47" w14:textId="77777777" w:rsidR="002D794A" w:rsidRPr="00B308A9" w:rsidRDefault="00000000">
      <w:pPr>
        <w:spacing w:after="0" w:line="240" w:lineRule="auto"/>
        <w:rPr>
          <w:lang w:val="en-US"/>
        </w:rPr>
      </w:pPr>
      <w:r w:rsidRPr="00B308A9">
        <w:rPr>
          <w:lang w:val="en-US"/>
        </w:rPr>
        <w:t>Forrester, J. W. (1961). Industrial dynamics. MIT Press.</w:t>
      </w:r>
    </w:p>
    <w:p w14:paraId="6530B462" w14:textId="77777777" w:rsidR="002D794A" w:rsidRDefault="00000000">
      <w:pPr>
        <w:spacing w:after="0" w:line="240" w:lineRule="auto"/>
      </w:pPr>
      <w:r w:rsidRPr="00B308A9">
        <w:rPr>
          <w:lang w:val="en-US"/>
        </w:rPr>
        <w:t xml:space="preserve">Granovetter, M. (1978). Threshold models of collective behavior. </w:t>
      </w:r>
      <w:r>
        <w:t>American Journal of Sociology, 83(6), 1420-1443.</w:t>
      </w:r>
    </w:p>
    <w:p w14:paraId="1884FA68" w14:textId="77777777" w:rsidR="002D794A" w:rsidRDefault="00000000">
      <w:pPr>
        <w:spacing w:after="0" w:line="240" w:lineRule="auto"/>
      </w:pPr>
      <w:r>
        <w:t>Ley 2099 de 2021. Por medio de la cual se dictan disposiciones para la transición energética, la dinamización del mercado energético y la reactivación económica del país.</w:t>
      </w:r>
    </w:p>
    <w:p w14:paraId="40872359" w14:textId="77777777" w:rsidR="002D794A" w:rsidRPr="00B308A9" w:rsidRDefault="00000000">
      <w:pPr>
        <w:spacing w:after="0" w:line="240" w:lineRule="auto"/>
        <w:rPr>
          <w:lang w:val="en-US"/>
        </w:rPr>
      </w:pPr>
      <w:r w:rsidRPr="00B308A9">
        <w:rPr>
          <w:lang w:val="en-US"/>
        </w:rPr>
        <w:t>Marchau, V. A. W. J., Walker, W. E., Bloemen, P. J. T. M., &amp; Popper, S. W. (Eds.). (2019). Decision making under deep uncertainty: From theory to practice. Springer Open.</w:t>
      </w:r>
    </w:p>
    <w:p w14:paraId="1B63F6AF" w14:textId="77777777" w:rsidR="002D794A" w:rsidRPr="00B308A9" w:rsidRDefault="00000000">
      <w:pPr>
        <w:spacing w:after="0" w:line="240" w:lineRule="auto"/>
        <w:rPr>
          <w:lang w:val="en-US"/>
        </w:rPr>
      </w:pPr>
      <w:r w:rsidRPr="00B308A9">
        <w:rPr>
          <w:lang w:val="en-US"/>
        </w:rPr>
        <w:t>Meadows, D. H. (1999). Leverage points: Places to intervene in a system. The Sustainability Institute.</w:t>
      </w:r>
    </w:p>
    <w:p w14:paraId="64FB59E2" w14:textId="77777777" w:rsidR="002D794A" w:rsidRPr="00B308A9" w:rsidRDefault="00000000">
      <w:pPr>
        <w:spacing w:after="0" w:line="240" w:lineRule="auto"/>
        <w:rPr>
          <w:lang w:val="en-US"/>
        </w:rPr>
      </w:pPr>
      <w:r w:rsidRPr="00B308A9">
        <w:rPr>
          <w:lang w:val="en-US"/>
        </w:rPr>
        <w:t>Meadows, D. H. (2008). Thinking in systems: A primer. Chelsea Green Publishing.</w:t>
      </w:r>
    </w:p>
    <w:p w14:paraId="19B429CA" w14:textId="77777777" w:rsidR="002D794A" w:rsidRPr="00B308A9" w:rsidRDefault="00000000">
      <w:pPr>
        <w:spacing w:after="0" w:line="240" w:lineRule="auto"/>
        <w:rPr>
          <w:lang w:val="en-US"/>
        </w:rPr>
      </w:pPr>
      <w:r w:rsidRPr="00B308A9">
        <w:rPr>
          <w:lang w:val="en-US"/>
        </w:rPr>
        <w:t>Motter, A. E., &amp; Lai, Y.-C. (2002). Cascade-based attacks on complex networks. Physical Review E, 66, 065102.</w:t>
      </w:r>
    </w:p>
    <w:p w14:paraId="2FB3F96F" w14:textId="77777777" w:rsidR="002D794A" w:rsidRPr="00B308A9" w:rsidRDefault="00000000">
      <w:pPr>
        <w:spacing w:after="0" w:line="240" w:lineRule="auto"/>
        <w:rPr>
          <w:lang w:val="en-US"/>
        </w:rPr>
      </w:pPr>
      <w:r w:rsidRPr="00B308A9">
        <w:rPr>
          <w:lang w:val="en-US"/>
        </w:rPr>
        <w:t>Newman, M. E. J., &amp; Girvan, M. (2004). Finding and evaluating community structure in networks. Physical Review E, 69, 026113.</w:t>
      </w:r>
    </w:p>
    <w:p w14:paraId="2674E301" w14:textId="77777777" w:rsidR="002D794A" w:rsidRPr="00B308A9" w:rsidRDefault="00000000">
      <w:pPr>
        <w:spacing w:after="0" w:line="240" w:lineRule="auto"/>
        <w:rPr>
          <w:lang w:val="en-US"/>
        </w:rPr>
      </w:pPr>
      <w:r w:rsidRPr="00B308A9">
        <w:rPr>
          <w:lang w:val="en-US"/>
        </w:rPr>
        <w:t>Pagani, G. A., &amp; Aiello, M. (2013). The power grid as a complex network: A survey. Physica A, 392(11), 2688-2700.</w:t>
      </w:r>
    </w:p>
    <w:p w14:paraId="6D35625F" w14:textId="77777777" w:rsidR="002D794A" w:rsidRPr="00B308A9" w:rsidRDefault="00000000">
      <w:pPr>
        <w:spacing w:after="0" w:line="240" w:lineRule="auto"/>
        <w:rPr>
          <w:lang w:val="en-US"/>
        </w:rPr>
      </w:pPr>
      <w:r w:rsidRPr="00B308A9">
        <w:rPr>
          <w:lang w:val="en-US"/>
        </w:rPr>
        <w:t>Rogers, E. M. (2003). Diffusion of innovations (5th ed.). Free Press.</w:t>
      </w:r>
    </w:p>
    <w:p w14:paraId="340BBB84" w14:textId="77777777" w:rsidR="002D794A" w:rsidRPr="00B308A9" w:rsidRDefault="00000000">
      <w:pPr>
        <w:spacing w:after="0" w:line="240" w:lineRule="auto"/>
        <w:rPr>
          <w:lang w:val="en-US"/>
        </w:rPr>
      </w:pPr>
      <w:r w:rsidRPr="00B308A9">
        <w:rPr>
          <w:lang w:val="en-US"/>
        </w:rPr>
        <w:t>Sterman, J. D. (2000). Business dynamics: Systems thinking and modeling for a complex world. McGraw-Hill.</w:t>
      </w:r>
    </w:p>
    <w:p w14:paraId="41258B19" w14:textId="77777777" w:rsidR="002D794A" w:rsidRPr="00B308A9" w:rsidRDefault="00000000">
      <w:pPr>
        <w:spacing w:after="0" w:line="240" w:lineRule="auto"/>
        <w:rPr>
          <w:lang w:val="en-US"/>
        </w:rPr>
      </w:pPr>
      <w:r w:rsidRPr="00B308A9">
        <w:rPr>
          <w:lang w:val="en-US"/>
        </w:rPr>
        <w:t>Taleb, N. N. (2007). The black swan. Random House.</w:t>
      </w:r>
    </w:p>
    <w:p w14:paraId="5856173F" w14:textId="77777777" w:rsidR="002D794A" w:rsidRDefault="00000000">
      <w:pPr>
        <w:spacing w:after="0" w:line="240" w:lineRule="auto"/>
      </w:pPr>
      <w:r>
        <w:t>Unidad de Planeación Minero Energética. (2020). Plan Energético Nacional 2020-2050.</w:t>
      </w:r>
    </w:p>
    <w:p w14:paraId="79C6AB91" w14:textId="77777777" w:rsidR="002D794A" w:rsidRDefault="00000000">
      <w:pPr>
        <w:spacing w:after="0" w:line="240" w:lineRule="auto"/>
      </w:pPr>
      <w:r>
        <w:t>XM S. A. E. S. P. (2016). Informe de gestión de El Niño 2015-2016.</w:t>
      </w:r>
    </w:p>
    <w:p w14:paraId="55B0D827" w14:textId="77777777" w:rsidR="00BC3770" w:rsidRDefault="002F1761" w:rsidP="00BC3770">
      <w:pPr>
        <w:pStyle w:val="Ttulo1"/>
      </w:pPr>
      <w:r>
        <w:t>8</w:t>
      </w:r>
      <w:r w:rsidR="00FD52D7" w:rsidRPr="00FD52D7">
        <w:t>. Uso de Inteligencia Artificial</w:t>
      </w:r>
    </w:p>
    <w:p w14:paraId="7C614162" w14:textId="77777777" w:rsidR="00BC3770" w:rsidRPr="00BC3770" w:rsidRDefault="00BC3770" w:rsidP="00BC3770"/>
    <w:p w14:paraId="3A16380D" w14:textId="77777777" w:rsidR="00FD52D7" w:rsidRDefault="00FD52D7" w:rsidP="00FD52D7">
      <w:pPr>
        <w:pStyle w:val="paragraph"/>
        <w:spacing w:before="0" w:beforeAutospacing="0" w:after="0" w:afterAutospacing="0"/>
        <w:jc w:val="both"/>
        <w:textAlignment w:val="baseline"/>
        <w:rPr>
          <w:rStyle w:val="eop"/>
          <w:rFonts w:ascii="Bahnschrift" w:eastAsiaTheme="majorEastAsia" w:hAnsi="Bahnschrift" w:cs="Segoe UI"/>
          <w:color w:val="01372C"/>
          <w:sz w:val="22"/>
          <w:szCs w:val="22"/>
        </w:rPr>
      </w:pPr>
      <w:r>
        <w:rPr>
          <w:rStyle w:val="normaltextrun"/>
          <w:rFonts w:ascii="Bahnschrift" w:eastAsiaTheme="majorEastAsia" w:hAnsi="Bahnschrift" w:cs="Segoe UI"/>
          <w:color w:val="01372C"/>
          <w:sz w:val="22"/>
          <w:szCs w:val="22"/>
        </w:rPr>
        <w:t>En este curso está permitido el uso de herramientas de inteligencia artificial generativa siempre que los estudiantes sigan las siguientes buenas prácticas de uso: (</w:t>
      </w:r>
      <w:r>
        <w:rPr>
          <w:rStyle w:val="normaltextrun"/>
          <w:rFonts w:ascii="Bahnschrift" w:eastAsiaTheme="majorEastAsia" w:hAnsi="Bahnschrift" w:cs="Segoe UI"/>
          <w:b/>
          <w:bCs/>
          <w:color w:val="01372C"/>
          <w:sz w:val="22"/>
          <w:szCs w:val="22"/>
        </w:rPr>
        <w:t>1) Uso informado</w:t>
      </w:r>
      <w:r>
        <w:rPr>
          <w:rStyle w:val="normaltextrun"/>
          <w:rFonts w:ascii="Bahnschrift" w:eastAsiaTheme="majorEastAsia" w:hAnsi="Bahnschrift" w:cs="Segoe UI"/>
          <w:color w:val="01372C"/>
          <w:sz w:val="22"/>
          <w:szCs w:val="22"/>
        </w:rPr>
        <w:t xml:space="preserve">: informarse previamente Lineamientos para el uso de inteligencia artificial generativa (IAG) sobre cómo funciona la herramienta, sus limitaciones y riesgos. </w:t>
      </w:r>
      <w:r>
        <w:rPr>
          <w:rStyle w:val="normaltextrun"/>
          <w:rFonts w:ascii="Bahnschrift" w:eastAsiaTheme="majorEastAsia" w:hAnsi="Bahnschrift" w:cs="Segoe UI"/>
          <w:b/>
          <w:bCs/>
          <w:color w:val="01372C"/>
          <w:sz w:val="22"/>
          <w:szCs w:val="22"/>
        </w:rPr>
        <w:t>(2) Uso transparente</w:t>
      </w:r>
      <w:r>
        <w:rPr>
          <w:rStyle w:val="normaltextrun"/>
          <w:rFonts w:ascii="Bahnschrift" w:eastAsiaTheme="majorEastAsia" w:hAnsi="Bahnschrift" w:cs="Segoe UI"/>
          <w:color w:val="01372C"/>
          <w:sz w:val="22"/>
          <w:szCs w:val="22"/>
        </w:rPr>
        <w:t xml:space="preserve">: reportar qué herramienta usaron y cómo la usaron. </w:t>
      </w:r>
      <w:r>
        <w:rPr>
          <w:rStyle w:val="normaltextrun"/>
          <w:rFonts w:ascii="Bahnschrift" w:eastAsiaTheme="majorEastAsia" w:hAnsi="Bahnschrift" w:cs="Segoe UI"/>
          <w:b/>
          <w:bCs/>
          <w:color w:val="01372C"/>
          <w:sz w:val="22"/>
          <w:szCs w:val="22"/>
        </w:rPr>
        <w:t>(3) Uso íntegro</w:t>
      </w:r>
      <w:r>
        <w:rPr>
          <w:rStyle w:val="normaltextrun"/>
          <w:rFonts w:ascii="Bahnschrift" w:eastAsiaTheme="majorEastAsia" w:hAnsi="Bahnschrift" w:cs="Segoe UI"/>
          <w:color w:val="01372C"/>
          <w:sz w:val="22"/>
          <w:szCs w:val="22"/>
        </w:rPr>
        <w:t xml:space="preserve">: no presentar como propio el material generado por la herramienta y seguir las reglas de citación de fuentes que correspondan. </w:t>
      </w:r>
      <w:r>
        <w:rPr>
          <w:rStyle w:val="normaltextrun"/>
          <w:rFonts w:ascii="Bahnschrift" w:eastAsiaTheme="majorEastAsia" w:hAnsi="Bahnschrift" w:cs="Segoe UI"/>
          <w:b/>
          <w:bCs/>
          <w:color w:val="01372C"/>
          <w:sz w:val="22"/>
          <w:szCs w:val="22"/>
        </w:rPr>
        <w:t>(4) Evaluación crítica</w:t>
      </w:r>
      <w:r>
        <w:rPr>
          <w:rStyle w:val="normaltextrun"/>
          <w:rFonts w:ascii="Bahnschrift" w:eastAsiaTheme="majorEastAsia" w:hAnsi="Bahnschrift" w:cs="Segoe UI"/>
          <w:color w:val="01372C"/>
          <w:sz w:val="22"/>
          <w:szCs w:val="22"/>
        </w:rPr>
        <w:t xml:space="preserve">: contrastar toda respuesta obtenida a través de la herramienta con fuentes de información confiables. </w:t>
      </w:r>
      <w:r>
        <w:rPr>
          <w:rStyle w:val="normaltextrun"/>
          <w:rFonts w:ascii="Bahnschrift" w:eastAsiaTheme="majorEastAsia" w:hAnsi="Bahnschrift" w:cs="Segoe UI"/>
          <w:b/>
          <w:bCs/>
          <w:color w:val="01372C"/>
          <w:sz w:val="22"/>
          <w:szCs w:val="22"/>
        </w:rPr>
        <w:t>(5) Uso responsable</w:t>
      </w:r>
      <w:r>
        <w:rPr>
          <w:rStyle w:val="normaltextrun"/>
          <w:rFonts w:ascii="Bahnschrift" w:eastAsiaTheme="majorEastAsia" w:hAnsi="Bahnschrift" w:cs="Segoe UI"/>
          <w:color w:val="01372C"/>
          <w:sz w:val="22"/>
          <w:szCs w:val="22"/>
        </w:rPr>
        <w:t>: no incluir información personal o confidencial (propia o ajena) al introducir instrucciones (prompts). </w:t>
      </w:r>
      <w:r>
        <w:rPr>
          <w:rStyle w:val="eop"/>
          <w:rFonts w:ascii="Bahnschrift" w:eastAsiaTheme="majorEastAsia" w:hAnsi="Bahnschrift" w:cs="Segoe UI"/>
          <w:color w:val="01372C"/>
          <w:sz w:val="22"/>
          <w:szCs w:val="22"/>
        </w:rPr>
        <w:t> </w:t>
      </w:r>
    </w:p>
    <w:p w14:paraId="0171107C" w14:textId="77777777" w:rsidR="00FD52D7" w:rsidRDefault="00FD52D7" w:rsidP="00FD52D7">
      <w:pPr>
        <w:pStyle w:val="paragraph"/>
        <w:spacing w:before="0" w:beforeAutospacing="0" w:after="0" w:afterAutospacing="0"/>
        <w:jc w:val="both"/>
        <w:textAlignment w:val="baseline"/>
        <w:rPr>
          <w:rFonts w:ascii="Segoe UI" w:hAnsi="Segoe UI" w:cs="Segoe UI"/>
          <w:color w:val="01382D"/>
          <w:sz w:val="18"/>
          <w:szCs w:val="18"/>
        </w:rPr>
      </w:pPr>
    </w:p>
    <w:p w14:paraId="69921CA4" w14:textId="77777777" w:rsidR="00FD52D7" w:rsidRDefault="00FD52D7" w:rsidP="00FD52D7">
      <w:pPr>
        <w:pStyle w:val="paragraph"/>
        <w:spacing w:before="0" w:beforeAutospacing="0" w:after="0" w:afterAutospacing="0"/>
        <w:jc w:val="both"/>
        <w:textAlignment w:val="baseline"/>
        <w:rPr>
          <w:rFonts w:ascii="Segoe UI" w:hAnsi="Segoe UI" w:cs="Segoe UI"/>
          <w:color w:val="01382D"/>
          <w:sz w:val="18"/>
          <w:szCs w:val="18"/>
        </w:rPr>
      </w:pPr>
      <w:r>
        <w:rPr>
          <w:rStyle w:val="normaltextrun"/>
          <w:rFonts w:ascii="Bahnschrift" w:eastAsiaTheme="majorEastAsia" w:hAnsi="Bahnschrift" w:cs="Segoe UI"/>
          <w:color w:val="01372C"/>
          <w:sz w:val="22"/>
          <w:szCs w:val="22"/>
        </w:rPr>
        <w:t>Para una orientación más detallada sobre buenas prácticas y usos recomendados, véanse los Lineamientos para el uso de inteligencia artificial generativa en la Universidad de los Andes.</w:t>
      </w:r>
      <w:hyperlink r:id="rId13" w:tgtFrame="_blank" w:history="1">
        <w:r>
          <w:rPr>
            <w:rStyle w:val="normaltextrun"/>
            <w:rFonts w:ascii="Bahnschrift" w:eastAsiaTheme="majorEastAsia" w:hAnsi="Bahnschrift" w:cs="Segoe UI"/>
            <w:color w:val="04527E"/>
            <w:sz w:val="22"/>
            <w:szCs w:val="22"/>
            <w:u w:val="single"/>
          </w:rPr>
          <w:t>Lineamientos para el uso de inteligencia artificial generativa (IAG) en la Universidad de los Andes”.</w:t>
        </w:r>
      </w:hyperlink>
    </w:p>
    <w:p w14:paraId="2561B73E" w14:textId="77777777" w:rsidR="00FD52D7" w:rsidRDefault="00FD52D7" w:rsidP="00FD52D7"/>
    <w:p w14:paraId="30BF8789" w14:textId="77777777" w:rsidR="002D794A" w:rsidRDefault="00000000">
      <w:r>
        <w:t xml:space="preserve">En los avances y el informe final se deberá declarar el uso de IA. La asistencia para depurar código, sintetizar lecturas o iterar borradores es admisible cuando se verifiquen, calibren y argumenten los </w:t>
      </w:r>
      <w:r>
        <w:lastRenderedPageBreak/>
        <w:t>resultados; las cifras del sector colombiano deberán contrastarse con fuentes oficiales como XM, UPME, CREG o ANLA.</w:t>
      </w:r>
    </w:p>
    <w:p w14:paraId="3EBF6D95" w14:textId="77777777" w:rsidR="002F1761" w:rsidRDefault="002F1761" w:rsidP="002F1761">
      <w:pPr>
        <w:pStyle w:val="Ttulo1"/>
      </w:pPr>
      <w:r>
        <w:t>9</w:t>
      </w:r>
      <w:r w:rsidRPr="00FD52D7">
        <w:t xml:space="preserve">. </w:t>
      </w:r>
      <w:r>
        <w:t>Políticas de momentos difíciles</w:t>
      </w:r>
    </w:p>
    <w:p w14:paraId="50DBCCA9" w14:textId="77777777" w:rsidR="00FD52D7" w:rsidRDefault="00FD52D7" w:rsidP="00FD52D7"/>
    <w:p w14:paraId="1B475FF0" w14:textId="77777777" w:rsidR="00FD52D7" w:rsidRDefault="00FD52D7" w:rsidP="00FD52D7">
      <w:pPr>
        <w:pStyle w:val="paragraph"/>
        <w:spacing w:before="0" w:beforeAutospacing="0" w:after="0" w:afterAutospacing="0"/>
        <w:jc w:val="both"/>
        <w:textAlignment w:val="baseline"/>
        <w:rPr>
          <w:rFonts w:ascii="Segoe UI" w:hAnsi="Segoe UI" w:cs="Segoe UI"/>
          <w:color w:val="01382D"/>
          <w:sz w:val="18"/>
          <w:szCs w:val="18"/>
        </w:rPr>
      </w:pPr>
      <w:r>
        <w:rPr>
          <w:rStyle w:val="normaltextrun"/>
          <w:rFonts w:ascii="Bahnschrift" w:eastAsiaTheme="majorEastAsia" w:hAnsi="Bahnschrift" w:cs="Segoe UI"/>
          <w:color w:val="01382D"/>
          <w:sz w:val="22"/>
          <w:szCs w:val="22"/>
        </w:rPr>
        <w:t>Todas las personas pueden pasar por un momento difícil que de alguna manera pueda afectar nuestra vida en la Universidad. Pueden ser problemas en casa, con la pareja, incluso estrés por esta u otra materia. Si usted siente que está pasando por un momento complicado, sin importar el motivo, siéntase con la tranquilidad de hablar con el profesor para pedir tiempo o apoyo. Ningún trabajo o entrega puede sobrepasar su salud mental y física. Su bienestar es lo más importante. </w:t>
      </w:r>
      <w:r>
        <w:rPr>
          <w:rStyle w:val="eop"/>
          <w:rFonts w:ascii="Bahnschrift" w:eastAsiaTheme="majorEastAsia" w:hAnsi="Bahnschrift" w:cs="Segoe UI"/>
          <w:color w:val="01382D"/>
          <w:sz w:val="22"/>
          <w:szCs w:val="22"/>
        </w:rPr>
        <w:t> </w:t>
      </w:r>
    </w:p>
    <w:p w14:paraId="1C384D49" w14:textId="77777777" w:rsidR="002F1761" w:rsidRDefault="00FD52D7" w:rsidP="002F1761">
      <w:pPr>
        <w:pStyle w:val="paragraph"/>
        <w:spacing w:before="0" w:beforeAutospacing="0" w:after="0" w:afterAutospacing="0"/>
        <w:textAlignment w:val="baseline"/>
        <w:rPr>
          <w:rStyle w:val="eop"/>
          <w:rFonts w:ascii="Bahnschrift" w:eastAsiaTheme="majorEastAsia" w:hAnsi="Bahnschrift" w:cs="Segoe UI"/>
          <w:color w:val="01382D"/>
          <w:sz w:val="22"/>
          <w:szCs w:val="22"/>
        </w:rPr>
      </w:pPr>
      <w:r>
        <w:rPr>
          <w:rStyle w:val="eop"/>
          <w:rFonts w:ascii="Bahnschrift" w:eastAsiaTheme="majorEastAsia" w:hAnsi="Bahnschrift" w:cs="Segoe UI"/>
          <w:color w:val="01382D"/>
          <w:sz w:val="22"/>
          <w:szCs w:val="22"/>
        </w:rPr>
        <w:t> </w:t>
      </w:r>
    </w:p>
    <w:p w14:paraId="36F9ADDB" w14:textId="77777777" w:rsidR="002F1761" w:rsidRDefault="002F1761" w:rsidP="002F1761">
      <w:pPr>
        <w:pStyle w:val="Ttulo1"/>
      </w:pPr>
      <w:r>
        <w:t>10</w:t>
      </w:r>
      <w:r w:rsidRPr="00FD52D7">
        <w:t xml:space="preserve">. </w:t>
      </w:r>
      <w:r>
        <w:t>Nombres identitario</w:t>
      </w:r>
    </w:p>
    <w:p w14:paraId="238F7736" w14:textId="77777777" w:rsidR="00FD52D7" w:rsidRDefault="00FD52D7" w:rsidP="00FD52D7">
      <w:pPr>
        <w:pStyle w:val="paragraph"/>
        <w:spacing w:before="0" w:beforeAutospacing="0" w:after="0" w:afterAutospacing="0"/>
        <w:jc w:val="both"/>
        <w:textAlignment w:val="baseline"/>
        <w:rPr>
          <w:rFonts w:ascii="Segoe UI" w:hAnsi="Segoe UI" w:cs="Segoe UI"/>
          <w:color w:val="01382D"/>
          <w:sz w:val="18"/>
          <w:szCs w:val="18"/>
        </w:rPr>
      </w:pPr>
      <w:r>
        <w:rPr>
          <w:rStyle w:val="normaltextrun"/>
          <w:rFonts w:ascii="Bahnschrift" w:eastAsiaTheme="majorEastAsia" w:hAnsi="Bahnschrift" w:cs="Segoe UI"/>
          <w:color w:val="01382D"/>
          <w:sz w:val="22"/>
          <w:szCs w:val="22"/>
        </w:rPr>
        <w:t>Usted podrá solicitar ser identificado/a con el nombre y los pronombres que usted prefiera y que pueden coincidir o no con su nombre legal registrado en banner. Por favor informe al docente al respecto. Si desea modificar su nombre registrado en banner y en todos los sistemas de la Universidad contáctese con cade@uniandes.edu.co</w:t>
      </w:r>
      <w:r>
        <w:rPr>
          <w:rStyle w:val="eop"/>
          <w:rFonts w:ascii="Bahnschrift" w:eastAsiaTheme="majorEastAsia" w:hAnsi="Bahnschrift" w:cs="Segoe UI"/>
          <w:color w:val="01382D"/>
          <w:sz w:val="22"/>
          <w:szCs w:val="22"/>
        </w:rPr>
        <w:t> </w:t>
      </w:r>
    </w:p>
    <w:p w14:paraId="51DD257D" w14:textId="77777777" w:rsidR="00FD52D7" w:rsidRPr="009D1DFC" w:rsidRDefault="00FD52D7" w:rsidP="00FD52D7">
      <w:pPr>
        <w:pStyle w:val="paragraph"/>
        <w:spacing w:before="0" w:beforeAutospacing="0" w:after="0" w:afterAutospacing="0"/>
        <w:textAlignment w:val="baseline"/>
        <w:rPr>
          <w:color w:val="000000"/>
          <w:sz w:val="18"/>
          <w:szCs w:val="18"/>
          <w:lang w:val="es-ES"/>
        </w:rPr>
      </w:pPr>
      <w:r>
        <w:rPr>
          <w:rStyle w:val="eop"/>
          <w:rFonts w:ascii="Calibri" w:eastAsiaTheme="majorEastAsia" w:hAnsi="Calibri" w:cs="Calibri"/>
          <w:color w:val="01382D"/>
          <w:sz w:val="22"/>
          <w:szCs w:val="22"/>
        </w:rPr>
        <w:t> </w:t>
      </w:r>
    </w:p>
    <w:sectPr w:rsidR="00FD52D7" w:rsidRPr="009D1DFC" w:rsidSect="002335BB">
      <w:headerReference w:type="default" r:id="rId14"/>
      <w:headerReference w:type="first" r:id="rId15"/>
      <w:pgSz w:w="12240" w:h="15840"/>
      <w:pgMar w:top="1418" w:right="1077" w:bottom="1418"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19828" w14:textId="77777777" w:rsidR="00D313AE" w:rsidRDefault="00D313AE" w:rsidP="002F764C">
      <w:r>
        <w:separator/>
      </w:r>
    </w:p>
  </w:endnote>
  <w:endnote w:type="continuationSeparator" w:id="0">
    <w:p w14:paraId="341F0AAD" w14:textId="77777777" w:rsidR="00D313AE" w:rsidRDefault="00D313AE" w:rsidP="002F7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70B06" w14:textId="77777777" w:rsidR="00D313AE" w:rsidRDefault="00D313AE" w:rsidP="002F764C">
      <w:r>
        <w:separator/>
      </w:r>
    </w:p>
  </w:footnote>
  <w:footnote w:type="continuationSeparator" w:id="0">
    <w:p w14:paraId="359DB747" w14:textId="77777777" w:rsidR="00D313AE" w:rsidRDefault="00D313AE" w:rsidP="002F7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AA26" w14:textId="77777777" w:rsidR="002335BB" w:rsidRDefault="002335BB" w:rsidP="002F764C">
    <w:pPr>
      <w:pStyle w:val="Encabezado"/>
    </w:pPr>
    <w:r>
      <w:rPr>
        <w:noProof/>
        <w:sz w:val="28"/>
        <w:szCs w:val="28"/>
      </w:rPr>
      <w:drawing>
        <wp:anchor distT="0" distB="0" distL="114300" distR="114300" simplePos="0" relativeHeight="251663360" behindDoc="0" locked="0" layoutInCell="1" allowOverlap="1" wp14:anchorId="48953A0F" wp14:editId="1FE12FB6">
          <wp:simplePos x="0" y="0"/>
          <wp:positionH relativeFrom="column">
            <wp:posOffset>3557905</wp:posOffset>
          </wp:positionH>
          <wp:positionV relativeFrom="paragraph">
            <wp:posOffset>-137160</wp:posOffset>
          </wp:positionV>
          <wp:extent cx="3228456" cy="274320"/>
          <wp:effectExtent l="0" t="0" r="0" b="0"/>
          <wp:wrapNone/>
          <wp:docPr id="20980250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5027" name="Imagen 2098025027"/>
                  <pic:cNvPicPr/>
                </pic:nvPicPr>
                <pic:blipFill>
                  <a:blip r:embed="rId1">
                    <a:extLst>
                      <a:ext uri="{28A0092B-C50C-407E-A947-70E740481C1C}">
                        <a14:useLocalDpi xmlns:a14="http://schemas.microsoft.com/office/drawing/2010/main" val="0"/>
                      </a:ext>
                    </a:extLst>
                  </a:blip>
                  <a:stretch>
                    <a:fillRect/>
                  </a:stretch>
                </pic:blipFill>
                <pic:spPr>
                  <a:xfrm>
                    <a:off x="0" y="0"/>
                    <a:ext cx="3228456" cy="2743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1CF01FED" wp14:editId="43059386">
              <wp:simplePos x="0" y="0"/>
              <wp:positionH relativeFrom="page">
                <wp:align>left</wp:align>
              </wp:positionH>
              <wp:positionV relativeFrom="paragraph">
                <wp:posOffset>-449580</wp:posOffset>
              </wp:positionV>
              <wp:extent cx="99060" cy="10066020"/>
              <wp:effectExtent l="0" t="0" r="0" b="0"/>
              <wp:wrapNone/>
              <wp:docPr id="164896811" name="Rectángulo 3"/>
              <wp:cNvGraphicFramePr/>
              <a:graphic xmlns:a="http://schemas.openxmlformats.org/drawingml/2006/main">
                <a:graphicData uri="http://schemas.microsoft.com/office/word/2010/wordprocessingShape">
                  <wps:wsp>
                    <wps:cNvSpPr/>
                    <wps:spPr>
                      <a:xfrm>
                        <a:off x="0" y="0"/>
                        <a:ext cx="99060" cy="1006602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D37D1" id="Rectángulo 3" o:spid="_x0000_s1026" style="position:absolute;margin-left:0;margin-top:-35.4pt;width:7.8pt;height:792.6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fcCewIAAF4FAAAOAAAAZHJzL2Uyb0RvYy54bWysVE1v2zAMvQ/YfxB0X20HbbcEdYqgRYcB&#10;RVusHXpWZCk2IIsapcTJfv0o+SNtV+ww7GJLIvlIPj3q4nLfGrZT6BuwJS9Ocs6UlVA1dlPyH083&#10;n75w5oOwlTBgVckPyvPL5ccPF51bqBnUYCqFjECsX3Su5HUIbpFlXtaqFf4EnLJk1ICtCLTFTVah&#10;6Ai9Ndksz8+zDrByCFJ5T6fXvZEvE77WSoZ7rb0KzJScagvpi+m7jt9seSEWGxSubuRQhviHKlrR&#10;WEo6QV2LINgWmz+g2kYieNDhREKbgdaNVKkH6qbI33TzWAunUi9EjncTTf7/wcq73aN7QKKhc37h&#10;aRm72Gts45/qY/tE1mEiS+0Dk3Q4n+fnxKgkS0EXcZ7PEpvZMdqhD18VtCwuSo50GYkjsbv1gTKS&#10;6+gSk3kwTXXTGJM2UQDqyiDbCbq69WYWr4oiXnkZG30txKjeHE+yYytpFQ5GRT9jvyvNmoqKn6VC&#10;ksqOSYSUyoaiN9WiUn3u4izPx9amiFRLAozImvJP2APA6wZG7L7KwT+GqiTSKTj/W2F98BSRMoMN&#10;U3DbWMD3AAx1NWTu/UeSemoiS2uoDg/IEPoR8U7eNHRtt8KHB4E0E3TXNOfhnj7aQFdyGFac1YC/&#10;3juP/iRVsnLW0YyV3P/cClScmW+WRDwvTk/jUKbN6dlnUhDDl5b1S4vdtldAWijoRXEyLaN/MONS&#10;I7TP9BysYlYyCSspd8llwHFzFfrZpwdFqtUqudEgOhFu7aOTETyyGmX5tH8W6AbtBlL9HYzzKBZv&#10;JNz7xkgLq20A3SR9H3kd+KYhTsIZHpz4SrzcJ6/js7j8DQAA//8DAFBLAwQUAAYACAAAACEA4fBw&#10;3N4AAAAIAQAADwAAAGRycy9kb3ducmV2LnhtbEyPTU/DMAyG70j8h8hI3La0qCtQ6k4TYuPKPoQ4&#10;Zo1pKxqnarK149eTnsbJsl7r9fPky9G04ky9aywjxPMIBHFpdcMVwmG/nj2BcF6xVq1lQriQg2Vx&#10;e5OrTNuBt3Te+UqEEnaZQqi97zIpXVmTUW5uO+KQfdveKB/WvpK6V0MoN618iKJUGtVw+FCrjl5r&#10;Kn92J4NQXQ6rTbzYps+/m/evdbP/SN4+B8T7u3H1AsLT6K/HMOEHdCgC09GeWDvRIgQRjzB7jILA&#10;FC9SEMdpxkkCssjlf4HiDwAA//8DAFBLAQItABQABgAIAAAAIQC2gziS/gAAAOEBAAATAAAAAAAA&#10;AAAAAAAAAAAAAABbQ29udGVudF9UeXBlc10ueG1sUEsBAi0AFAAGAAgAAAAhADj9If/WAAAAlAEA&#10;AAsAAAAAAAAAAAAAAAAALwEAAF9yZWxzLy5yZWxzUEsBAi0AFAAGAAgAAAAhAGGl9wJ7AgAAXgUA&#10;AA4AAAAAAAAAAAAAAAAALgIAAGRycy9lMm9Eb2MueG1sUEsBAi0AFAAGAAgAAAAhAOHwcNzeAAAA&#10;CAEAAA8AAAAAAAAAAAAAAAAA1QQAAGRycy9kb3ducmV2LnhtbFBLBQYAAAAABAAEAPMAAADgBQAA&#10;AAA=&#10;" fillcolor="#73d9a7 [3214]"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AAD5" w14:textId="77777777" w:rsidR="002335BB" w:rsidRDefault="009533A3" w:rsidP="002F764C">
    <w:pPr>
      <w:pStyle w:val="Encabezado"/>
    </w:pPr>
    <w:r>
      <w:rPr>
        <w:noProof/>
      </w:rPr>
      <w:drawing>
        <wp:anchor distT="0" distB="0" distL="114300" distR="114300" simplePos="0" relativeHeight="251661312" behindDoc="0" locked="0" layoutInCell="1" allowOverlap="1" wp14:anchorId="47F96002" wp14:editId="44E50EE2">
          <wp:simplePos x="0" y="0"/>
          <wp:positionH relativeFrom="margin">
            <wp:posOffset>1312545</wp:posOffset>
          </wp:positionH>
          <wp:positionV relativeFrom="paragraph">
            <wp:posOffset>243205</wp:posOffset>
          </wp:positionV>
          <wp:extent cx="3775710" cy="3775710"/>
          <wp:effectExtent l="0" t="0" r="0" b="0"/>
          <wp:wrapNone/>
          <wp:docPr id="389979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7974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775710" cy="3775710"/>
                  </a:xfrm>
                  <a:prstGeom prst="rect">
                    <a:avLst/>
                  </a:prstGeom>
                </pic:spPr>
              </pic:pic>
            </a:graphicData>
          </a:graphic>
          <wp14:sizeRelH relativeFrom="page">
            <wp14:pctWidth>0</wp14:pctWidth>
          </wp14:sizeRelH>
          <wp14:sizeRelV relativeFrom="page">
            <wp14:pctHeight>0</wp14:pctHeight>
          </wp14:sizeRelV>
        </wp:anchor>
      </w:drawing>
    </w:r>
    <w:r w:rsidR="002335BB">
      <w:rPr>
        <w:noProof/>
      </w:rPr>
      <mc:AlternateContent>
        <mc:Choice Requires="wps">
          <w:drawing>
            <wp:anchor distT="0" distB="0" distL="114300" distR="114300" simplePos="0" relativeHeight="251660288" behindDoc="0" locked="0" layoutInCell="1" allowOverlap="1" wp14:anchorId="2278CBFF" wp14:editId="0F36AB97">
              <wp:simplePos x="0" y="0"/>
              <wp:positionH relativeFrom="page">
                <wp:posOffset>-1905</wp:posOffset>
              </wp:positionH>
              <wp:positionV relativeFrom="paragraph">
                <wp:posOffset>-450215</wp:posOffset>
              </wp:positionV>
              <wp:extent cx="7833360" cy="5059680"/>
              <wp:effectExtent l="0" t="0" r="0" b="7620"/>
              <wp:wrapNone/>
              <wp:docPr id="264321736" name="Rectángulo 2"/>
              <wp:cNvGraphicFramePr/>
              <a:graphic xmlns:a="http://schemas.openxmlformats.org/drawingml/2006/main">
                <a:graphicData uri="http://schemas.microsoft.com/office/word/2010/wordprocessingShape">
                  <wps:wsp>
                    <wps:cNvSpPr/>
                    <wps:spPr>
                      <a:xfrm>
                        <a:off x="0" y="0"/>
                        <a:ext cx="7833360" cy="505968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91A3D" id="Rectángulo 2" o:spid="_x0000_s1026" style="position:absolute;margin-left:-.15pt;margin-top:-35.45pt;width:616.8pt;height:398.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8YMfgIAAF8FAAAOAAAAZHJzL2Uyb0RvYy54bWysVEtv2zAMvg/YfxB0X+2kTR9BnSJo0WFA&#10;0RZrh54VWYoNyKJGKXGyXz9KfqTtih2GXWxRJD+Sn0heXu0aw7YKfQ224JOjnDNlJZS1XRf8x/Pt&#10;l3POfBC2FAasKvheeX61+PzpsnVzNYUKTKmQEYj189YVvArBzbPMy0o1wh+BU5aUGrARgURcZyWK&#10;ltAbk03z/DRrAUuHIJX3dHvTKfki4WutZHjQ2qvATMEpt5C+mL6r+M0Wl2K+RuGqWvZpiH/IohG1&#10;paAj1I0Igm2w/gOqqSWCBx2OJDQZaF1LlWqgaib5u2qeKuFUqoXI8W6kyf8/WHm/fXKPSDS0zs89&#10;HWMVO41N/FN+bJfI2o9kqV1gki7Pzo+Pj0+JU0m6WT67OD1PdGYHd4c+fFXQsHgoONJrJJLE9s4H&#10;Ckmmg0mM5sHU5W1tTBJiB6hrg2wr6O1W62l8K/J4Y2VstLUQvTp1vMkOtaRT2BsV7Yz9rjSrS8p+&#10;mhJJbXYIIqRUNkw6VSVK1cWezPJ8KG30SLkkwIisKf6I3QO8LWDA7rLs7aOrSl06Oud/S6xzHj1S&#10;ZLBhdG5qC/gRgKGq+sid/UBSR01kaQXl/hEZQjcj3snbmp7tTvjwKJCGgp6aBj080EcbaAsO/Ymz&#10;CvDXR/fRnnqVtJy1NGQF9z83AhVn5pulLr6YnJzEqUzCyexsSgK+1qxea+ymuQbqhQmtFCfTMdoH&#10;Mxw1QvNC+2AZo5JKWEmxCy4DDsJ16IafNopUy2Uyo0l0ItzZJycjeGQ1tuXz7kWg63s3UNvfwzCQ&#10;Yv6uhTvb6GlhuQmg69TfB157vmmKU+P0GyeuiddysjrsxcVvAAAA//8DAFBLAwQUAAYACAAAACEA&#10;ntkOG+EAAAAKAQAADwAAAGRycy9kb3ducmV2LnhtbEyPT2+CQBDF7036HTbTpDddhKoFWYxpqr36&#10;L43HFaZAys4SdhXsp+94ak+Tmffy5vfS5WAaccXO1ZYUTMYBCKTcFjWVCo6H9egVhPOaCt1YQgU3&#10;dLDMHh9SnRS2px1e974UHEIu0Qoq79tESpdXaLQb2xaJtS/bGe157UpZdLrncNPIMAhm0uia+EOl&#10;W3yrMP/eX4yC8nZcbSbT3Sz+2Xyc1vVh+/L+2Sv1/DSsFiA8Dv7PDHd8RoeMmc72QoUTjYJRxEYe&#10;8yAGcdfDKOLTWcE8nMYgs1T+r5D9AgAA//8DAFBLAQItABQABgAIAAAAIQC2gziS/gAAAOEBAAAT&#10;AAAAAAAAAAAAAAAAAAAAAABbQ29udGVudF9UeXBlc10ueG1sUEsBAi0AFAAGAAgAAAAhADj9If/W&#10;AAAAlAEAAAsAAAAAAAAAAAAAAAAALwEAAF9yZWxzLy5yZWxzUEsBAi0AFAAGAAgAAAAhAMWjxgx+&#10;AgAAXwUAAA4AAAAAAAAAAAAAAAAALgIAAGRycy9lMm9Eb2MueG1sUEsBAi0AFAAGAAgAAAAhAJ7Z&#10;DhvhAAAACgEAAA8AAAAAAAAAAAAAAAAA2AQAAGRycy9kb3ducmV2LnhtbFBLBQYAAAAABAAEAPMA&#10;AADmBQAAAAA=&#10;" fillcolor="#73d9a7 [3214]"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56513"/>
    <w:multiLevelType w:val="hybridMultilevel"/>
    <w:tmpl w:val="889A2234"/>
    <w:lvl w:ilvl="0" w:tplc="8BC820F2">
      <w:start w:val="1"/>
      <w:numFmt w:val="bullet"/>
      <w:pStyle w:val="VietaMISE"/>
      <w:lvlText w:val=""/>
      <w:lvlJc w:val="left"/>
      <w:pPr>
        <w:ind w:left="644" w:hanging="360"/>
      </w:pPr>
      <w:rPr>
        <w:rFonts w:ascii="Wingdings" w:hAnsi="Wingdings" w:hint="default"/>
        <w:color w:val="018071" w:themeColor="text1"/>
        <w:sz w:val="28"/>
        <w:szCs w:val="28"/>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 w15:restartNumberingAfterBreak="0">
    <w:nsid w:val="16B30D66"/>
    <w:multiLevelType w:val="hybridMultilevel"/>
    <w:tmpl w:val="8BE079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ADE3B57"/>
    <w:multiLevelType w:val="hybridMultilevel"/>
    <w:tmpl w:val="DD9A1DF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CEE646C"/>
    <w:multiLevelType w:val="hybridMultilevel"/>
    <w:tmpl w:val="2DFA191A"/>
    <w:lvl w:ilvl="0" w:tplc="69D8104A">
      <w:start w:val="1"/>
      <w:numFmt w:val="bullet"/>
      <w:lvlText w:val=""/>
      <w:lvlJc w:val="left"/>
      <w:pPr>
        <w:ind w:left="720" w:hanging="360"/>
      </w:pPr>
      <w:rPr>
        <w:rFonts w:ascii="Wingdings" w:hAnsi="Wingdings" w:hint="default"/>
        <w:color w:val="01382D" w:themeColor="text2"/>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87837DC"/>
    <w:multiLevelType w:val="hybridMultilevel"/>
    <w:tmpl w:val="943EA7AE"/>
    <w:lvl w:ilvl="0" w:tplc="240A0019">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B5A6464"/>
    <w:multiLevelType w:val="hybridMultilevel"/>
    <w:tmpl w:val="5414D5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37B19A3"/>
    <w:multiLevelType w:val="hybridMultilevel"/>
    <w:tmpl w:val="CE8E9956"/>
    <w:lvl w:ilvl="0" w:tplc="25F0B53E">
      <w:start w:val="1"/>
      <w:numFmt w:val="decimal"/>
      <w:pStyle w:val="NumeracinMISE"/>
      <w:lvlText w:val="%1."/>
      <w:lvlJc w:val="left"/>
      <w:pPr>
        <w:ind w:left="720" w:hanging="360"/>
      </w:pPr>
      <w:rPr>
        <w:b/>
        <w:bCs/>
        <w:color w:val="018071" w:themeColor="text1"/>
        <w:sz w:val="28"/>
        <w:szCs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5DE134A"/>
    <w:multiLevelType w:val="hybridMultilevel"/>
    <w:tmpl w:val="5B428E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34195231">
    <w:abstractNumId w:val="1"/>
  </w:num>
  <w:num w:numId="2" w16cid:durableId="1356419371">
    <w:abstractNumId w:val="3"/>
  </w:num>
  <w:num w:numId="3" w16cid:durableId="1704086492">
    <w:abstractNumId w:val="0"/>
  </w:num>
  <w:num w:numId="4" w16cid:durableId="2052683032">
    <w:abstractNumId w:val="6"/>
  </w:num>
  <w:num w:numId="5" w16cid:durableId="852576589">
    <w:abstractNumId w:val="0"/>
  </w:num>
  <w:num w:numId="6" w16cid:durableId="19837276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1019154">
    <w:abstractNumId w:val="4"/>
  </w:num>
  <w:num w:numId="8" w16cid:durableId="582760749">
    <w:abstractNumId w:val="2"/>
  </w:num>
  <w:num w:numId="9" w16cid:durableId="1167787858">
    <w:abstractNumId w:val="7"/>
  </w:num>
  <w:num w:numId="10" w16cid:durableId="1692877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61"/>
    <w:rsid w:val="000446DB"/>
    <w:rsid w:val="000B017D"/>
    <w:rsid w:val="00151D3D"/>
    <w:rsid w:val="00164624"/>
    <w:rsid w:val="001A6356"/>
    <w:rsid w:val="001D3B9E"/>
    <w:rsid w:val="002335BB"/>
    <w:rsid w:val="00283092"/>
    <w:rsid w:val="00287A34"/>
    <w:rsid w:val="002A72EF"/>
    <w:rsid w:val="002B2948"/>
    <w:rsid w:val="002D7568"/>
    <w:rsid w:val="002D794A"/>
    <w:rsid w:val="002F1761"/>
    <w:rsid w:val="002F764C"/>
    <w:rsid w:val="00333E06"/>
    <w:rsid w:val="00360FE4"/>
    <w:rsid w:val="00377E9F"/>
    <w:rsid w:val="003B3568"/>
    <w:rsid w:val="003C67A8"/>
    <w:rsid w:val="003E6CA2"/>
    <w:rsid w:val="00460F93"/>
    <w:rsid w:val="00495695"/>
    <w:rsid w:val="004A30CC"/>
    <w:rsid w:val="004A7E00"/>
    <w:rsid w:val="004B2D56"/>
    <w:rsid w:val="004F402B"/>
    <w:rsid w:val="00555A8B"/>
    <w:rsid w:val="005E6176"/>
    <w:rsid w:val="00640AE6"/>
    <w:rsid w:val="0067545C"/>
    <w:rsid w:val="006A27DE"/>
    <w:rsid w:val="006D743B"/>
    <w:rsid w:val="006E5A7A"/>
    <w:rsid w:val="006F4326"/>
    <w:rsid w:val="00720F69"/>
    <w:rsid w:val="007235F1"/>
    <w:rsid w:val="00724909"/>
    <w:rsid w:val="007318BA"/>
    <w:rsid w:val="007355CF"/>
    <w:rsid w:val="00760976"/>
    <w:rsid w:val="00782F13"/>
    <w:rsid w:val="00793CDF"/>
    <w:rsid w:val="007D211D"/>
    <w:rsid w:val="00823D3F"/>
    <w:rsid w:val="00827B46"/>
    <w:rsid w:val="00827E4F"/>
    <w:rsid w:val="00841500"/>
    <w:rsid w:val="008828BC"/>
    <w:rsid w:val="008A1BF5"/>
    <w:rsid w:val="008A59F7"/>
    <w:rsid w:val="008B0B76"/>
    <w:rsid w:val="008E7BC0"/>
    <w:rsid w:val="00903562"/>
    <w:rsid w:val="00914950"/>
    <w:rsid w:val="009533A3"/>
    <w:rsid w:val="00956A43"/>
    <w:rsid w:val="00984B73"/>
    <w:rsid w:val="00985051"/>
    <w:rsid w:val="009A7042"/>
    <w:rsid w:val="009E073C"/>
    <w:rsid w:val="009F4794"/>
    <w:rsid w:val="00A306F5"/>
    <w:rsid w:val="00A315C0"/>
    <w:rsid w:val="00B308A9"/>
    <w:rsid w:val="00B30D78"/>
    <w:rsid w:val="00B43D03"/>
    <w:rsid w:val="00B94E20"/>
    <w:rsid w:val="00BC3770"/>
    <w:rsid w:val="00BC5EC9"/>
    <w:rsid w:val="00C373B0"/>
    <w:rsid w:val="00CF703C"/>
    <w:rsid w:val="00D313AE"/>
    <w:rsid w:val="00D50D0F"/>
    <w:rsid w:val="00DD352E"/>
    <w:rsid w:val="00DD6994"/>
    <w:rsid w:val="00DE1D4D"/>
    <w:rsid w:val="00DF0C97"/>
    <w:rsid w:val="00DF44F4"/>
    <w:rsid w:val="00E266EC"/>
    <w:rsid w:val="00E53D8C"/>
    <w:rsid w:val="00E613BB"/>
    <w:rsid w:val="00F235C1"/>
    <w:rsid w:val="00F76A96"/>
    <w:rsid w:val="00FD52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B3038"/>
  <w15:chartTrackingRefBased/>
  <w15:docId w15:val="{175A293C-5945-473B-B31C-02F806C35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64C"/>
    <w:rPr>
      <w:rFonts w:ascii="Bahnschrift" w:hAnsi="Bahnschrift"/>
      <w:color w:val="01382D" w:themeColor="text2"/>
    </w:rPr>
  </w:style>
  <w:style w:type="paragraph" w:styleId="Ttulo1">
    <w:name w:val="heading 1"/>
    <w:basedOn w:val="Normal"/>
    <w:next w:val="Normal"/>
    <w:link w:val="Ttulo1Car"/>
    <w:uiPriority w:val="9"/>
    <w:qFormat/>
    <w:rsid w:val="00956A43"/>
    <w:pPr>
      <w:shd w:val="clear" w:color="auto" w:fill="73D9A7" w:themeFill="background2"/>
      <w:outlineLvl w:val="0"/>
    </w:pPr>
    <w:rPr>
      <w:b/>
      <w:bCs/>
      <w:sz w:val="48"/>
      <w:szCs w:val="48"/>
    </w:rPr>
  </w:style>
  <w:style w:type="paragraph" w:styleId="Ttulo2">
    <w:name w:val="heading 2"/>
    <w:basedOn w:val="Ttulo1"/>
    <w:next w:val="Normal"/>
    <w:link w:val="Ttulo2Car"/>
    <w:uiPriority w:val="9"/>
    <w:unhideWhenUsed/>
    <w:qFormat/>
    <w:rsid w:val="002F764C"/>
    <w:pPr>
      <w:pBdr>
        <w:bottom w:val="single" w:sz="4" w:space="1" w:color="018071" w:themeColor="text1"/>
      </w:pBdr>
      <w:shd w:val="clear" w:color="auto" w:fill="auto"/>
      <w:outlineLvl w:val="1"/>
    </w:pPr>
    <w:rPr>
      <w:sz w:val="40"/>
      <w:szCs w:val="40"/>
    </w:rPr>
  </w:style>
  <w:style w:type="paragraph" w:styleId="Ttulo3">
    <w:name w:val="heading 3"/>
    <w:basedOn w:val="Normal"/>
    <w:next w:val="Normal"/>
    <w:link w:val="Ttulo3Car"/>
    <w:uiPriority w:val="9"/>
    <w:unhideWhenUsed/>
    <w:qFormat/>
    <w:rsid w:val="002F764C"/>
    <w:pPr>
      <w:outlineLvl w:val="2"/>
    </w:pPr>
    <w:rPr>
      <w:b/>
      <w:bCs/>
      <w:color w:val="018071" w:themeColor="text1"/>
      <w:sz w:val="36"/>
      <w:szCs w:val="36"/>
    </w:rPr>
  </w:style>
  <w:style w:type="paragraph" w:styleId="Ttulo4">
    <w:name w:val="heading 4"/>
    <w:basedOn w:val="Normal"/>
    <w:next w:val="Normal"/>
    <w:link w:val="Ttulo4Car"/>
    <w:uiPriority w:val="9"/>
    <w:semiHidden/>
    <w:unhideWhenUsed/>
    <w:rsid w:val="00984B73"/>
    <w:pPr>
      <w:keepNext/>
      <w:keepLines/>
      <w:spacing w:before="80" w:after="40"/>
      <w:outlineLvl w:val="3"/>
    </w:pPr>
    <w:rPr>
      <w:rFonts w:eastAsiaTheme="majorEastAsia" w:cstheme="majorBidi"/>
      <w:i/>
      <w:iCs/>
      <w:color w:val="35C37D" w:themeColor="accent1" w:themeShade="BF"/>
    </w:rPr>
  </w:style>
  <w:style w:type="paragraph" w:styleId="Ttulo5">
    <w:name w:val="heading 5"/>
    <w:basedOn w:val="Normal"/>
    <w:next w:val="Normal"/>
    <w:link w:val="Ttulo5Car"/>
    <w:uiPriority w:val="9"/>
    <w:semiHidden/>
    <w:unhideWhenUsed/>
    <w:qFormat/>
    <w:rsid w:val="00984B73"/>
    <w:pPr>
      <w:keepNext/>
      <w:keepLines/>
      <w:spacing w:before="80" w:after="40"/>
      <w:outlineLvl w:val="4"/>
    </w:pPr>
    <w:rPr>
      <w:rFonts w:eastAsiaTheme="majorEastAsia" w:cstheme="majorBidi"/>
      <w:color w:val="35C37D" w:themeColor="accent1" w:themeShade="BF"/>
    </w:rPr>
  </w:style>
  <w:style w:type="paragraph" w:styleId="Ttulo6">
    <w:name w:val="heading 6"/>
    <w:basedOn w:val="Normal"/>
    <w:next w:val="Normal"/>
    <w:link w:val="Ttulo6Car"/>
    <w:uiPriority w:val="9"/>
    <w:semiHidden/>
    <w:unhideWhenUsed/>
    <w:qFormat/>
    <w:rsid w:val="00984B73"/>
    <w:pPr>
      <w:keepNext/>
      <w:keepLines/>
      <w:spacing w:before="40" w:after="0"/>
      <w:outlineLvl w:val="5"/>
    </w:pPr>
    <w:rPr>
      <w:rFonts w:eastAsiaTheme="majorEastAsia" w:cstheme="majorBidi"/>
      <w:i/>
      <w:iCs/>
      <w:color w:val="08FDDF" w:themeColor="text1" w:themeTint="A6"/>
    </w:rPr>
  </w:style>
  <w:style w:type="paragraph" w:styleId="Ttulo7">
    <w:name w:val="heading 7"/>
    <w:basedOn w:val="Normal"/>
    <w:next w:val="Normal"/>
    <w:link w:val="Ttulo7Car"/>
    <w:uiPriority w:val="9"/>
    <w:semiHidden/>
    <w:unhideWhenUsed/>
    <w:qFormat/>
    <w:rsid w:val="00984B73"/>
    <w:pPr>
      <w:keepNext/>
      <w:keepLines/>
      <w:spacing w:before="40" w:after="0"/>
      <w:outlineLvl w:val="6"/>
    </w:pPr>
    <w:rPr>
      <w:rFonts w:eastAsiaTheme="majorEastAsia" w:cstheme="majorBidi"/>
      <w:color w:val="08FDDF" w:themeColor="text1" w:themeTint="A6"/>
    </w:rPr>
  </w:style>
  <w:style w:type="paragraph" w:styleId="Ttulo8">
    <w:name w:val="heading 8"/>
    <w:basedOn w:val="Normal"/>
    <w:next w:val="Normal"/>
    <w:link w:val="Ttulo8Car"/>
    <w:uiPriority w:val="9"/>
    <w:semiHidden/>
    <w:unhideWhenUsed/>
    <w:qFormat/>
    <w:rsid w:val="00984B73"/>
    <w:pPr>
      <w:keepNext/>
      <w:keepLines/>
      <w:spacing w:after="0"/>
      <w:outlineLvl w:val="7"/>
    </w:pPr>
    <w:rPr>
      <w:rFonts w:eastAsiaTheme="majorEastAsia" w:cstheme="majorBidi"/>
      <w:i/>
      <w:iCs/>
      <w:color w:val="01B9A3" w:themeColor="text1" w:themeTint="D8"/>
    </w:rPr>
  </w:style>
  <w:style w:type="paragraph" w:styleId="Ttulo9">
    <w:name w:val="heading 9"/>
    <w:basedOn w:val="Normal"/>
    <w:next w:val="Normal"/>
    <w:link w:val="Ttulo9Car"/>
    <w:uiPriority w:val="9"/>
    <w:semiHidden/>
    <w:unhideWhenUsed/>
    <w:qFormat/>
    <w:rsid w:val="00984B73"/>
    <w:pPr>
      <w:keepNext/>
      <w:keepLines/>
      <w:spacing w:after="0"/>
      <w:outlineLvl w:val="8"/>
    </w:pPr>
    <w:rPr>
      <w:rFonts w:eastAsiaTheme="majorEastAsia" w:cstheme="majorBidi"/>
      <w:color w:val="01B9A3"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6A43"/>
    <w:rPr>
      <w:rFonts w:ascii="Bahnschrift" w:hAnsi="Bahnschrift"/>
      <w:b/>
      <w:bCs/>
      <w:color w:val="01382D" w:themeColor="text2"/>
      <w:sz w:val="48"/>
      <w:szCs w:val="48"/>
      <w:shd w:val="clear" w:color="auto" w:fill="73D9A7" w:themeFill="background2"/>
    </w:rPr>
  </w:style>
  <w:style w:type="character" w:customStyle="1" w:styleId="Ttulo2Car">
    <w:name w:val="Título 2 Car"/>
    <w:basedOn w:val="Fuentedeprrafopredeter"/>
    <w:link w:val="Ttulo2"/>
    <w:uiPriority w:val="9"/>
    <w:rsid w:val="002F764C"/>
    <w:rPr>
      <w:rFonts w:ascii="Bahnschrift" w:hAnsi="Bahnschrift"/>
      <w:b/>
      <w:bCs/>
      <w:color w:val="01382D" w:themeColor="text2"/>
      <w:sz w:val="40"/>
      <w:szCs w:val="40"/>
    </w:rPr>
  </w:style>
  <w:style w:type="character" w:customStyle="1" w:styleId="Ttulo3Car">
    <w:name w:val="Título 3 Car"/>
    <w:basedOn w:val="Fuentedeprrafopredeter"/>
    <w:link w:val="Ttulo3"/>
    <w:uiPriority w:val="9"/>
    <w:rsid w:val="002F764C"/>
    <w:rPr>
      <w:rFonts w:ascii="Bahnschrift" w:hAnsi="Bahnschrift"/>
      <w:b/>
      <w:bCs/>
      <w:color w:val="018071" w:themeColor="text1"/>
      <w:sz w:val="36"/>
      <w:szCs w:val="36"/>
    </w:rPr>
  </w:style>
  <w:style w:type="character" w:customStyle="1" w:styleId="Ttulo4Car">
    <w:name w:val="Título 4 Car"/>
    <w:basedOn w:val="Fuentedeprrafopredeter"/>
    <w:link w:val="Ttulo4"/>
    <w:uiPriority w:val="9"/>
    <w:semiHidden/>
    <w:rsid w:val="00984B73"/>
    <w:rPr>
      <w:rFonts w:eastAsiaTheme="majorEastAsia" w:cstheme="majorBidi"/>
      <w:i/>
      <w:iCs/>
      <w:color w:val="35C37D" w:themeColor="accent1" w:themeShade="BF"/>
    </w:rPr>
  </w:style>
  <w:style w:type="character" w:customStyle="1" w:styleId="Ttulo5Car">
    <w:name w:val="Título 5 Car"/>
    <w:basedOn w:val="Fuentedeprrafopredeter"/>
    <w:link w:val="Ttulo5"/>
    <w:uiPriority w:val="9"/>
    <w:semiHidden/>
    <w:rsid w:val="00984B73"/>
    <w:rPr>
      <w:rFonts w:eastAsiaTheme="majorEastAsia" w:cstheme="majorBidi"/>
      <w:color w:val="35C37D" w:themeColor="accent1" w:themeShade="BF"/>
    </w:rPr>
  </w:style>
  <w:style w:type="character" w:customStyle="1" w:styleId="Ttulo6Car">
    <w:name w:val="Título 6 Car"/>
    <w:basedOn w:val="Fuentedeprrafopredeter"/>
    <w:link w:val="Ttulo6"/>
    <w:uiPriority w:val="9"/>
    <w:semiHidden/>
    <w:rsid w:val="00984B73"/>
    <w:rPr>
      <w:rFonts w:eastAsiaTheme="majorEastAsia" w:cstheme="majorBidi"/>
      <w:i/>
      <w:iCs/>
      <w:color w:val="08FDDF" w:themeColor="text1" w:themeTint="A6"/>
    </w:rPr>
  </w:style>
  <w:style w:type="character" w:customStyle="1" w:styleId="Ttulo7Car">
    <w:name w:val="Título 7 Car"/>
    <w:basedOn w:val="Fuentedeprrafopredeter"/>
    <w:link w:val="Ttulo7"/>
    <w:uiPriority w:val="9"/>
    <w:semiHidden/>
    <w:rsid w:val="00984B73"/>
    <w:rPr>
      <w:rFonts w:eastAsiaTheme="majorEastAsia" w:cstheme="majorBidi"/>
      <w:color w:val="08FDDF" w:themeColor="text1" w:themeTint="A6"/>
    </w:rPr>
  </w:style>
  <w:style w:type="character" w:customStyle="1" w:styleId="Ttulo8Car">
    <w:name w:val="Título 8 Car"/>
    <w:basedOn w:val="Fuentedeprrafopredeter"/>
    <w:link w:val="Ttulo8"/>
    <w:uiPriority w:val="9"/>
    <w:semiHidden/>
    <w:rsid w:val="00984B73"/>
    <w:rPr>
      <w:rFonts w:eastAsiaTheme="majorEastAsia" w:cstheme="majorBidi"/>
      <w:i/>
      <w:iCs/>
      <w:color w:val="01B9A3" w:themeColor="text1" w:themeTint="D8"/>
    </w:rPr>
  </w:style>
  <w:style w:type="character" w:customStyle="1" w:styleId="Ttulo9Car">
    <w:name w:val="Título 9 Car"/>
    <w:basedOn w:val="Fuentedeprrafopredeter"/>
    <w:link w:val="Ttulo9"/>
    <w:uiPriority w:val="9"/>
    <w:semiHidden/>
    <w:rsid w:val="00984B73"/>
    <w:rPr>
      <w:rFonts w:eastAsiaTheme="majorEastAsia" w:cstheme="majorBidi"/>
      <w:color w:val="01B9A3" w:themeColor="text1" w:themeTint="D8"/>
    </w:rPr>
  </w:style>
  <w:style w:type="paragraph" w:styleId="Ttulo">
    <w:name w:val="Title"/>
    <w:basedOn w:val="Normal"/>
    <w:next w:val="Normal"/>
    <w:link w:val="TtuloCar"/>
    <w:uiPriority w:val="10"/>
    <w:rsid w:val="00984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4B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67A8"/>
    <w:rPr>
      <w:b/>
      <w:bCs/>
      <w:sz w:val="28"/>
      <w:szCs w:val="28"/>
    </w:rPr>
  </w:style>
  <w:style w:type="character" w:customStyle="1" w:styleId="SubttuloCar">
    <w:name w:val="Subtítulo Car"/>
    <w:basedOn w:val="Fuentedeprrafopredeter"/>
    <w:link w:val="Subttulo"/>
    <w:uiPriority w:val="11"/>
    <w:rsid w:val="003C67A8"/>
    <w:rPr>
      <w:rFonts w:ascii="Bahnschrift" w:hAnsi="Bahnschrift"/>
      <w:b/>
      <w:bCs/>
      <w:color w:val="018071" w:themeColor="text1"/>
      <w:sz w:val="28"/>
      <w:szCs w:val="28"/>
    </w:rPr>
  </w:style>
  <w:style w:type="paragraph" w:styleId="Cita">
    <w:name w:val="Quote"/>
    <w:basedOn w:val="Normal"/>
    <w:next w:val="Normal"/>
    <w:link w:val="CitaCar"/>
    <w:uiPriority w:val="29"/>
    <w:qFormat/>
    <w:rsid w:val="00360FE4"/>
    <w:pPr>
      <w:pBdr>
        <w:top w:val="single" w:sz="8" w:space="14" w:color="018071" w:themeColor="accent3"/>
        <w:bottom w:val="single" w:sz="8" w:space="14" w:color="018071" w:themeColor="accent3"/>
      </w:pBdr>
      <w:spacing w:before="160"/>
    </w:pPr>
    <w:rPr>
      <w:i/>
      <w:iCs/>
    </w:rPr>
  </w:style>
  <w:style w:type="character" w:customStyle="1" w:styleId="CitaCar">
    <w:name w:val="Cita Car"/>
    <w:basedOn w:val="Fuentedeprrafopredeter"/>
    <w:link w:val="Cita"/>
    <w:uiPriority w:val="29"/>
    <w:rsid w:val="00360FE4"/>
    <w:rPr>
      <w:rFonts w:ascii="Bahnschrift" w:hAnsi="Bahnschrift"/>
      <w:i/>
      <w:iCs/>
      <w:color w:val="018071" w:themeColor="text1"/>
    </w:rPr>
  </w:style>
  <w:style w:type="paragraph" w:styleId="Prrafodelista">
    <w:name w:val="List Paragraph"/>
    <w:basedOn w:val="Normal"/>
    <w:link w:val="PrrafodelistaCar"/>
    <w:uiPriority w:val="34"/>
    <w:qFormat/>
    <w:rsid w:val="00984B73"/>
    <w:pPr>
      <w:ind w:left="720"/>
      <w:contextualSpacing/>
    </w:pPr>
  </w:style>
  <w:style w:type="character" w:styleId="nfasisintenso">
    <w:name w:val="Intense Emphasis"/>
    <w:basedOn w:val="Fuentedeprrafopredeter"/>
    <w:uiPriority w:val="21"/>
    <w:qFormat/>
    <w:rsid w:val="00F76A96"/>
    <w:rPr>
      <w:i/>
      <w:iCs/>
      <w:color w:val="01382D" w:themeColor="accent2"/>
      <w:shd w:val="clear" w:color="auto" w:fill="73D9A7" w:themeFill="background2"/>
    </w:rPr>
  </w:style>
  <w:style w:type="paragraph" w:styleId="Citadestacada">
    <w:name w:val="Intense Quote"/>
    <w:basedOn w:val="Normal"/>
    <w:next w:val="Normal"/>
    <w:link w:val="CitadestacadaCar"/>
    <w:uiPriority w:val="30"/>
    <w:qFormat/>
    <w:rsid w:val="00360FE4"/>
    <w:pPr>
      <w:pBdr>
        <w:top w:val="single" w:sz="8" w:space="6" w:color="018071" w:themeColor="accent3"/>
        <w:bottom w:val="single" w:sz="8" w:space="6" w:color="018071" w:themeColor="accent3"/>
      </w:pBdr>
      <w:jc w:val="center"/>
    </w:pPr>
    <w:rPr>
      <w:i/>
      <w:iCs/>
    </w:rPr>
  </w:style>
  <w:style w:type="character" w:customStyle="1" w:styleId="CitadestacadaCar">
    <w:name w:val="Cita destacada Car"/>
    <w:basedOn w:val="Fuentedeprrafopredeter"/>
    <w:link w:val="Citadestacada"/>
    <w:uiPriority w:val="30"/>
    <w:rsid w:val="00360FE4"/>
    <w:rPr>
      <w:rFonts w:ascii="Bahnschrift" w:hAnsi="Bahnschrift"/>
      <w:i/>
      <w:iCs/>
      <w:color w:val="01382D" w:themeColor="text2"/>
    </w:rPr>
  </w:style>
  <w:style w:type="character" w:styleId="Referenciaintensa">
    <w:name w:val="Intense Reference"/>
    <w:basedOn w:val="Fuentedeprrafopredeter"/>
    <w:uiPriority w:val="32"/>
    <w:rsid w:val="00984B73"/>
    <w:rPr>
      <w:b/>
      <w:bCs/>
      <w:smallCaps/>
      <w:color w:val="35C37D" w:themeColor="accent1" w:themeShade="BF"/>
      <w:spacing w:val="5"/>
    </w:rPr>
  </w:style>
  <w:style w:type="paragraph" w:styleId="Encabezado">
    <w:name w:val="header"/>
    <w:basedOn w:val="Normal"/>
    <w:link w:val="EncabezadoCar"/>
    <w:uiPriority w:val="99"/>
    <w:unhideWhenUsed/>
    <w:rsid w:val="00984B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4B73"/>
  </w:style>
  <w:style w:type="paragraph" w:styleId="Piedepgina">
    <w:name w:val="footer"/>
    <w:basedOn w:val="Normal"/>
    <w:link w:val="PiedepginaCar"/>
    <w:uiPriority w:val="99"/>
    <w:unhideWhenUsed/>
    <w:rsid w:val="00984B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4B73"/>
  </w:style>
  <w:style w:type="table" w:styleId="Tablaconcuadrcula">
    <w:name w:val="Table Grid"/>
    <w:basedOn w:val="Tablanormal"/>
    <w:uiPriority w:val="39"/>
    <w:rsid w:val="008E7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8E7B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E7BC0"/>
    <w:pPr>
      <w:spacing w:after="0" w:line="240" w:lineRule="auto"/>
    </w:pPr>
    <w:tblPr>
      <w:tblStyleRowBandSize w:val="1"/>
      <w:tblStyleColBandSize w:val="1"/>
      <w:tblBorders>
        <w:top w:val="single" w:sz="4" w:space="0" w:color="41FDE6" w:themeColor="text1" w:themeTint="80"/>
        <w:bottom w:val="single" w:sz="4" w:space="0" w:color="41FDE6" w:themeColor="text1" w:themeTint="80"/>
      </w:tblBorders>
    </w:tblPr>
    <w:tblStylePr w:type="firstRow">
      <w:rPr>
        <w:b/>
        <w:bCs/>
      </w:rPr>
      <w:tblPr/>
      <w:tcPr>
        <w:tcBorders>
          <w:bottom w:val="single" w:sz="4" w:space="0" w:color="41FDE6" w:themeColor="text1" w:themeTint="80"/>
        </w:tcBorders>
      </w:tcPr>
    </w:tblStylePr>
    <w:tblStylePr w:type="lastRow">
      <w:rPr>
        <w:b/>
        <w:bCs/>
      </w:rPr>
      <w:tblPr/>
      <w:tcPr>
        <w:tcBorders>
          <w:top w:val="single" w:sz="4" w:space="0" w:color="41FDE6" w:themeColor="text1" w:themeTint="80"/>
        </w:tcBorders>
      </w:tcPr>
    </w:tblStylePr>
    <w:tblStylePr w:type="firstCol">
      <w:rPr>
        <w:b/>
        <w:bCs/>
      </w:rPr>
    </w:tblStylePr>
    <w:tblStylePr w:type="lastCol">
      <w:rPr>
        <w:b/>
        <w:bCs/>
      </w:rPr>
    </w:tblStylePr>
    <w:tblStylePr w:type="band1Vert">
      <w:tblPr/>
      <w:tcPr>
        <w:tcBorders>
          <w:left w:val="single" w:sz="4" w:space="0" w:color="41FDE6" w:themeColor="text1" w:themeTint="80"/>
          <w:right w:val="single" w:sz="4" w:space="0" w:color="41FDE6" w:themeColor="text1" w:themeTint="80"/>
        </w:tcBorders>
      </w:tcPr>
    </w:tblStylePr>
    <w:tblStylePr w:type="band2Vert">
      <w:tblPr/>
      <w:tcPr>
        <w:tcBorders>
          <w:left w:val="single" w:sz="4" w:space="0" w:color="41FDE6" w:themeColor="text1" w:themeTint="80"/>
          <w:right w:val="single" w:sz="4" w:space="0" w:color="41FDE6" w:themeColor="text1" w:themeTint="80"/>
        </w:tcBorders>
      </w:tcPr>
    </w:tblStylePr>
    <w:tblStylePr w:type="band1Horz">
      <w:tblPr/>
      <w:tcPr>
        <w:tcBorders>
          <w:top w:val="single" w:sz="4" w:space="0" w:color="41FDE6" w:themeColor="text1" w:themeTint="80"/>
          <w:bottom w:val="single" w:sz="4" w:space="0" w:color="41FDE6" w:themeColor="text1" w:themeTint="80"/>
        </w:tcBorders>
      </w:tcPr>
    </w:tblStylePr>
  </w:style>
  <w:style w:type="table" w:styleId="Tablanormal5">
    <w:name w:val="Plain Table 5"/>
    <w:basedOn w:val="Tablanormal"/>
    <w:uiPriority w:val="45"/>
    <w:rsid w:val="008E7B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1FDE6"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FDE6"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FDE6"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FDE6"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8E7BC0"/>
    <w:pPr>
      <w:spacing w:after="0" w:line="240" w:lineRule="auto"/>
    </w:pPr>
    <w:tblPr>
      <w:tblStyleRowBandSize w:val="1"/>
      <w:tblStyleColBandSize w:val="1"/>
      <w:tblBorders>
        <w:top w:val="single" w:sz="4" w:space="0" w:color="AAE8CA" w:themeColor="accent1" w:themeTint="99"/>
        <w:left w:val="single" w:sz="4" w:space="0" w:color="AAE8CA" w:themeColor="accent1" w:themeTint="99"/>
        <w:bottom w:val="single" w:sz="4" w:space="0" w:color="AAE8CA" w:themeColor="accent1" w:themeTint="99"/>
        <w:right w:val="single" w:sz="4" w:space="0" w:color="AAE8CA" w:themeColor="accent1" w:themeTint="99"/>
        <w:insideH w:val="single" w:sz="4" w:space="0" w:color="AAE8CA" w:themeColor="accent1" w:themeTint="99"/>
        <w:insideV w:val="single" w:sz="4" w:space="0" w:color="AAE8CA" w:themeColor="accent1" w:themeTint="99"/>
      </w:tblBorders>
    </w:tblPr>
    <w:tblStylePr w:type="firstRow">
      <w:rPr>
        <w:b/>
        <w:bCs/>
        <w:color w:val="FFFFFF" w:themeColor="background1"/>
      </w:rPr>
      <w:tblPr/>
      <w:tcPr>
        <w:tcBorders>
          <w:top w:val="single" w:sz="4" w:space="0" w:color="73D9A7" w:themeColor="accent1"/>
          <w:left w:val="single" w:sz="4" w:space="0" w:color="73D9A7" w:themeColor="accent1"/>
          <w:bottom w:val="single" w:sz="4" w:space="0" w:color="73D9A7" w:themeColor="accent1"/>
          <w:right w:val="single" w:sz="4" w:space="0" w:color="73D9A7" w:themeColor="accent1"/>
          <w:insideH w:val="nil"/>
          <w:insideV w:val="nil"/>
        </w:tcBorders>
        <w:shd w:val="clear" w:color="auto" w:fill="73D9A7" w:themeFill="accent1"/>
      </w:tcPr>
    </w:tblStylePr>
    <w:tblStylePr w:type="lastRow">
      <w:rPr>
        <w:b/>
        <w:bCs/>
      </w:rPr>
      <w:tblPr/>
      <w:tcPr>
        <w:tcBorders>
          <w:top w:val="double" w:sz="4" w:space="0" w:color="73D9A7" w:themeColor="accent1"/>
        </w:tcBorders>
      </w:tcPr>
    </w:tblStylePr>
    <w:tblStylePr w:type="firstCol">
      <w:rPr>
        <w:b/>
        <w:bCs/>
      </w:rPr>
    </w:tblStylePr>
    <w:tblStylePr w:type="lastCol">
      <w:rPr>
        <w:b/>
        <w:bCs/>
      </w:rPr>
    </w:tblStylePr>
    <w:tblStylePr w:type="band1Vert">
      <w:tblPr/>
      <w:tcPr>
        <w:shd w:val="clear" w:color="auto" w:fill="E2F7ED" w:themeFill="accent1" w:themeFillTint="33"/>
      </w:tcPr>
    </w:tblStylePr>
    <w:tblStylePr w:type="band1Horz">
      <w:tblPr/>
      <w:tcPr>
        <w:shd w:val="clear" w:color="auto" w:fill="E2F7ED" w:themeFill="accent1" w:themeFillTint="33"/>
      </w:tcPr>
    </w:tblStylePr>
  </w:style>
  <w:style w:type="paragraph" w:styleId="Sinespaciado">
    <w:name w:val="No Spacing"/>
    <w:uiPriority w:val="1"/>
    <w:qFormat/>
    <w:rsid w:val="008E7BC0"/>
    <w:pPr>
      <w:spacing w:after="0" w:line="240" w:lineRule="auto"/>
    </w:pPr>
    <w:rPr>
      <w:rFonts w:ascii="Bahnschrift" w:hAnsi="Bahnschrift"/>
      <w:color w:val="018071" w:themeColor="text1"/>
    </w:rPr>
  </w:style>
  <w:style w:type="character" w:styleId="Fuerte">
    <w:name w:val="Strong"/>
    <w:basedOn w:val="Fuentedeprrafopredeter"/>
    <w:uiPriority w:val="22"/>
    <w:qFormat/>
    <w:rsid w:val="008E7BC0"/>
    <w:rPr>
      <w:b/>
      <w:bCs/>
    </w:rPr>
  </w:style>
  <w:style w:type="paragraph" w:customStyle="1" w:styleId="Descripcin-piedefoto">
    <w:name w:val="Descripción - pie de foto"/>
    <w:basedOn w:val="Normal"/>
    <w:link w:val="Descripcin-piedefotoCar"/>
    <w:qFormat/>
    <w:rsid w:val="009E073C"/>
    <w:pPr>
      <w:spacing w:before="120"/>
      <w:jc w:val="right"/>
    </w:pPr>
    <w:rPr>
      <w:i/>
      <w:iCs/>
      <w:color w:val="018071" w:themeColor="text1"/>
      <w:sz w:val="18"/>
      <w:szCs w:val="18"/>
    </w:rPr>
  </w:style>
  <w:style w:type="character" w:customStyle="1" w:styleId="Descripcin-piedefotoCar">
    <w:name w:val="Descripción - pie de foto Car"/>
    <w:basedOn w:val="Fuentedeprrafopredeter"/>
    <w:link w:val="Descripcin-piedefoto"/>
    <w:rsid w:val="009E073C"/>
    <w:rPr>
      <w:rFonts w:ascii="Bahnschrift" w:hAnsi="Bahnschrift"/>
      <w:i/>
      <w:iCs/>
      <w:color w:val="018071" w:themeColor="text1"/>
      <w:sz w:val="18"/>
      <w:szCs w:val="18"/>
    </w:rPr>
  </w:style>
  <w:style w:type="table" w:styleId="Tabladelista3-nfasis1">
    <w:name w:val="List Table 3 Accent 1"/>
    <w:basedOn w:val="Tablanormal"/>
    <w:uiPriority w:val="48"/>
    <w:rsid w:val="00E613BB"/>
    <w:pPr>
      <w:spacing w:after="0" w:line="240" w:lineRule="auto"/>
    </w:pPr>
    <w:tblPr>
      <w:tblStyleRowBandSize w:val="1"/>
      <w:tblStyleColBandSize w:val="1"/>
      <w:tblBorders>
        <w:top w:val="single" w:sz="4" w:space="0" w:color="73D9A7" w:themeColor="accent1"/>
        <w:left w:val="single" w:sz="4" w:space="0" w:color="73D9A7" w:themeColor="accent1"/>
        <w:bottom w:val="single" w:sz="4" w:space="0" w:color="73D9A7" w:themeColor="accent1"/>
        <w:right w:val="single" w:sz="4" w:space="0" w:color="73D9A7" w:themeColor="accent1"/>
      </w:tblBorders>
    </w:tblPr>
    <w:tblStylePr w:type="firstRow">
      <w:rPr>
        <w:b/>
        <w:bCs/>
        <w:color w:val="FFFFFF" w:themeColor="background1"/>
      </w:rPr>
      <w:tblPr/>
      <w:tcPr>
        <w:shd w:val="clear" w:color="auto" w:fill="73D9A7" w:themeFill="accent1"/>
      </w:tcPr>
    </w:tblStylePr>
    <w:tblStylePr w:type="lastRow">
      <w:rPr>
        <w:b/>
        <w:bCs/>
      </w:rPr>
      <w:tblPr/>
      <w:tcPr>
        <w:tcBorders>
          <w:top w:val="double" w:sz="4" w:space="0" w:color="73D9A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D9A7" w:themeColor="accent1"/>
          <w:right w:val="single" w:sz="4" w:space="0" w:color="73D9A7" w:themeColor="accent1"/>
        </w:tcBorders>
      </w:tcPr>
    </w:tblStylePr>
    <w:tblStylePr w:type="band1Horz">
      <w:tblPr/>
      <w:tcPr>
        <w:tcBorders>
          <w:top w:val="single" w:sz="4" w:space="0" w:color="73D9A7" w:themeColor="accent1"/>
          <w:bottom w:val="single" w:sz="4" w:space="0" w:color="73D9A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D9A7" w:themeColor="accent1"/>
          <w:left w:val="nil"/>
        </w:tcBorders>
      </w:tcPr>
    </w:tblStylePr>
    <w:tblStylePr w:type="swCell">
      <w:tblPr/>
      <w:tcPr>
        <w:tcBorders>
          <w:top w:val="double" w:sz="4" w:space="0" w:color="73D9A7" w:themeColor="accent1"/>
          <w:right w:val="nil"/>
        </w:tcBorders>
      </w:tcPr>
    </w:tblStylePr>
  </w:style>
  <w:style w:type="table" w:styleId="Tabladelista5oscura-nfasis1">
    <w:name w:val="List Table 5 Dark Accent 1"/>
    <w:basedOn w:val="Tablanormal"/>
    <w:uiPriority w:val="50"/>
    <w:rsid w:val="00E613BB"/>
    <w:pPr>
      <w:spacing w:after="0" w:line="240" w:lineRule="auto"/>
    </w:pPr>
    <w:rPr>
      <w:color w:val="FFFFFF" w:themeColor="background1"/>
    </w:rPr>
    <w:tblPr>
      <w:tblStyleRowBandSize w:val="1"/>
      <w:tblStyleColBandSize w:val="1"/>
      <w:tblBorders>
        <w:top w:val="single" w:sz="24" w:space="0" w:color="73D9A7" w:themeColor="accent1"/>
        <w:left w:val="single" w:sz="24" w:space="0" w:color="73D9A7" w:themeColor="accent1"/>
        <w:bottom w:val="single" w:sz="24" w:space="0" w:color="73D9A7" w:themeColor="accent1"/>
        <w:right w:val="single" w:sz="24" w:space="0" w:color="73D9A7" w:themeColor="accent1"/>
      </w:tblBorders>
    </w:tblPr>
    <w:tcPr>
      <w:shd w:val="clear" w:color="auto" w:fill="73D9A7"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E613BB"/>
    <w:pPr>
      <w:spacing w:after="0" w:line="240" w:lineRule="auto"/>
    </w:pPr>
    <w:rPr>
      <w:color w:val="FFFFFF" w:themeColor="background1"/>
    </w:rPr>
    <w:tblPr>
      <w:tblStyleRowBandSize w:val="1"/>
      <w:tblStyleColBandSize w:val="1"/>
      <w:tblBorders>
        <w:top w:val="single" w:sz="24" w:space="0" w:color="FAD802" w:themeColor="accent4"/>
        <w:left w:val="single" w:sz="24" w:space="0" w:color="FAD802" w:themeColor="accent4"/>
        <w:bottom w:val="single" w:sz="24" w:space="0" w:color="FAD802" w:themeColor="accent4"/>
        <w:right w:val="single" w:sz="24" w:space="0" w:color="FAD802" w:themeColor="accent4"/>
      </w:tblBorders>
    </w:tblPr>
    <w:tcPr>
      <w:shd w:val="clear" w:color="auto" w:fill="FAD80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VietaMISE">
    <w:name w:val="Viñeta MISE"/>
    <w:basedOn w:val="Prrafodelista"/>
    <w:link w:val="VietaMISECar"/>
    <w:qFormat/>
    <w:rsid w:val="009E073C"/>
    <w:pPr>
      <w:numPr>
        <w:numId w:val="3"/>
      </w:numPr>
      <w:spacing w:before="200" w:after="200"/>
      <w:ind w:left="714" w:hanging="357"/>
      <w:contextualSpacing w:val="0"/>
    </w:pPr>
  </w:style>
  <w:style w:type="character" w:customStyle="1" w:styleId="PrrafodelistaCar">
    <w:name w:val="Párrafo de lista Car"/>
    <w:basedOn w:val="Fuentedeprrafopredeter"/>
    <w:link w:val="Prrafodelista"/>
    <w:uiPriority w:val="34"/>
    <w:rsid w:val="00151D3D"/>
    <w:rPr>
      <w:rFonts w:ascii="Bahnschrift" w:hAnsi="Bahnschrift"/>
      <w:color w:val="018071" w:themeColor="text1"/>
    </w:rPr>
  </w:style>
  <w:style w:type="character" w:customStyle="1" w:styleId="VietaMISECar">
    <w:name w:val="Viñeta MISE Car"/>
    <w:basedOn w:val="PrrafodelistaCar"/>
    <w:link w:val="VietaMISE"/>
    <w:rsid w:val="009E073C"/>
    <w:rPr>
      <w:rFonts w:ascii="Bahnschrift" w:hAnsi="Bahnschrift"/>
      <w:color w:val="01382D" w:themeColor="text2"/>
    </w:rPr>
  </w:style>
  <w:style w:type="paragraph" w:customStyle="1" w:styleId="NumeracinMISE">
    <w:name w:val="Numeración MISE"/>
    <w:basedOn w:val="Prrafodelista"/>
    <w:link w:val="NumeracinMISECar"/>
    <w:qFormat/>
    <w:rsid w:val="009E073C"/>
    <w:pPr>
      <w:numPr>
        <w:numId w:val="4"/>
      </w:numPr>
      <w:spacing w:before="240" w:after="240"/>
      <w:ind w:left="714" w:hanging="357"/>
      <w:contextualSpacing w:val="0"/>
    </w:pPr>
  </w:style>
  <w:style w:type="character" w:customStyle="1" w:styleId="NumeracinMISECar">
    <w:name w:val="Numeración MISE Car"/>
    <w:basedOn w:val="PrrafodelistaCar"/>
    <w:link w:val="NumeracinMISE"/>
    <w:rsid w:val="009E073C"/>
    <w:rPr>
      <w:rFonts w:ascii="Bahnschrift" w:hAnsi="Bahnschrift"/>
      <w:color w:val="01382D" w:themeColor="text2"/>
    </w:rPr>
  </w:style>
  <w:style w:type="paragraph" w:customStyle="1" w:styleId="Autorcita">
    <w:name w:val="Autor cita"/>
    <w:basedOn w:val="Normal"/>
    <w:link w:val="AutorcitaCar"/>
    <w:qFormat/>
    <w:rsid w:val="009E073C"/>
    <w:pPr>
      <w:jc w:val="right"/>
    </w:pPr>
    <w:rPr>
      <w:b/>
      <w:bCs/>
      <w:i/>
      <w:iCs/>
      <w:color w:val="018071" w:themeColor="text1"/>
      <w:sz w:val="24"/>
      <w:szCs w:val="24"/>
    </w:rPr>
  </w:style>
  <w:style w:type="character" w:customStyle="1" w:styleId="AutorcitaCar">
    <w:name w:val="Autor cita Car"/>
    <w:basedOn w:val="Fuentedeprrafopredeter"/>
    <w:link w:val="Autorcita"/>
    <w:rsid w:val="009E073C"/>
    <w:rPr>
      <w:rFonts w:ascii="Bahnschrift" w:hAnsi="Bahnschrift"/>
      <w:b/>
      <w:bCs/>
      <w:i/>
      <w:iCs/>
      <w:color w:val="018071" w:themeColor="text1"/>
      <w:sz w:val="24"/>
      <w:szCs w:val="24"/>
    </w:rPr>
  </w:style>
  <w:style w:type="character" w:styleId="nfasissutil">
    <w:name w:val="Subtle Emphasis"/>
    <w:basedOn w:val="Fuentedeprrafopredeter"/>
    <w:uiPriority w:val="19"/>
    <w:qFormat/>
    <w:rsid w:val="00F76A96"/>
    <w:rPr>
      <w:i/>
      <w:iCs/>
      <w:color w:val="01382D" w:themeColor="accent2"/>
    </w:rPr>
  </w:style>
  <w:style w:type="character" w:styleId="nfasis">
    <w:name w:val="Emphasis"/>
    <w:basedOn w:val="Fuentedeprrafopredeter"/>
    <w:uiPriority w:val="20"/>
    <w:qFormat/>
    <w:rsid w:val="00F76A96"/>
    <w:rPr>
      <w:i/>
      <w:iCs/>
      <w:color w:val="018071" w:themeColor="accent3"/>
    </w:rPr>
  </w:style>
  <w:style w:type="table" w:styleId="Tablaconcuadrcula4-nfasis3">
    <w:name w:val="Grid Table 4 Accent 3"/>
    <w:basedOn w:val="Tablanormal"/>
    <w:uiPriority w:val="49"/>
    <w:rsid w:val="00720F69"/>
    <w:pPr>
      <w:spacing w:after="0" w:line="240" w:lineRule="auto"/>
    </w:pPr>
    <w:tblPr>
      <w:tblStyleRowBandSize w:val="1"/>
      <w:tblStyleColBandSize w:val="1"/>
      <w:tblBorders>
        <w:top w:val="single" w:sz="4" w:space="0" w:color="1CFDE1" w:themeColor="accent3" w:themeTint="99"/>
        <w:left w:val="single" w:sz="4" w:space="0" w:color="1CFDE1" w:themeColor="accent3" w:themeTint="99"/>
        <w:bottom w:val="single" w:sz="4" w:space="0" w:color="1CFDE1" w:themeColor="accent3" w:themeTint="99"/>
        <w:right w:val="single" w:sz="4" w:space="0" w:color="1CFDE1" w:themeColor="accent3" w:themeTint="99"/>
        <w:insideH w:val="single" w:sz="4" w:space="0" w:color="1CFDE1" w:themeColor="accent3" w:themeTint="99"/>
        <w:insideV w:val="single" w:sz="4" w:space="0" w:color="1CFDE1" w:themeColor="accent3" w:themeTint="99"/>
      </w:tblBorders>
    </w:tblPr>
    <w:tblStylePr w:type="firstRow">
      <w:rPr>
        <w:b/>
        <w:bCs/>
        <w:color w:val="FFFFFF" w:themeColor="background1"/>
      </w:rPr>
      <w:tblPr/>
      <w:tcPr>
        <w:tcBorders>
          <w:top w:val="single" w:sz="4" w:space="0" w:color="018071" w:themeColor="accent3"/>
          <w:left w:val="single" w:sz="4" w:space="0" w:color="018071" w:themeColor="accent3"/>
          <w:bottom w:val="single" w:sz="4" w:space="0" w:color="018071" w:themeColor="accent3"/>
          <w:right w:val="single" w:sz="4" w:space="0" w:color="018071" w:themeColor="accent3"/>
          <w:insideH w:val="nil"/>
          <w:insideV w:val="nil"/>
        </w:tcBorders>
        <w:shd w:val="clear" w:color="auto" w:fill="018071" w:themeFill="accent3"/>
      </w:tcPr>
    </w:tblStylePr>
    <w:tblStylePr w:type="lastRow">
      <w:rPr>
        <w:b/>
        <w:bCs/>
      </w:rPr>
      <w:tblPr/>
      <w:tcPr>
        <w:tcBorders>
          <w:top w:val="double" w:sz="4" w:space="0" w:color="018071" w:themeColor="accent3"/>
        </w:tcBorders>
      </w:tcPr>
    </w:tblStylePr>
    <w:tblStylePr w:type="firstCol">
      <w:rPr>
        <w:b/>
        <w:bCs/>
      </w:rPr>
    </w:tblStylePr>
    <w:tblStylePr w:type="lastCol">
      <w:rPr>
        <w:b/>
        <w:bCs/>
      </w:rPr>
    </w:tblStylePr>
    <w:tblStylePr w:type="band1Vert">
      <w:tblPr/>
      <w:tcPr>
        <w:shd w:val="clear" w:color="auto" w:fill="B3FEF5" w:themeFill="accent3" w:themeFillTint="33"/>
      </w:tcPr>
    </w:tblStylePr>
    <w:tblStylePr w:type="band1Horz">
      <w:tblPr/>
      <w:tcPr>
        <w:shd w:val="clear" w:color="auto" w:fill="B3FEF5" w:themeFill="accent3" w:themeFillTint="33"/>
      </w:tcPr>
    </w:tblStylePr>
  </w:style>
  <w:style w:type="table" w:styleId="Tabladelista5oscura-nfasis3">
    <w:name w:val="List Table 5 Dark Accent 3"/>
    <w:basedOn w:val="Tablanormal"/>
    <w:uiPriority w:val="50"/>
    <w:rsid w:val="00720F69"/>
    <w:pPr>
      <w:spacing w:after="0" w:line="240" w:lineRule="auto"/>
    </w:pPr>
    <w:rPr>
      <w:color w:val="FFFFFF" w:themeColor="background1"/>
    </w:rPr>
    <w:tblPr>
      <w:tblStyleRowBandSize w:val="1"/>
      <w:tblStyleColBandSize w:val="1"/>
      <w:tblBorders>
        <w:top w:val="single" w:sz="24" w:space="0" w:color="018071" w:themeColor="accent3"/>
        <w:left w:val="single" w:sz="24" w:space="0" w:color="018071" w:themeColor="accent3"/>
        <w:bottom w:val="single" w:sz="24" w:space="0" w:color="018071" w:themeColor="accent3"/>
        <w:right w:val="single" w:sz="24" w:space="0" w:color="018071" w:themeColor="accent3"/>
      </w:tblBorders>
    </w:tblPr>
    <w:tcPr>
      <w:shd w:val="clear" w:color="auto" w:fill="01807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3-nfasis3">
    <w:name w:val="List Table 3 Accent 3"/>
    <w:basedOn w:val="Tablanormal"/>
    <w:uiPriority w:val="48"/>
    <w:rsid w:val="00720F69"/>
    <w:pPr>
      <w:spacing w:after="0" w:line="240" w:lineRule="auto"/>
    </w:pPr>
    <w:tblPr>
      <w:tblStyleRowBandSize w:val="1"/>
      <w:tblStyleColBandSize w:val="1"/>
      <w:tblBorders>
        <w:top w:val="single" w:sz="4" w:space="0" w:color="018071" w:themeColor="accent3"/>
        <w:left w:val="single" w:sz="4" w:space="0" w:color="018071" w:themeColor="accent3"/>
        <w:bottom w:val="single" w:sz="4" w:space="0" w:color="018071" w:themeColor="accent3"/>
        <w:right w:val="single" w:sz="4" w:space="0" w:color="018071" w:themeColor="accent3"/>
      </w:tblBorders>
    </w:tblPr>
    <w:tblStylePr w:type="firstRow">
      <w:rPr>
        <w:b/>
        <w:bCs/>
        <w:color w:val="FFFFFF" w:themeColor="background1"/>
      </w:rPr>
      <w:tblPr/>
      <w:tcPr>
        <w:shd w:val="clear" w:color="auto" w:fill="018071" w:themeFill="accent3"/>
      </w:tcPr>
    </w:tblStylePr>
    <w:tblStylePr w:type="lastRow">
      <w:rPr>
        <w:b/>
        <w:bCs/>
      </w:rPr>
      <w:tblPr/>
      <w:tcPr>
        <w:tcBorders>
          <w:top w:val="double" w:sz="4" w:space="0" w:color="01807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8071" w:themeColor="accent3"/>
          <w:right w:val="single" w:sz="4" w:space="0" w:color="018071" w:themeColor="accent3"/>
        </w:tcBorders>
      </w:tcPr>
    </w:tblStylePr>
    <w:tblStylePr w:type="band1Horz">
      <w:tblPr/>
      <w:tcPr>
        <w:tcBorders>
          <w:top w:val="single" w:sz="4" w:space="0" w:color="018071" w:themeColor="accent3"/>
          <w:bottom w:val="single" w:sz="4" w:space="0" w:color="01807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8071" w:themeColor="accent3"/>
          <w:left w:val="nil"/>
        </w:tcBorders>
      </w:tcPr>
    </w:tblStylePr>
    <w:tblStylePr w:type="swCell">
      <w:tblPr/>
      <w:tcPr>
        <w:tcBorders>
          <w:top w:val="double" w:sz="4" w:space="0" w:color="018071" w:themeColor="accent3"/>
          <w:right w:val="nil"/>
        </w:tcBorders>
      </w:tcPr>
    </w:tblStylePr>
  </w:style>
  <w:style w:type="table" w:styleId="Tablaconcuadrcula4-nfasis4">
    <w:name w:val="Grid Table 4 Accent 4"/>
    <w:basedOn w:val="Tablanormal"/>
    <w:uiPriority w:val="49"/>
    <w:rsid w:val="007318BA"/>
    <w:pPr>
      <w:spacing w:after="0" w:line="240" w:lineRule="auto"/>
    </w:pPr>
    <w:tblPr>
      <w:tblStyleRowBandSize w:val="1"/>
      <w:tblStyleColBandSize w:val="1"/>
      <w:tblBorders>
        <w:top w:val="single" w:sz="4" w:space="0" w:color="FDE865" w:themeColor="accent4" w:themeTint="99"/>
        <w:left w:val="single" w:sz="4" w:space="0" w:color="FDE865" w:themeColor="accent4" w:themeTint="99"/>
        <w:bottom w:val="single" w:sz="4" w:space="0" w:color="FDE865" w:themeColor="accent4" w:themeTint="99"/>
        <w:right w:val="single" w:sz="4" w:space="0" w:color="FDE865" w:themeColor="accent4" w:themeTint="99"/>
        <w:insideH w:val="single" w:sz="4" w:space="0" w:color="FDE865" w:themeColor="accent4" w:themeTint="99"/>
        <w:insideV w:val="single" w:sz="4" w:space="0" w:color="FDE865" w:themeColor="accent4" w:themeTint="99"/>
      </w:tblBorders>
    </w:tblPr>
    <w:tblStylePr w:type="firstRow">
      <w:rPr>
        <w:b/>
        <w:bCs/>
        <w:color w:val="FFFFFF" w:themeColor="background1"/>
      </w:rPr>
      <w:tblPr/>
      <w:tcPr>
        <w:tcBorders>
          <w:top w:val="single" w:sz="4" w:space="0" w:color="FAD802" w:themeColor="accent4"/>
          <w:left w:val="single" w:sz="4" w:space="0" w:color="FAD802" w:themeColor="accent4"/>
          <w:bottom w:val="single" w:sz="4" w:space="0" w:color="FAD802" w:themeColor="accent4"/>
          <w:right w:val="single" w:sz="4" w:space="0" w:color="FAD802" w:themeColor="accent4"/>
          <w:insideH w:val="nil"/>
          <w:insideV w:val="nil"/>
        </w:tcBorders>
        <w:shd w:val="clear" w:color="auto" w:fill="FAD802" w:themeFill="accent4"/>
      </w:tcPr>
    </w:tblStylePr>
    <w:tblStylePr w:type="lastRow">
      <w:rPr>
        <w:b/>
        <w:bCs/>
      </w:rPr>
      <w:tblPr/>
      <w:tcPr>
        <w:tcBorders>
          <w:top w:val="double" w:sz="4" w:space="0" w:color="FAD802" w:themeColor="accent4"/>
        </w:tcBorders>
      </w:tcPr>
    </w:tblStylePr>
    <w:tblStylePr w:type="firstCol">
      <w:rPr>
        <w:b/>
        <w:bCs/>
      </w:rPr>
    </w:tblStylePr>
    <w:tblStylePr w:type="lastCol">
      <w:rPr>
        <w:b/>
        <w:bCs/>
      </w:rPr>
    </w:tblStylePr>
    <w:tblStylePr w:type="band1Vert">
      <w:tblPr/>
      <w:tcPr>
        <w:shd w:val="clear" w:color="auto" w:fill="FEF7CB" w:themeFill="accent4" w:themeFillTint="33"/>
      </w:tcPr>
    </w:tblStylePr>
    <w:tblStylePr w:type="band1Horz">
      <w:tblPr/>
      <w:tcPr>
        <w:shd w:val="clear" w:color="auto" w:fill="FEF7CB" w:themeFill="accent4" w:themeFillTint="33"/>
      </w:tcPr>
    </w:tblStylePr>
  </w:style>
  <w:style w:type="table" w:styleId="Tabladelista3-nfasis4">
    <w:name w:val="List Table 3 Accent 4"/>
    <w:basedOn w:val="Tablanormal"/>
    <w:uiPriority w:val="48"/>
    <w:rsid w:val="007318BA"/>
    <w:pPr>
      <w:spacing w:after="0" w:line="240" w:lineRule="auto"/>
    </w:pPr>
    <w:tblPr>
      <w:tblStyleRowBandSize w:val="1"/>
      <w:tblStyleColBandSize w:val="1"/>
      <w:tblBorders>
        <w:top w:val="single" w:sz="4" w:space="0" w:color="FAD802" w:themeColor="accent4"/>
        <w:left w:val="single" w:sz="4" w:space="0" w:color="FAD802" w:themeColor="accent4"/>
        <w:bottom w:val="single" w:sz="4" w:space="0" w:color="FAD802" w:themeColor="accent4"/>
        <w:right w:val="single" w:sz="4" w:space="0" w:color="FAD802" w:themeColor="accent4"/>
      </w:tblBorders>
    </w:tblPr>
    <w:tblStylePr w:type="firstRow">
      <w:rPr>
        <w:b/>
        <w:bCs/>
        <w:color w:val="FFFFFF" w:themeColor="background1"/>
      </w:rPr>
      <w:tblPr/>
      <w:tcPr>
        <w:shd w:val="clear" w:color="auto" w:fill="FAD802" w:themeFill="accent4"/>
      </w:tcPr>
    </w:tblStylePr>
    <w:tblStylePr w:type="lastRow">
      <w:rPr>
        <w:b/>
        <w:bCs/>
      </w:rPr>
      <w:tblPr/>
      <w:tcPr>
        <w:tcBorders>
          <w:top w:val="double" w:sz="4" w:space="0" w:color="FAD80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802" w:themeColor="accent4"/>
          <w:right w:val="single" w:sz="4" w:space="0" w:color="FAD802" w:themeColor="accent4"/>
        </w:tcBorders>
      </w:tcPr>
    </w:tblStylePr>
    <w:tblStylePr w:type="band1Horz">
      <w:tblPr/>
      <w:tcPr>
        <w:tcBorders>
          <w:top w:val="single" w:sz="4" w:space="0" w:color="FAD802" w:themeColor="accent4"/>
          <w:bottom w:val="single" w:sz="4" w:space="0" w:color="FAD80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802" w:themeColor="accent4"/>
          <w:left w:val="nil"/>
        </w:tcBorders>
      </w:tcPr>
    </w:tblStylePr>
    <w:tblStylePr w:type="swCell">
      <w:tblPr/>
      <w:tcPr>
        <w:tcBorders>
          <w:top w:val="double" w:sz="4" w:space="0" w:color="FAD802" w:themeColor="accent4"/>
          <w:right w:val="nil"/>
        </w:tcBorders>
      </w:tcPr>
    </w:tblStylePr>
  </w:style>
  <w:style w:type="character" w:customStyle="1" w:styleId="normaltextrun">
    <w:name w:val="normaltextrun"/>
    <w:basedOn w:val="Fuentedeprrafopredeter"/>
    <w:rsid w:val="00FD52D7"/>
  </w:style>
  <w:style w:type="character" w:customStyle="1" w:styleId="eop">
    <w:name w:val="eop"/>
    <w:basedOn w:val="Fuentedeprrafopredeter"/>
    <w:rsid w:val="00FD52D7"/>
  </w:style>
  <w:style w:type="paragraph" w:customStyle="1" w:styleId="paragraph">
    <w:name w:val="paragraph"/>
    <w:basedOn w:val="Normal"/>
    <w:rsid w:val="00FD52D7"/>
    <w:pPr>
      <w:spacing w:before="100" w:beforeAutospacing="1" w:after="100" w:afterAutospacing="1" w:line="240" w:lineRule="auto"/>
    </w:pPr>
    <w:rPr>
      <w:rFonts w:ascii="Times New Roman" w:eastAsia="Times New Roman" w:hAnsi="Times New Roman" w:cs="Times New Roman"/>
      <w:color w:val="auto"/>
      <w:kern w:val="0"/>
      <w:sz w:val="24"/>
      <w:szCs w:val="24"/>
      <w:lang w:eastAsia="es-CO"/>
      <w14:ligatures w14:val="none"/>
    </w:rPr>
  </w:style>
  <w:style w:type="character" w:styleId="Hipervnculo">
    <w:name w:val="Hyperlink"/>
    <w:basedOn w:val="Fuentedeprrafopredeter"/>
    <w:uiPriority w:val="99"/>
    <w:unhideWhenUsed/>
    <w:rsid w:val="00B308A9"/>
    <w:rPr>
      <w:color w:val="04527E" w:themeColor="hyperlink"/>
      <w:u w:val="single"/>
    </w:rPr>
  </w:style>
  <w:style w:type="character" w:styleId="Mencinsinresolver">
    <w:name w:val="Unresolved Mention"/>
    <w:basedOn w:val="Fuentedeprrafopredeter"/>
    <w:uiPriority w:val="99"/>
    <w:semiHidden/>
    <w:unhideWhenUsed/>
    <w:rsid w:val="00B30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6922">
      <w:bodyDiv w:val="1"/>
      <w:marLeft w:val="0"/>
      <w:marRight w:val="0"/>
      <w:marTop w:val="0"/>
      <w:marBottom w:val="0"/>
      <w:divBdr>
        <w:top w:val="none" w:sz="0" w:space="0" w:color="auto"/>
        <w:left w:val="none" w:sz="0" w:space="0" w:color="auto"/>
        <w:bottom w:val="none" w:sz="0" w:space="0" w:color="auto"/>
        <w:right w:val="none" w:sz="0" w:space="0" w:color="auto"/>
      </w:divBdr>
    </w:div>
    <w:div w:id="88743842">
      <w:bodyDiv w:val="1"/>
      <w:marLeft w:val="0"/>
      <w:marRight w:val="0"/>
      <w:marTop w:val="0"/>
      <w:marBottom w:val="0"/>
      <w:divBdr>
        <w:top w:val="none" w:sz="0" w:space="0" w:color="auto"/>
        <w:left w:val="none" w:sz="0" w:space="0" w:color="auto"/>
        <w:bottom w:val="none" w:sz="0" w:space="0" w:color="auto"/>
        <w:right w:val="none" w:sz="0" w:space="0" w:color="auto"/>
      </w:divBdr>
    </w:div>
    <w:div w:id="101611262">
      <w:bodyDiv w:val="1"/>
      <w:marLeft w:val="0"/>
      <w:marRight w:val="0"/>
      <w:marTop w:val="0"/>
      <w:marBottom w:val="0"/>
      <w:divBdr>
        <w:top w:val="none" w:sz="0" w:space="0" w:color="auto"/>
        <w:left w:val="none" w:sz="0" w:space="0" w:color="auto"/>
        <w:bottom w:val="none" w:sz="0" w:space="0" w:color="auto"/>
        <w:right w:val="none" w:sz="0" w:space="0" w:color="auto"/>
      </w:divBdr>
    </w:div>
    <w:div w:id="472527857">
      <w:bodyDiv w:val="1"/>
      <w:marLeft w:val="0"/>
      <w:marRight w:val="0"/>
      <w:marTop w:val="0"/>
      <w:marBottom w:val="0"/>
      <w:divBdr>
        <w:top w:val="none" w:sz="0" w:space="0" w:color="auto"/>
        <w:left w:val="none" w:sz="0" w:space="0" w:color="auto"/>
        <w:bottom w:val="none" w:sz="0" w:space="0" w:color="auto"/>
        <w:right w:val="none" w:sz="0" w:space="0" w:color="auto"/>
      </w:divBdr>
    </w:div>
    <w:div w:id="604966748">
      <w:bodyDiv w:val="1"/>
      <w:marLeft w:val="0"/>
      <w:marRight w:val="0"/>
      <w:marTop w:val="0"/>
      <w:marBottom w:val="0"/>
      <w:divBdr>
        <w:top w:val="none" w:sz="0" w:space="0" w:color="auto"/>
        <w:left w:val="none" w:sz="0" w:space="0" w:color="auto"/>
        <w:bottom w:val="none" w:sz="0" w:space="0" w:color="auto"/>
        <w:right w:val="none" w:sz="0" w:space="0" w:color="auto"/>
      </w:divBdr>
    </w:div>
    <w:div w:id="1255362775">
      <w:bodyDiv w:val="1"/>
      <w:marLeft w:val="0"/>
      <w:marRight w:val="0"/>
      <w:marTop w:val="0"/>
      <w:marBottom w:val="0"/>
      <w:divBdr>
        <w:top w:val="none" w:sz="0" w:space="0" w:color="auto"/>
        <w:left w:val="none" w:sz="0" w:space="0" w:color="auto"/>
        <w:bottom w:val="none" w:sz="0" w:space="0" w:color="auto"/>
        <w:right w:val="none" w:sz="0" w:space="0" w:color="auto"/>
      </w:divBdr>
    </w:div>
    <w:div w:id="1273174930">
      <w:bodyDiv w:val="1"/>
      <w:marLeft w:val="0"/>
      <w:marRight w:val="0"/>
      <w:marTop w:val="0"/>
      <w:marBottom w:val="0"/>
      <w:divBdr>
        <w:top w:val="none" w:sz="0" w:space="0" w:color="auto"/>
        <w:left w:val="none" w:sz="0" w:space="0" w:color="auto"/>
        <w:bottom w:val="none" w:sz="0" w:space="0" w:color="auto"/>
        <w:right w:val="none" w:sz="0" w:space="0" w:color="auto"/>
      </w:divBdr>
    </w:div>
    <w:div w:id="167857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cretariageneral.uniandes.edu.co/images/documents/lineamientos-uso-inteligencia-artificial-generativa-IAG-uniandes.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tabaresp@uniandes.edu.c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gomez@uniandes.edu.co"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MISE - Profundizacion">
      <a:dk1>
        <a:srgbClr val="018071"/>
      </a:dk1>
      <a:lt1>
        <a:srgbClr val="FFFFFF"/>
      </a:lt1>
      <a:dk2>
        <a:srgbClr val="01382D"/>
      </a:dk2>
      <a:lt2>
        <a:srgbClr val="73D9A7"/>
      </a:lt2>
      <a:accent1>
        <a:srgbClr val="73D9A7"/>
      </a:accent1>
      <a:accent2>
        <a:srgbClr val="01382D"/>
      </a:accent2>
      <a:accent3>
        <a:srgbClr val="018071"/>
      </a:accent3>
      <a:accent4>
        <a:srgbClr val="FAD802"/>
      </a:accent4>
      <a:accent5>
        <a:srgbClr val="FF8D06"/>
      </a:accent5>
      <a:accent6>
        <a:srgbClr val="C6F0DB"/>
      </a:accent6>
      <a:hlink>
        <a:srgbClr val="04527E"/>
      </a:hlink>
      <a:folHlink>
        <a:srgbClr val="5C0CB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349779A3521C24D91932A1D5DFE4F6D" ma:contentTypeVersion="11" ma:contentTypeDescription="Crear nuevo documento." ma:contentTypeScope="" ma:versionID="35910631e797552858969c7d95f42282">
  <xsd:schema xmlns:xsd="http://www.w3.org/2001/XMLSchema" xmlns:xs="http://www.w3.org/2001/XMLSchema" xmlns:p="http://schemas.microsoft.com/office/2006/metadata/properties" xmlns:ns2="0b12ed93-1a7b-4cc9-b161-9e7dd1351b3d" xmlns:ns3="670c86cb-a762-4d9f-aa95-be540137a288" targetNamespace="http://schemas.microsoft.com/office/2006/metadata/properties" ma:root="true" ma:fieldsID="7eab9060897d675f795f5cc3b3cc4eb7" ns2:_="" ns3:_="">
    <xsd:import namespace="0b12ed93-1a7b-4cc9-b161-9e7dd1351b3d"/>
    <xsd:import namespace="670c86cb-a762-4d9f-aa95-be540137a2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2ed93-1a7b-4cc9-b161-9e7dd1351b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70c86cb-a762-4d9f-aa95-be540137a28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16d3f60-1539-4617-b40f-7ec22f60cff4}" ma:internalName="TaxCatchAll" ma:showField="CatchAllData" ma:web="670c86cb-a762-4d9f-aa95-be540137a2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0c86cb-a762-4d9f-aa95-be540137a288" xsi:nil="true"/>
    <lcf76f155ced4ddcb4097134ff3c332f xmlns="0b12ed93-1a7b-4cc9-b161-9e7dd1351b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C26D23-E4F8-40DD-816A-E0C40D69C58B}">
  <ds:schemaRefs>
    <ds:schemaRef ds:uri="http://schemas.microsoft.com/sharepoint/v3/contenttype/forms"/>
  </ds:schemaRefs>
</ds:datastoreItem>
</file>

<file path=customXml/itemProps2.xml><?xml version="1.0" encoding="utf-8"?>
<ds:datastoreItem xmlns:ds="http://schemas.openxmlformats.org/officeDocument/2006/customXml" ds:itemID="{4348FD01-F438-4F88-8682-C675A4F9BE3B}">
  <ds:schemaRefs>
    <ds:schemaRef ds:uri="http://schemas.openxmlformats.org/officeDocument/2006/bibliography"/>
  </ds:schemaRefs>
</ds:datastoreItem>
</file>

<file path=customXml/itemProps3.xml><?xml version="1.0" encoding="utf-8"?>
<ds:datastoreItem xmlns:ds="http://schemas.openxmlformats.org/officeDocument/2006/customXml" ds:itemID="{9B6C99D4-32CF-4951-A92D-AA0A1DA022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2ed93-1a7b-4cc9-b161-9e7dd1351b3d"/>
    <ds:schemaRef ds:uri="670c86cb-a762-4d9f-aa95-be540137a2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79C502-7D5A-4D59-82B0-A11F6FDDFF89}">
  <ds:schemaRefs>
    <ds:schemaRef ds:uri="http://schemas.microsoft.com/office/2006/metadata/properties"/>
    <ds:schemaRef ds:uri="http://schemas.microsoft.com/office/infopath/2007/PartnerControls"/>
    <ds:schemaRef ds:uri="670c86cb-a762-4d9f-aa95-be540137a288"/>
    <ds:schemaRef ds:uri="0b12ed93-1a7b-4cc9-b161-9e7dd1351b3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2790</Words>
  <Characters>15351</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carolina bejarano bejarano</dc:creator>
  <cp:keywords/>
  <dc:description/>
  <cp:lastModifiedBy>Pablo Jose Cortes Sanabria</cp:lastModifiedBy>
  <cp:revision>4</cp:revision>
  <dcterms:created xsi:type="dcterms:W3CDTF">2026-02-18T21:41:00Z</dcterms:created>
  <dcterms:modified xsi:type="dcterms:W3CDTF">2026-09-16T20:05:00Z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0x0101005349779A3521C24D91932A1D5DFE4F6D</vt:lpwstr>
  </property>
  <property fmtid="{D5CDD505-2E9C-101B-9397-08002B2CF9AE}" pid="3" name="MediaServiceImageTags">
    <vt:lpwstr/>
  </property>
</Properties>
</file>