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資料集內容：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type 1: 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筆緩慢向左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type 2: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筆快速向左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type 3: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筆緩慢向右再向左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type 4: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筆快速向右再向左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type 5: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筆靜止後緩慢向左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6: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筆靜止後快速向左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