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rPr/>
      </w:pPr>
      <w:r>
        <w:rPr/>
        <w:t>Synergistic Activity of Nitroimidazole-Oxazolidinone Conjugates against Anaerobic Bacteria</w:t>
      </w:r>
    </w:p>
    <w:p>
      <w:pPr>
        <w:pStyle w:val="MDPI13authornames"/>
        <w:rPr/>
      </w:pPr>
      <w:r>
        <w:rPr/>
        <w:t xml:space="preserve">Zhijun Zhuang </w:t>
      </w:r>
      <w:r>
        <w:rPr>
          <w:vertAlign w:val="superscript"/>
        </w:rPr>
        <w:t>1</w:t>
      </w:r>
      <w:r>
        <w:rPr/>
        <w:t xml:space="preserve">, Dawei Wan </w:t>
      </w:r>
      <w:r>
        <w:rPr>
          <w:vertAlign w:val="superscript"/>
        </w:rPr>
        <w:t>1</w:t>
      </w:r>
      <w:r>
        <w:rPr/>
        <w:t xml:space="preserve">, Jun Ding </w:t>
      </w:r>
      <w:r>
        <w:rPr>
          <w:vertAlign w:val="superscript"/>
        </w:rPr>
        <w:t>1</w:t>
      </w:r>
      <w:r>
        <w:rPr/>
        <w:t xml:space="preserve">, Shijie He </w:t>
      </w:r>
      <w:r>
        <w:rPr>
          <w:vertAlign w:val="superscript"/>
        </w:rPr>
        <w:t>1</w:t>
      </w:r>
      <w:r>
        <w:rPr/>
        <w:t xml:space="preserve">, Qian Zhang </w:t>
      </w:r>
      <w:r>
        <w:rPr>
          <w:vertAlign w:val="superscript"/>
        </w:rPr>
        <w:t>1</w:t>
      </w:r>
      <w:r>
        <w:rPr/>
        <w:t xml:space="preserve">, Xiaomei Wang </w:t>
      </w:r>
      <w:r>
        <w:rPr>
          <w:vertAlign w:val="superscript"/>
        </w:rPr>
        <w:t>1</w:t>
      </w:r>
      <w:r>
        <w:rPr/>
        <w:t xml:space="preserve">, Ying Yuan </w:t>
      </w:r>
      <w:r>
        <w:rPr>
          <w:vertAlign w:val="superscript"/>
        </w:rPr>
        <w:t>1</w:t>
      </w:r>
      <w:r>
        <w:rPr/>
        <w:t xml:space="preserve">, Yu Lu </w:t>
      </w:r>
      <w:r>
        <w:rPr>
          <w:vertAlign w:val="superscript"/>
        </w:rPr>
        <w:t>2</w:t>
      </w:r>
      <w:r>
        <w:rPr/>
        <w:t xml:space="preserve">, Charles Z. Ding </w:t>
      </w:r>
      <w:r>
        <w:rPr>
          <w:vertAlign w:val="superscript"/>
        </w:rPr>
        <w:t>3</w:t>
      </w:r>
      <w:r>
        <w:rPr/>
        <w:t xml:space="preserve">, Anthony Simon Lynch </w:t>
      </w:r>
      <w:r>
        <w:rPr>
          <w:vertAlign w:val="superscript"/>
        </w:rPr>
        <w:t>4</w:t>
      </w:r>
      <w:r>
        <w:rPr/>
        <w:t xml:space="preserve">, Anna M. Upton </w:t>
      </w:r>
      <w:r>
        <w:rPr>
          <w:vertAlign w:val="superscript"/>
        </w:rPr>
        <w:t>5</w:t>
      </w:r>
      <w:r>
        <w:rPr/>
        <w:t xml:space="preserve">, Christopher B. Cooper </w:t>
      </w:r>
      <w:r>
        <w:rPr>
          <w:vertAlign w:val="superscript"/>
        </w:rPr>
        <w:t>5</w:t>
      </w:r>
      <w:r>
        <w:rPr/>
        <w:t xml:space="preserve">, William A. Denny </w:t>
      </w:r>
      <w:r>
        <w:rPr>
          <w:vertAlign w:val="superscript"/>
        </w:rPr>
        <w:t>6</w:t>
      </w:r>
      <w:r>
        <w:rPr/>
        <w:t xml:space="preserve">, Zhenkun Ma </w:t>
      </w:r>
      <w:r>
        <w:rPr>
          <w:vertAlign w:val="superscript"/>
        </w:rPr>
        <w:t>1,</w:t>
      </w:r>
      <w:r>
        <w:rPr/>
        <w:t>*</w:t>
      </w:r>
    </w:p>
    <w:p>
      <w:pPr>
        <w:pStyle w:val="MDPI16affiliation"/>
        <w:rPr/>
      </w:pPr>
      <w:r>
        <w:rPr>
          <w:vertAlign w:val="superscript"/>
        </w:rPr>
        <w:t>1</w:t>
      </w:r>
      <w:r>
        <w:rPr/>
        <w:tab/>
        <w:t>TenNor Therapeutics Limited, 218 Xinghu Street, Building B2, Suite 711, Suzhou Industrial Park, Suzhou 215123, China; zhijun.zhuang@tennorx.com (Z.Z.); dawei.wan@tennorx.com (D.W.); jun.ding@tennorx.com (J.D.); shijie.he@tennorx.com (S.H.); qian.zhang@tennorx.com (Q.Z.); xiaomei.wang@tennorx.com (X.W.); ying.yuan@tennorx.com (Y.Y.)</w:t>
      </w:r>
    </w:p>
    <w:p>
      <w:pPr>
        <w:pStyle w:val="MDPI16affiliation"/>
        <w:rPr/>
      </w:pPr>
      <w:r>
        <w:rPr>
          <w:vertAlign w:val="superscript"/>
        </w:rPr>
        <w:t>2</w:t>
      </w:r>
      <w:r>
        <w:rPr/>
        <w:tab/>
        <w:t>Department of Pharmacology, Beijing Tuberculosis and Thoracic Tumor Research Institute, Beijing Chest Hospital, Capital Medical University, 97 Ma Chang Street, Beijing 101149, China; luyu4876@hotmail.com</w:t>
      </w:r>
    </w:p>
    <w:p>
      <w:pPr>
        <w:pStyle w:val="MDPI16affiliation"/>
        <w:rPr/>
      </w:pPr>
      <w:r>
        <w:rPr>
          <w:vertAlign w:val="superscript"/>
        </w:rPr>
        <w:t>3</w:t>
      </w:r>
      <w:r>
        <w:rPr/>
        <w:tab/>
        <w:t>Current address: WuXi AppTec. Co. Ltd., 288 Fute Zhong Road, Waigaoqiao Free Trade Zone, Shanghai 200131, China; charles_ding@wuxiapptec.com</w:t>
      </w:r>
    </w:p>
    <w:p>
      <w:pPr>
        <w:pStyle w:val="MDPI16affiliation"/>
        <w:rPr/>
      </w:pPr>
      <w:r>
        <w:rPr>
          <w:vertAlign w:val="superscript"/>
        </w:rPr>
        <w:t>4</w:t>
      </w:r>
      <w:r>
        <w:rPr/>
        <w:tab/>
        <w:t>Current address: Janssen Research &amp; Development LLC., 1400 McKean Road, Spring House, Pennsylvania 18940, USA; alynch2@its.jnj.com</w:t>
      </w:r>
    </w:p>
    <w:p>
      <w:pPr>
        <w:pStyle w:val="MDPI16affiliation"/>
        <w:rPr/>
      </w:pPr>
      <w:r>
        <w:rPr>
          <w:vertAlign w:val="superscript"/>
        </w:rPr>
        <w:t>5</w:t>
      </w:r>
      <w:r>
        <w:rPr/>
        <w:tab/>
        <w:t>Global Alliance for TB Drug Development, 40 Wall Street, New York, NY 10005, USA; anna.upton@tballiance.org (A.M.U.); christopher.cooper@tballiance.org (C.B.C.)</w:t>
      </w:r>
    </w:p>
    <w:p>
      <w:pPr>
        <w:pStyle w:val="MDPI16affiliation"/>
        <w:rPr/>
      </w:pPr>
      <w:r>
        <w:rPr>
          <w:szCs w:val="20"/>
          <w:vertAlign w:val="superscript"/>
        </w:rPr>
        <w:t>6</w:t>
      </w:r>
      <w:r>
        <w:rPr>
          <w:szCs w:val="20"/>
        </w:rPr>
        <w:tab/>
        <w:t>Auckland Cancer Society Research Centre, School of Medical Sciences, University of Auckland, Private Bag 92019, Auckland 1142, New Zealand; b.denny@auckland.ac.nz</w:t>
      </w:r>
    </w:p>
    <w:p>
      <w:pPr>
        <w:pStyle w:val="MDPI14history"/>
        <w:spacing w:before="0" w:after="0"/>
        <w:ind w:start="311" w:hanging="198"/>
        <w:rPr/>
      </w:pPr>
      <w:r>
        <w:rPr>
          <w:b/>
        </w:rPr>
        <w:t>*</w:t>
      </w:r>
      <w:r>
        <w:rPr/>
        <w:tab/>
        <w:t>Correspondence: zhenkun.ma@tennorx.com; Tel.: +86-512-8686-1980</w:t>
      </w:r>
    </w:p>
    <w:p>
      <w:pPr>
        <w:pStyle w:val="MDPI14history"/>
        <w:rPr/>
      </w:pPr>
      <w:r>
        <w:rPr/>
        <w:t>Received: date; Accepted: date; Published: date</w:t>
      </w:r>
    </w:p>
    <w:p>
      <w:pPr>
        <w:pStyle w:val="MDPI17abstract"/>
        <w:rPr>
          <w:color w:val="000000"/>
        </w:rPr>
      </w:pPr>
      <w:r>
        <w:rPr>
          <w:b/>
        </w:rPr>
        <w:t xml:space="preserve">Abstract: </w:t>
      </w:r>
      <w:r>
        <w:rPr/>
        <w:t xml:space="preserve">The introductions of the bicyclic 4-nitroimidazole and the oxazolidinone classes of antimicrobial agents represented the most significant advancements in the infectious disease area during the past two decades. Pretomanid, a bicyclic 4-nitroimidazole and linezolid, an oxazolidinone, are also part of a combination regimen approved recently by the US Food and Drug Administration for the treatment of pulmonary extensively drug resistant (XDR), treatment-intolerant or nonresponsive multidrug-resistant (MDR) </w:t>
      </w:r>
      <w:r>
        <w:rPr>
          <w:i/>
          <w:iCs/>
        </w:rPr>
        <w:t>Mycobacterium tuberculosis</w:t>
      </w:r>
      <w:r>
        <w:rPr/>
        <w:t xml:space="preserve"> (TB). A series of dual-acting nitroimidazole-oxazolidinone conjugates was designed, synthesized and evaluated for their antimicrobial activity. Compounds in this conjugate series have shown synergistic activity against a panel of anaerobic bacteria, including those responsible for serious bacterial infections.</w:t>
      </w:r>
    </w:p>
    <w:p>
      <w:pPr>
        <w:pStyle w:val="MDPI18keywords"/>
        <w:rPr/>
      </w:pPr>
      <w:r>
        <w:rPr>
          <w:b/>
        </w:rPr>
        <w:t xml:space="preserve">Keywords: </w:t>
      </w:r>
      <w:r>
        <w:rPr/>
        <w:t>Nitroimidazole-Oxazolidinone Conjugates, Anaerobic Bacterium, Synergy, Nitroimidazole and Oxazolidinone.</w:t>
      </w:r>
    </w:p>
    <w:p>
      <w:pPr>
        <w:pStyle w:val="MDPI19line"/>
        <w:snapToGrid w:val="false"/>
        <w:rPr/>
      </w:pPr>
      <w:r>
        <w:rPr/>
      </w:r>
    </w:p>
    <w:p>
      <w:pPr>
        <w:pStyle w:val="MDPI21heading1"/>
        <w:rPr/>
      </w:pPr>
      <w:r>
        <w:rPr>
          <w:lang w:eastAsia="zh-CN"/>
        </w:rPr>
        <w:t xml:space="preserve">1. </w:t>
      </w:r>
      <w:r>
        <w:rPr/>
        <w:t>Introduction</w:t>
      </w:r>
    </w:p>
    <w:p>
      <w:pPr>
        <w:pStyle w:val="MDPI31text"/>
        <w:spacing w:before="0" w:after="240"/>
        <w:rPr/>
      </w:pPr>
      <w:bookmarkStart w:id="0" w:name="OLE_LINK2"/>
      <w:bookmarkStart w:id="1" w:name="OLE_LINK1"/>
      <w:bookmarkEnd w:id="0"/>
      <w:bookmarkEnd w:id="1"/>
      <w:r>
        <w:rPr/>
        <w:t>Oxazolidinones, as represented by linezolid (</w:t>
      </w:r>
      <w:r>
        <w:rPr>
          <w:b/>
          <w:bCs/>
        </w:rPr>
        <w:t>1</w:t>
      </w:r>
      <w:r>
        <w:rPr/>
        <w:t>) and tedizolid (</w:t>
      </w:r>
      <w:r>
        <w:rPr>
          <w:b/>
          <w:bCs/>
        </w:rPr>
        <w:t>2</w:t>
      </w:r>
      <w:r>
        <w:rPr/>
        <w:t>), and bicyclic 4-nitroimidazoles, as represented by delamanid (</w:t>
      </w:r>
      <w:r>
        <w:rPr>
          <w:b/>
          <w:bCs/>
        </w:rPr>
        <w:t>3</w:t>
      </w:r>
      <w:r>
        <w:rPr/>
        <w:t>) and pretomanid (</w:t>
      </w:r>
      <w:r>
        <w:rPr>
          <w:b/>
          <w:bCs/>
        </w:rPr>
        <w:t>4</w:t>
      </w:r>
      <w:r>
        <w:rPr/>
        <w:t xml:space="preserve">), are two relatively new classes of antimicrobial </w:t>
      </w:r>
      <w:r>
        <w:rPr>
          <w:color w:val="000000"/>
        </w:rPr>
        <w:t>agents (Figure 1). Linezolid, the first oxazolidinone approved for clinical use, was introduced in 2000 for the treatment of Gram-positive bacterial infections, including those resistant to other classes of antibiotics [1]. This</w:t>
      </w:r>
      <w:r>
        <w:rPr/>
        <w:t xml:space="preserve"> drug class inhibits bacterial protein synthesis by binding to rRNA on both the 30S and 50S ribosomal subunits and preventing the formation of a translation initiation complex. The first bicyclic 4-nitroimidazole, delamanid, was introduced in 2014 for the treatment of drug-resistant tuberculosis (TB). This drug class utilizes a deazaflavin-dependent nitroreductase (Ddn) to catalyze the bioreduction of the 4-nitroimidazole core, leading to intracellular generation of reactive chemical species which are toxic to bacterial </w:t>
      </w:r>
      <w:r>
        <w:rPr>
          <w:color w:val="000000"/>
        </w:rPr>
        <w:t xml:space="preserve">cells [2]. However, the primary mechanism of action of the bicyclic 4-nitroimidazole class against </w:t>
      </w:r>
      <w:r>
        <w:rPr>
          <w:i/>
          <w:iCs/>
          <w:color w:val="000000"/>
        </w:rPr>
        <w:t>M. tuberculosis</w:t>
      </w:r>
      <w:r>
        <w:rPr>
          <w:color w:val="000000"/>
        </w:rPr>
        <w:t xml:space="preserve"> appeared to be different under aerobic and anaerobic conditions. Inhibition of mycolic acid synthesis appeared to be the main mechanism under aerobic conditions, while generation of reactive nitrogen species and inhibition of energy metabolism appeared to be the main mechanism under anaerobic conditions [3].</w:t>
      </w:r>
    </w:p>
    <w:tbl>
      <w:tblPr>
        <w:tblW w:w="9060" w:type="dxa"/>
        <w:jc w:val="start"/>
        <w:tblInd w:w="0" w:type="dxa"/>
        <w:tblLayout w:type="fixed"/>
        <w:tblCellMar>
          <w:top w:w="0" w:type="dxa"/>
          <w:start w:w="108" w:type="dxa"/>
          <w:bottom w:w="0" w:type="dxa"/>
          <w:end w:w="108" w:type="dxa"/>
        </w:tblCellMar>
      </w:tblPr>
      <w:tblGrid>
        <w:gridCol w:w="9060"/>
      </w:tblGrid>
      <w:tr>
        <w:trPr/>
        <w:tc>
          <w:tcPr>
            <w:tcW w:w="9060" w:type="dxa"/>
            <w:tcBorders/>
          </w:tcPr>
          <w:p>
            <w:pPr>
              <w:pStyle w:val="MDPI52figure"/>
              <w:widowControl/>
              <w:bidi w:val="0"/>
              <w:snapToGrid w:val="false"/>
              <w:spacing w:lineRule="atLeast" w:line="260" w:before="240" w:after="120"/>
              <w:jc w:val="center"/>
              <w:rPr/>
            </w:pPr>
            <w:r>
              <w:rPr/>
              <w:object w:dxaOrig="9227" w:dyaOrig="598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89.7pt;height:187.9pt" filled="f" o:ole="">
                  <v:imagedata r:id="rId3" o:title=""/>
                </v:shape>
                <o:OLEObject Type="Embed" ProgID="" ShapeID="ole_rId2" DrawAspect="Content" ObjectID="_831671327" r:id="rId2"/>
              </w:object>
            </w:r>
          </w:p>
        </w:tc>
      </w:tr>
    </w:tbl>
    <w:p>
      <w:pPr>
        <w:pStyle w:val="MDPI31text"/>
        <w:spacing w:before="120" w:after="240"/>
        <w:rPr/>
      </w:pPr>
      <w:r>
        <w:rPr>
          <w:b/>
        </w:rPr>
        <w:t>Figure 1.</w:t>
      </w:r>
      <w:r>
        <w:rPr/>
        <w:t xml:space="preserve"> Structures of Linezolid, Tedizolid, Pretomanid, Delamanid and Conjugate Molecule </w:t>
      </w:r>
      <w:r>
        <w:rPr>
          <w:b/>
          <w:bCs/>
        </w:rPr>
        <w:t>5</w:t>
      </w:r>
    </w:p>
    <w:p>
      <w:pPr>
        <w:pStyle w:val="MDPI31text"/>
        <w:rPr/>
      </w:pPr>
      <w:r>
        <w:rPr/>
        <w:t>Resistance to oxazolidinones and bicyclic 4-nitroimidazoles are relatively uncommon. Both drug classes have been used for the treatment of multidrug-resistant (MDR) and extensively drug resistant (XDR) TB. Recently, a three-drug combination containing both pretomanid and linezolid has been approved by the US Food and Drug Administration for the treatment of pulmonary XDR, treatment-intolerant or nonresponsive MDR-TB [</w:t>
      </w:r>
      <w:r>
        <w:rPr>
          <w:color w:val="0070C0"/>
        </w:rPr>
        <w:t>4</w:t>
      </w:r>
      <w:r>
        <w:rPr/>
        <w:t>].</w:t>
      </w:r>
    </w:p>
    <w:p>
      <w:pPr>
        <w:pStyle w:val="MDPI31text"/>
        <w:rPr/>
      </w:pPr>
      <w:r>
        <w:rPr/>
        <w:t>Previously, we have utilized a drug conjugation strategy to identify the dual-acting molecule TNP-2092 for the treatment of bacterial biofilm infections [</w:t>
      </w:r>
      <w:r>
        <w:rPr>
          <w:color w:val="0070C0"/>
        </w:rPr>
        <w:t>5</w:t>
      </w:r>
      <w:r>
        <w:rPr/>
        <w:t xml:space="preserve">]. This strategy provides several advantages as compared to a drug combination therapy, including matched pharmacokinetics, tissue distribution and potential synergistic activity. Considering the importance of the oxazolidinone and the bicyclic 4-nitroimidazole classes, a series of oxazolidinone-nitroimidazole conjugate molecules were designed, synthesized and evaluated against an isogenic mutant panel of </w:t>
      </w:r>
      <w:r>
        <w:rPr>
          <w:i/>
          <w:iCs/>
        </w:rPr>
        <w:t>M. tuberculosis</w:t>
      </w:r>
      <w:r>
        <w:rPr/>
        <w:t xml:space="preserve"> conferring resistance to linezolid or pretomanid as well as a panel of clinically important anaerobic pathogens.</w:t>
      </w:r>
    </w:p>
    <w:p>
      <w:pPr>
        <w:pStyle w:val="MDPI21heading1"/>
        <w:rPr/>
      </w:pPr>
      <w:bookmarkStart w:id="2" w:name="OLE_LINK2"/>
      <w:bookmarkStart w:id="3" w:name="OLE_LINK1"/>
      <w:bookmarkEnd w:id="2"/>
      <w:bookmarkEnd w:id="3"/>
      <w:r>
        <w:rPr/>
        <w:t>2. Results and Discussion</w:t>
      </w:r>
    </w:p>
    <w:p>
      <w:pPr>
        <w:pStyle w:val="MDPI22heading2"/>
        <w:spacing w:before="0" w:after="120"/>
        <w:rPr>
          <w:lang w:val="en-US" w:eastAsia="de-DE"/>
        </w:rPr>
      </w:pPr>
      <w:r>
        <w:rPr>
          <w:lang w:val="en-US" w:eastAsia="de-DE"/>
        </w:rPr>
        <w:t>2.1. Chemistry</w:t>
      </w:r>
    </w:p>
    <w:p>
      <w:pPr>
        <w:pStyle w:val="MDPI31text"/>
        <w:rPr/>
      </w:pPr>
      <w:r>
        <w:rPr/>
        <w:t>The safety and efficacy of the oxazolidinone and bicyclic 4-nitroimidazole classes have been validated clinically. The structure-activity relationships (SARs) of both drug classes have been extensively studied in the past, which serve as the foundation for the design of the conjugation molecules.</w:t>
      </w:r>
    </w:p>
    <w:p>
      <w:pPr>
        <w:pStyle w:val="MDPI31text"/>
        <w:rPr/>
      </w:pPr>
      <w:r>
        <w:rPr/>
        <w:t>As a protein synthesis inhibitor, linezolid utilizes hydrogen bonding and hydrophobic interactions to bind to a binding domain located within the ribosomal peptidyltransferase center. Analysis of a high resolution of crystal structure of linezolid bound to the 50S ribosomal subunit indicates that the oxazolidinone ring and the acetamide group on the right side of the molecule are essential for the target interactions. The fluorophenyl moiety in the middle is also important. However, the morpholino ring on the left side does not appear to have significant interactions with the binding site, which is consistent with the known SARs that various structures can be used to substitute the morpholine group without a significant loss of activity [</w:t>
      </w:r>
      <w:r>
        <w:rPr>
          <w:color w:val="0070C0"/>
        </w:rPr>
        <w:t>6</w:t>
      </w:r>
      <w:r>
        <w:rPr/>
        <w:t>]. This position was therefore identified as the linking point for conjugation to a bicyclic 4-nitroimidazole core.</w:t>
      </w:r>
    </w:p>
    <w:p>
      <w:pPr>
        <w:pStyle w:val="MDPI31text"/>
        <w:rPr/>
      </w:pPr>
      <w:r>
        <w:rPr/>
        <w:t>On the bicyclic 4-nitroimidazole side, the nitroimidazole group and its fused oxazine or oxazole ring are essential and directly responsible for the formation of intracellular reactive species via a bioreduction process. The stereochemistry of the substituents connected to the oxazine or oxazole ring also plays an important role for the antimicrobial activity. However, the structure of the substituents on the right-hand side are highly variable, which can tolerate many functional groups. This site was hence identified as the linking point for the bicyclic 4-nitroimidazole class.</w:t>
      </w:r>
    </w:p>
    <w:p>
      <w:pPr>
        <w:pStyle w:val="MDPI31text"/>
        <w:rPr/>
      </w:pPr>
      <w:r>
        <w:rPr/>
        <w:t xml:space="preserve">A series of drug conjugate were therefore designed and synthesized by connecting the right-hand side of the bicyclic 4-nitroimidazole and the left-hand side of the oxazolidinone core through various linkers. The syntheses of these conjugate molecules are illustrated in Scheme </w:t>
      </w:r>
      <w:r>
        <w:rPr>
          <w:color w:val="0070C0"/>
        </w:rPr>
        <w:t>1</w:t>
      </w:r>
      <w:r>
        <w:rPr/>
        <w:t>-</w:t>
      </w:r>
      <w:r>
        <w:rPr>
          <w:color w:val="0070C0"/>
        </w:rPr>
        <w:t>3</w:t>
      </w:r>
      <w:r>
        <w:rPr/>
        <w:t xml:space="preserve">. Compound </w:t>
      </w:r>
      <w:r>
        <w:rPr>
          <w:b/>
          <w:bCs/>
        </w:rPr>
        <w:t>5</w:t>
      </w:r>
      <w:r>
        <w:rPr/>
        <w:t xml:space="preserve"> (Figure 1) is a previously known oxazolidinone-metronidazole conjugate and it has not been evaluated for its activity against </w:t>
      </w:r>
      <w:r>
        <w:rPr>
          <w:i/>
          <w:iCs/>
        </w:rPr>
        <w:t>M. tuberculosis</w:t>
      </w:r>
      <w:r>
        <w:rPr/>
        <w:t xml:space="preserve"> or anaerobic organisms [</w:t>
      </w:r>
      <w:r>
        <w:rPr>
          <w:color w:val="0070C0"/>
        </w:rPr>
        <w:t>7</w:t>
      </w:r>
      <w:r>
        <w:rPr/>
        <w:t xml:space="preserve">]. Compound </w:t>
      </w:r>
      <w:r>
        <w:rPr>
          <w:b/>
          <w:bCs/>
        </w:rPr>
        <w:t>5</w:t>
      </w:r>
      <w:r>
        <w:rPr/>
        <w:t xml:space="preserve"> was also prepared in the current study and evaluated for its activity against </w:t>
      </w:r>
      <w:r>
        <w:rPr>
          <w:i/>
          <w:iCs/>
        </w:rPr>
        <w:t>M. tuberculosis</w:t>
      </w:r>
      <w:r>
        <w:rPr/>
        <w:t xml:space="preserve"> isogenic mutant panel and anaerobic bacterial panel.</w:t>
      </w:r>
    </w:p>
    <w:tbl>
      <w:tblPr>
        <w:tblW w:w="9060" w:type="dxa"/>
        <w:jc w:val="start"/>
        <w:tblInd w:w="0" w:type="dxa"/>
        <w:tblLayout w:type="fixed"/>
        <w:tblCellMar>
          <w:top w:w="0" w:type="dxa"/>
          <w:start w:w="108" w:type="dxa"/>
          <w:bottom w:w="0" w:type="dxa"/>
          <w:end w:w="108" w:type="dxa"/>
        </w:tblCellMar>
      </w:tblPr>
      <w:tblGrid>
        <w:gridCol w:w="9060"/>
      </w:tblGrid>
      <w:tr>
        <w:trPr/>
        <w:tc>
          <w:tcPr>
            <w:tcW w:w="9060" w:type="dxa"/>
            <w:tcBorders/>
          </w:tcPr>
          <w:p>
            <w:pPr>
              <w:pStyle w:val="MDPI52figure"/>
              <w:widowControl/>
              <w:bidi w:val="0"/>
              <w:snapToGrid w:val="false"/>
              <w:spacing w:lineRule="atLeast" w:line="260" w:before="240" w:after="120"/>
              <w:jc w:val="center"/>
              <w:rPr/>
            </w:pPr>
            <w:r>
              <w:rPr/>
              <w:object w:dxaOrig="13809" w:dyaOrig="6974">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1.5pt;height:208.5pt" filled="f" o:ole="">
                  <v:imagedata r:id="rId5" o:title=""/>
                </v:shape>
                <o:OLEObject Type="Embed" ProgID="" ShapeID="ole_rId4" DrawAspect="Content" ObjectID="_12765366" r:id="rId4"/>
              </w:object>
            </w:r>
          </w:p>
        </w:tc>
      </w:tr>
    </w:tbl>
    <w:p>
      <w:pPr>
        <w:pStyle w:val="MDPI51figurecaption"/>
        <w:jc w:val="center"/>
        <w:rPr/>
      </w:pPr>
      <w:r>
        <w:rPr>
          <w:b/>
        </w:rPr>
        <w:t xml:space="preserve">Scheme 1. </w:t>
      </w:r>
      <w:r>
        <w:rPr/>
        <w:t xml:space="preserve">Synthesis of Conjugate Molecules </w:t>
      </w:r>
      <w:r>
        <w:rPr>
          <w:b/>
        </w:rPr>
        <w:t>8a-b</w:t>
      </w:r>
      <w:r>
        <w:rPr/>
        <w:t xml:space="preserve"> and </w:t>
      </w:r>
      <w:r>
        <w:rPr>
          <w:b/>
        </w:rPr>
        <w:t>11a-b.</w:t>
      </w:r>
    </w:p>
    <w:p>
      <w:pPr>
        <w:pStyle w:val="MDPI31text"/>
        <w:rPr/>
      </w:pPr>
      <w:r>
        <w:rPr/>
        <w:t xml:space="preserve">Syntheses of the conjugate molecules formed by the oxazine fused nitroimidazole and the oxazolidinone core </w:t>
      </w:r>
      <w:r>
        <w:rPr>
          <w:b/>
          <w:bCs/>
        </w:rPr>
        <w:t>8a-b</w:t>
      </w:r>
      <w:r>
        <w:rPr/>
        <w:t xml:space="preserve"> and </w:t>
      </w:r>
      <w:r>
        <w:rPr>
          <w:b/>
          <w:bCs/>
        </w:rPr>
        <w:t>11a-b</w:t>
      </w:r>
      <w:r>
        <w:rPr/>
        <w:t xml:space="preserve"> are summarized in Scheme </w:t>
      </w:r>
      <w:r>
        <w:rPr>
          <w:color w:val="0070C0"/>
        </w:rPr>
        <w:t>1</w:t>
      </w:r>
      <w:r>
        <w:rPr/>
        <w:t>. The known (</w:t>
      </w:r>
      <w:r>
        <w:rPr>
          <w:i/>
          <w:iCs/>
        </w:rPr>
        <w:t>S</w:t>
      </w:r>
      <w:r>
        <w:rPr/>
        <w:t>)-2-nitro-6,7-dihydro-5</w:t>
      </w:r>
      <w:r>
        <w:rPr>
          <w:i/>
          <w:iCs/>
        </w:rPr>
        <w:t>H</w:t>
      </w:r>
      <w:r>
        <w:rPr/>
        <w:t>-imidazo[2,1-</w:t>
      </w:r>
      <w:r>
        <w:rPr>
          <w:i/>
          <w:iCs/>
        </w:rPr>
        <w:t>b</w:t>
      </w:r>
      <w:r>
        <w:rPr/>
        <w:t>][1,3]oxazin-6-ol core (</w:t>
      </w:r>
      <w:r>
        <w:rPr>
          <w:b/>
          <w:bCs/>
        </w:rPr>
        <w:t>6</w:t>
      </w:r>
      <w:r>
        <w:rPr/>
        <w:t>) was prepared according to literature procedures [</w:t>
      </w:r>
      <w:r>
        <w:rPr>
          <w:color w:val="0070C0"/>
        </w:rPr>
        <w:t>8</w:t>
      </w:r>
      <w:r>
        <w:rPr/>
        <w:t xml:space="preserve">]. Intermediates </w:t>
      </w:r>
      <w:r>
        <w:rPr>
          <w:b/>
          <w:bCs/>
        </w:rPr>
        <w:t>7a-b</w:t>
      </w:r>
      <w:r>
        <w:rPr/>
        <w:t xml:space="preserve"> and </w:t>
      </w:r>
      <w:r>
        <w:rPr>
          <w:b/>
          <w:bCs/>
        </w:rPr>
        <w:t>10a-b</w:t>
      </w:r>
      <w:r>
        <w:rPr/>
        <w:t xml:space="preserve"> were prepared by aromatic or nucleophilic substitution reaction. Suzuki coupling with the oxazolidinone piece </w:t>
      </w:r>
      <w:r>
        <w:rPr>
          <w:b/>
          <w:bCs/>
        </w:rPr>
        <w:t xml:space="preserve">9a </w:t>
      </w:r>
      <w:r>
        <w:rPr>
          <w:bCs/>
        </w:rPr>
        <w:t>or</w:t>
      </w:r>
      <w:r>
        <w:rPr>
          <w:b/>
          <w:bCs/>
        </w:rPr>
        <w:t xml:space="preserve"> 9b</w:t>
      </w:r>
      <w:r>
        <w:rPr/>
        <w:t xml:space="preserve"> provided conjugate molecules </w:t>
      </w:r>
      <w:r>
        <w:rPr>
          <w:b/>
          <w:bCs/>
        </w:rPr>
        <w:t>8a-b</w:t>
      </w:r>
      <w:r>
        <w:rPr/>
        <w:t xml:space="preserve"> and </w:t>
      </w:r>
      <w:r>
        <w:rPr>
          <w:b/>
          <w:bCs/>
        </w:rPr>
        <w:t>11a-b</w:t>
      </w:r>
      <w:r>
        <w:rPr/>
        <w:t>.</w:t>
      </w:r>
    </w:p>
    <w:tbl>
      <w:tblPr>
        <w:tblW w:w="9060" w:type="dxa"/>
        <w:jc w:val="start"/>
        <w:tblInd w:w="0" w:type="dxa"/>
        <w:tblLayout w:type="fixed"/>
        <w:tblCellMar>
          <w:top w:w="0" w:type="dxa"/>
          <w:start w:w="108" w:type="dxa"/>
          <w:bottom w:w="0" w:type="dxa"/>
          <w:end w:w="108" w:type="dxa"/>
        </w:tblCellMar>
      </w:tblPr>
      <w:tblGrid>
        <w:gridCol w:w="9060"/>
      </w:tblGrid>
      <w:tr>
        <w:trPr/>
        <w:tc>
          <w:tcPr>
            <w:tcW w:w="9060" w:type="dxa"/>
            <w:tcBorders/>
          </w:tcPr>
          <w:p>
            <w:pPr>
              <w:pStyle w:val="MDPI52figure"/>
              <w:widowControl/>
              <w:bidi w:val="0"/>
              <w:snapToGrid w:val="false"/>
              <w:spacing w:lineRule="atLeast" w:line="260" w:before="240" w:after="120"/>
              <w:jc w:val="center"/>
              <w:rPr/>
            </w:pPr>
            <w:bookmarkStart w:id="4" w:name="_Hlk36896399"/>
            <w:r>
              <w:rPr/>
              <w:object w:dxaOrig="13364" w:dyaOrig="588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5.2pt;height:182.5pt" filled="f" o:ole="">
                  <v:imagedata r:id="rId7" o:title=""/>
                </v:shape>
                <o:OLEObject Type="Embed" ProgID="" ShapeID="ole_rId6" DrawAspect="Content" ObjectID="_360916562" r:id="rId6"/>
              </w:object>
            </w:r>
            <w:bookmarkEnd w:id="4"/>
          </w:p>
        </w:tc>
      </w:tr>
    </w:tbl>
    <w:p>
      <w:pPr>
        <w:pStyle w:val="MDPI51figurecaption"/>
        <w:jc w:val="center"/>
        <w:rPr/>
      </w:pPr>
      <w:r>
        <w:rPr>
          <w:b/>
        </w:rPr>
        <w:t xml:space="preserve">Scheme 2. </w:t>
      </w:r>
      <w:r>
        <w:rPr/>
        <w:t>Synthesis of Conjugate Molecules</w:t>
      </w:r>
      <w:r>
        <w:rPr>
          <w:b/>
        </w:rPr>
        <w:t xml:space="preserve"> 14a-d </w:t>
      </w:r>
      <w:r>
        <w:rPr/>
        <w:t>and</w:t>
      </w:r>
      <w:r>
        <w:rPr>
          <w:b/>
        </w:rPr>
        <w:t xml:space="preserve"> 16.</w:t>
      </w:r>
    </w:p>
    <w:p>
      <w:pPr>
        <w:pStyle w:val="MDPI31text"/>
        <w:rPr/>
      </w:pPr>
      <w:r>
        <w:rPr/>
        <w:t xml:space="preserve">Syntheses of the conjugate molecules formed by the oxazole fused nitroimidazole and the oxazolidinone core </w:t>
      </w:r>
      <w:r>
        <w:rPr>
          <w:b/>
          <w:bCs/>
        </w:rPr>
        <w:t>14a-d</w:t>
      </w:r>
      <w:r>
        <w:rPr/>
        <w:t xml:space="preserve"> and </w:t>
      </w:r>
      <w:r>
        <w:rPr>
          <w:b/>
          <w:bCs/>
        </w:rPr>
        <w:t>16</w:t>
      </w:r>
      <w:r>
        <w:rPr/>
        <w:t xml:space="preserve"> are summarized in Scheme </w:t>
      </w:r>
      <w:r>
        <w:rPr>
          <w:color w:val="0070C0"/>
        </w:rPr>
        <w:t>2</w:t>
      </w:r>
      <w:r>
        <w:rPr/>
        <w:t>. The known 2-bromo-1-((2-methyloxiran-2-yl)methyl)-4-nitro-1</w:t>
      </w:r>
      <w:r>
        <w:rPr>
          <w:i/>
          <w:iCs/>
        </w:rPr>
        <w:t>H</w:t>
      </w:r>
      <w:r>
        <w:rPr/>
        <w:t>-imidazole (</w:t>
      </w:r>
      <w:r>
        <w:rPr>
          <w:b/>
          <w:bCs/>
        </w:rPr>
        <w:t>12</w:t>
      </w:r>
      <w:r>
        <w:rPr/>
        <w:t>) was prepared according to literature procedure [</w:t>
      </w:r>
      <w:r>
        <w:rPr>
          <w:color w:val="0070C0"/>
        </w:rPr>
        <w:t>9</w:t>
      </w:r>
      <w:r>
        <w:rPr/>
        <w:t xml:space="preserve">]. Intermediate </w:t>
      </w:r>
      <w:r>
        <w:rPr>
          <w:b/>
          <w:bCs/>
        </w:rPr>
        <w:t>13a-d</w:t>
      </w:r>
      <w:r>
        <w:rPr/>
        <w:t xml:space="preserve"> were prepared by epoxide opening followed subsequently by intramolecular cyclization. Suzuki or copper catalyzed coupling provided conjugate molecules </w:t>
      </w:r>
      <w:r>
        <w:rPr>
          <w:b/>
          <w:bCs/>
        </w:rPr>
        <w:t>14a-d</w:t>
      </w:r>
      <w:r>
        <w:rPr/>
        <w:t xml:space="preserve"> and </w:t>
      </w:r>
      <w:r>
        <w:rPr>
          <w:b/>
          <w:bCs/>
        </w:rPr>
        <w:t>16</w:t>
      </w:r>
      <w:r>
        <w:rPr/>
        <w:t>.</w:t>
      </w:r>
    </w:p>
    <w:tbl>
      <w:tblPr>
        <w:tblW w:w="9060" w:type="dxa"/>
        <w:jc w:val="start"/>
        <w:tblInd w:w="0" w:type="dxa"/>
        <w:tblLayout w:type="fixed"/>
        <w:tblCellMar>
          <w:top w:w="0" w:type="dxa"/>
          <w:start w:w="108" w:type="dxa"/>
          <w:bottom w:w="0" w:type="dxa"/>
          <w:end w:w="108" w:type="dxa"/>
        </w:tblCellMar>
      </w:tblPr>
      <w:tblGrid>
        <w:gridCol w:w="9060"/>
      </w:tblGrid>
      <w:tr>
        <w:trPr/>
        <w:tc>
          <w:tcPr>
            <w:tcW w:w="9060" w:type="dxa"/>
            <w:tcBorders/>
          </w:tcPr>
          <w:p>
            <w:pPr>
              <w:pStyle w:val="MDPI52figure"/>
              <w:widowControl/>
              <w:bidi w:val="0"/>
              <w:snapToGrid w:val="false"/>
              <w:spacing w:lineRule="atLeast" w:line="260" w:before="240" w:after="120"/>
              <w:jc w:val="center"/>
              <w:rPr/>
            </w:pPr>
            <w:bookmarkStart w:id="5" w:name="_Hlk36898438"/>
            <w:r>
              <w:rPr/>
              <w:object w:dxaOrig="12562" w:dyaOrig="375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3.7pt;height:123.8pt" filled="f" o:ole="">
                  <v:imagedata r:id="rId9" o:title=""/>
                </v:shape>
                <o:OLEObject Type="Embed" ProgID="" ShapeID="ole_rId8" DrawAspect="Content" ObjectID="_658224916" r:id="rId8"/>
              </w:object>
            </w:r>
            <w:bookmarkEnd w:id="5"/>
            <w:r>
              <w:rPr/>
              <w:t>.</w:t>
            </w:r>
          </w:p>
        </w:tc>
      </w:tr>
    </w:tbl>
    <w:p>
      <w:pPr>
        <w:pStyle w:val="MDPI51figurecaption"/>
        <w:jc w:val="center"/>
        <w:rPr/>
      </w:pPr>
      <w:r>
        <w:rPr>
          <w:b/>
        </w:rPr>
        <w:t xml:space="preserve">Scheme </w:t>
      </w:r>
      <w:r>
        <w:rPr>
          <w:rFonts w:eastAsia="DengXian;等线" w:cs="DengXian;等线" w:ascii="DengXian;等线" w:hAnsi="DengXian;等线"/>
          <w:b/>
          <w:lang w:eastAsia="zh-CN"/>
        </w:rPr>
        <w:t>3</w:t>
      </w:r>
      <w:r>
        <w:rPr>
          <w:b/>
        </w:rPr>
        <w:t xml:space="preserve">. </w:t>
      </w:r>
      <w:r>
        <w:rPr/>
        <w:t>Synthesis of Conjugate Molecules</w:t>
      </w:r>
      <w:r>
        <w:rPr>
          <w:b/>
        </w:rPr>
        <w:t xml:space="preserve"> 19a-c.</w:t>
      </w:r>
    </w:p>
    <w:p>
      <w:pPr>
        <w:pStyle w:val="MDPI31text"/>
        <w:rPr/>
      </w:pPr>
      <w:r>
        <w:rPr/>
        <w:t xml:space="preserve">Scheme </w:t>
      </w:r>
      <w:r>
        <w:rPr>
          <w:color w:val="0070C0"/>
        </w:rPr>
        <w:t>3</w:t>
      </w:r>
      <w:r>
        <w:rPr/>
        <w:t xml:space="preserve"> summarizes the syntheses of a third series of conjugate molecules </w:t>
      </w:r>
      <w:r>
        <w:rPr>
          <w:b/>
          <w:bCs/>
        </w:rPr>
        <w:t>19a-c</w:t>
      </w:r>
      <w:r>
        <w:rPr/>
        <w:t>. This series contains the same oxazine fused nitroimidazole core as shown in Scheme 1 but connects to the oxazolidinones via a different linking point. The known intermediates (2-nitro-6,7-dihydro-5</w:t>
      </w:r>
      <w:r>
        <w:rPr>
          <w:i/>
          <w:iCs/>
        </w:rPr>
        <w:t>H</w:t>
      </w:r>
      <w:r>
        <w:rPr/>
        <w:t>-imidazo[2,1-</w:t>
      </w:r>
      <w:r>
        <w:rPr>
          <w:i/>
          <w:iCs/>
        </w:rPr>
        <w:t>b</w:t>
      </w:r>
      <w:r>
        <w:rPr/>
        <w:t>][1,3]oxazin-7-yl)methanol (</w:t>
      </w:r>
      <w:r>
        <w:rPr>
          <w:b/>
          <w:bCs/>
        </w:rPr>
        <w:t>17a</w:t>
      </w:r>
      <w:r>
        <w:rPr/>
        <w:t>) and (7-methyl-2-nitro-6,7-dihydro-5</w:t>
      </w:r>
      <w:r>
        <w:rPr>
          <w:i/>
          <w:iCs/>
        </w:rPr>
        <w:t>H</w:t>
      </w:r>
      <w:r>
        <w:rPr/>
        <w:t>-imidazo[2,1-</w:t>
      </w:r>
      <w:r>
        <w:rPr>
          <w:i/>
          <w:iCs/>
        </w:rPr>
        <w:t>b</w:t>
      </w:r>
      <w:r>
        <w:rPr/>
        <w:t>][1,3]oxazin-7-yl)methanol (</w:t>
      </w:r>
      <w:r>
        <w:rPr>
          <w:b/>
          <w:bCs/>
        </w:rPr>
        <w:t>17b</w:t>
      </w:r>
      <w:r>
        <w:rPr/>
        <w:t>) were prepared according to literature procedure [</w:t>
      </w:r>
      <w:r>
        <w:rPr>
          <w:color w:val="0070C0"/>
        </w:rPr>
        <w:t>10</w:t>
      </w:r>
      <w:r>
        <w:rPr/>
        <w:t xml:space="preserve">]. Aromatic substitution provided intermediates </w:t>
      </w:r>
      <w:r>
        <w:rPr>
          <w:b/>
          <w:bCs/>
        </w:rPr>
        <w:t>18a-c</w:t>
      </w:r>
      <w:r>
        <w:rPr/>
        <w:t xml:space="preserve">. Suzuki coupling with the oxazolidinone precursor </w:t>
      </w:r>
      <w:r>
        <w:rPr>
          <w:b/>
          <w:bCs/>
        </w:rPr>
        <w:t>9a</w:t>
      </w:r>
      <w:r>
        <w:rPr/>
        <w:t xml:space="preserve"> provided conjugate molecules </w:t>
      </w:r>
      <w:r>
        <w:rPr>
          <w:b/>
          <w:bCs/>
        </w:rPr>
        <w:t>19a-c</w:t>
      </w:r>
      <w:r>
        <w:rPr/>
        <w:t>.</w:t>
      </w:r>
    </w:p>
    <w:p>
      <w:pPr>
        <w:pStyle w:val="MDPI22heading2"/>
        <w:rPr/>
      </w:pPr>
      <w:r>
        <w:rPr/>
        <w:t>2.2. Mechanism of Action</w:t>
      </w:r>
    </w:p>
    <w:p>
      <w:pPr>
        <w:pStyle w:val="MDPI31text"/>
        <w:rPr/>
      </w:pPr>
      <w:r>
        <w:rPr/>
        <w:t xml:space="preserve">The mechanisms of action of the precursor antibiotics of the conjugate molecules have been well established. In order to understand whether the conjugate molecules synthesized in the current study maintained antibacterial activity and received contribution from both precursor antibiotic classes, an isogenic panel of resistant mutant strains was prepared from wild-type strain </w:t>
      </w:r>
      <w:r>
        <w:rPr>
          <w:i/>
          <w:iCs/>
        </w:rPr>
        <w:t>M. tuberculosis</w:t>
      </w:r>
      <w:r>
        <w:rPr/>
        <w:t xml:space="preserve"> H37Rv by stepwise resistance induction with linezolid or pretomanid (Table </w:t>
      </w:r>
      <w:r>
        <w:rPr>
          <w:color w:val="0070C0"/>
        </w:rPr>
        <w:t>1</w:t>
      </w:r>
      <w:r>
        <w:rPr/>
        <w:t xml:space="preserve">). Resistant mutant strains L1 and L3 were induced by linezolid with mutations on </w:t>
      </w:r>
      <w:r>
        <w:rPr>
          <w:i/>
          <w:iCs/>
        </w:rPr>
        <w:t>rplC</w:t>
      </w:r>
      <w:r>
        <w:rPr/>
        <w:t xml:space="preserve"> gene encoding the 50S ribosomal protein L3. The minimum inhibitory concentrations (MICs) of linezolid against L1 and L3 were 4.80 and 8.18 µg/mL respectively, as compared to 0.15 µg/mL against the wild-type H37Rv strain. The resistant mutant strains P1 and P3 were induced by pretomanid with mutations in the </w:t>
      </w:r>
      <w:r>
        <w:rPr>
          <w:i/>
          <w:iCs/>
        </w:rPr>
        <w:t>ddn</w:t>
      </w:r>
      <w:r>
        <w:rPr/>
        <w:t xml:space="preserve"> gene encoding the deazoflavin-dependent nitroreductase. The MICs of pretomanid against P1 and P3 strains were &gt;20 and &gt;20 µg/mL respectively, as compared to 0.07 µg/mL for the H37Rv strain.</w:t>
      </w:r>
    </w:p>
    <w:p>
      <w:pPr>
        <w:pStyle w:val="MDPI31text"/>
        <w:rPr/>
      </w:pPr>
      <w:r>
        <w:rPr/>
        <w:t>All four conjugate compounds listed in Table 1 (</w:t>
      </w:r>
      <w:r>
        <w:rPr>
          <w:b/>
          <w:bCs/>
        </w:rPr>
        <w:t>8a</w:t>
      </w:r>
      <w:r>
        <w:rPr/>
        <w:t xml:space="preserve">, </w:t>
      </w:r>
      <w:r>
        <w:rPr>
          <w:b/>
          <w:bCs/>
        </w:rPr>
        <w:t>8b</w:t>
      </w:r>
      <w:r>
        <w:rPr/>
        <w:t xml:space="preserve">, </w:t>
      </w:r>
      <w:r>
        <w:rPr>
          <w:b/>
          <w:bCs/>
        </w:rPr>
        <w:t>14c</w:t>
      </w:r>
      <w:r>
        <w:rPr/>
        <w:t xml:space="preserve"> and </w:t>
      </w:r>
      <w:r>
        <w:rPr>
          <w:b/>
          <w:bCs/>
        </w:rPr>
        <w:t>14d)</w:t>
      </w:r>
      <w:r>
        <w:rPr/>
        <w:t xml:space="preserve"> were highly active against the H37Rv strain with MICs similar to that of linezolid and pretomanid. More importantly, all compounds were significantly more potent than linezolid against the L1 and L3 strains and significantly more potent than pretomanid against the P1 and P3 mutant strains, indicating that the antimicrobial activity of the conjugate molecules includes contributions from both parental antibiotic pharmacophores.</w:t>
      </w:r>
    </w:p>
    <w:p>
      <w:pPr>
        <w:pStyle w:val="MDPI31text"/>
        <w:rPr/>
      </w:pPr>
      <w:r>
        <w:rPr/>
        <w:t xml:space="preserve">Compounds </w:t>
      </w:r>
      <w:r>
        <w:rPr>
          <w:b/>
          <w:bCs/>
        </w:rPr>
        <w:t>8a</w:t>
      </w:r>
      <w:r>
        <w:rPr/>
        <w:t xml:space="preserve"> and </w:t>
      </w:r>
      <w:r>
        <w:rPr>
          <w:b/>
          <w:bCs/>
        </w:rPr>
        <w:t>8b</w:t>
      </w:r>
      <w:r>
        <w:rPr/>
        <w:t xml:space="preserve"> were formed by the oxazine fused 4-nitroimidazole and the oxazolidinone core. These compounds, particularly compound </w:t>
      </w:r>
      <w:r>
        <w:rPr>
          <w:b/>
          <w:bCs/>
        </w:rPr>
        <w:t>8a</w:t>
      </w:r>
      <w:r>
        <w:rPr/>
        <w:t xml:space="preserve">, appeared to be more potent against linezolid resistant strains L1 and L3, suggesting that the 4-nitroimidazole function makes a relatively more significant contribution to the antibacterial activity than the oxazolidonone function in these conjugate molecules. However, compounds </w:t>
      </w:r>
      <w:r>
        <w:rPr>
          <w:b/>
          <w:bCs/>
        </w:rPr>
        <w:t>14c</w:t>
      </w:r>
      <w:r>
        <w:rPr/>
        <w:t xml:space="preserve"> and </w:t>
      </w:r>
      <w:r>
        <w:rPr>
          <w:b/>
          <w:bCs/>
        </w:rPr>
        <w:t>14d</w:t>
      </w:r>
      <w:r>
        <w:rPr/>
        <w:t>, formed by the oxazole fused 4-nitroimidazole and the oxazolidinone core, demonstrated balanced activity against the linezolid resistant strains L1 and L3 and the pretomanid resistant strains P1 and P3, suggesting that these conjugate molecules exhibit a balanced contribution from the two parental antibiotic pharmacophores.</w:t>
      </w:r>
    </w:p>
    <w:p>
      <w:pPr>
        <w:pStyle w:val="MDPI41tablecaption"/>
        <w:rPr/>
      </w:pPr>
      <w:r>
        <w:rPr>
          <w:b/>
        </w:rPr>
        <w:t xml:space="preserve">Table 1. </w:t>
      </w:r>
      <w:r>
        <w:rPr/>
        <w:t xml:space="preserve">Minimum inhibitory concentrations of selected conjugate molecules against isogenic resistant mutant strains of </w:t>
      </w:r>
      <w:r>
        <w:rPr>
          <w:i/>
          <w:iCs/>
        </w:rPr>
        <w:t>M. tuberculosis</w:t>
      </w:r>
      <w:r>
        <w:rPr/>
        <w:t>.</w:t>
      </w:r>
    </w:p>
    <w:tbl>
      <w:tblPr>
        <w:tblW w:w="6294" w:type="dxa"/>
        <w:jc w:val="center"/>
        <w:tblInd w:w="0" w:type="dxa"/>
        <w:tblLayout w:type="fixed"/>
        <w:tblCellMar>
          <w:top w:w="0" w:type="dxa"/>
          <w:start w:w="108" w:type="dxa"/>
          <w:bottom w:w="0" w:type="dxa"/>
          <w:end w:w="108" w:type="dxa"/>
        </w:tblCellMar>
      </w:tblPr>
      <w:tblGrid>
        <w:gridCol w:w="1339"/>
        <w:gridCol w:w="1337"/>
        <w:gridCol w:w="904"/>
        <w:gridCol w:w="904"/>
        <w:gridCol w:w="904"/>
        <w:gridCol w:w="906"/>
      </w:tblGrid>
      <w:tr>
        <w:trPr/>
        <w:tc>
          <w:tcPr>
            <w:tcW w:w="1339" w:type="dxa"/>
            <w:vMerge w:val="restart"/>
            <w:tcBorders>
              <w:top w:val="single" w:sz="8" w:space="0" w:color="000000"/>
            </w:tcBorders>
            <w:vAlign w:val="center"/>
          </w:tcPr>
          <w:p>
            <w:pPr>
              <w:pStyle w:val="MDPI42tablebody"/>
              <w:autoSpaceDE w:val="false"/>
              <w:spacing w:lineRule="auto" w:line="240"/>
              <w:rPr>
                <w:b/>
                <w:b/>
                <w:szCs w:val="18"/>
              </w:rPr>
            </w:pPr>
            <w:r>
              <w:rPr>
                <w:b/>
                <w:szCs w:val="18"/>
              </w:rPr>
              <w:t>Compounds</w:t>
            </w:r>
          </w:p>
        </w:tc>
        <w:tc>
          <w:tcPr>
            <w:tcW w:w="4955" w:type="dxa"/>
            <w:gridSpan w:val="5"/>
            <w:tcBorders>
              <w:top w:val="single" w:sz="8" w:space="0" w:color="000000"/>
              <w:bottom w:val="single" w:sz="4" w:space="0" w:color="000000"/>
            </w:tcBorders>
            <w:vAlign w:val="center"/>
          </w:tcPr>
          <w:p>
            <w:pPr>
              <w:pStyle w:val="MDPI42tablebody"/>
              <w:autoSpaceDE w:val="false"/>
              <w:spacing w:lineRule="auto" w:line="240"/>
              <w:rPr>
                <w:b/>
                <w:b/>
                <w:szCs w:val="18"/>
              </w:rPr>
            </w:pPr>
            <w:r>
              <w:rPr>
                <w:b/>
                <w:i/>
                <w:iCs/>
                <w:szCs w:val="18"/>
              </w:rPr>
              <w:t>M. tuberculosis</w:t>
            </w:r>
            <w:r>
              <w:rPr>
                <w:b/>
                <w:szCs w:val="18"/>
              </w:rPr>
              <w:t xml:space="preserve"> Isogenic Mutant Panel</w:t>
            </w:r>
            <w:r>
              <w:rPr>
                <w:rFonts w:eastAsia="DengXian;等线"/>
                <w:b/>
                <w:szCs w:val="18"/>
                <w:lang w:eastAsia="zh-CN"/>
              </w:rPr>
              <w:t xml:space="preserve"> </w:t>
            </w:r>
            <w:r>
              <w:rPr>
                <w:b/>
                <w:szCs w:val="18"/>
              </w:rPr>
              <w:t>MIC (μg/mL)</w:t>
            </w:r>
          </w:p>
        </w:tc>
      </w:tr>
      <w:tr>
        <w:trPr/>
        <w:tc>
          <w:tcPr>
            <w:tcW w:w="1339" w:type="dxa"/>
            <w:vMerge w:val="continue"/>
            <w:tcBorders>
              <w:top w:val="single" w:sz="8" w:space="0" w:color="000000"/>
            </w:tcBorders>
            <w:vAlign w:val="center"/>
          </w:tcPr>
          <w:p>
            <w:pPr>
              <w:pStyle w:val="MDPI42tablebody"/>
              <w:autoSpaceDE w:val="false"/>
              <w:snapToGrid w:val="false"/>
              <w:spacing w:lineRule="auto" w:line="240"/>
              <w:rPr>
                <w:rFonts w:ascii="Palatino Linotype" w:hAnsi="Palatino Linotype" w:cs="Palatino Linotype"/>
                <w:b/>
                <w:b/>
                <w:sz w:val="20"/>
                <w:szCs w:val="18"/>
              </w:rPr>
            </w:pPr>
            <w:r>
              <w:rPr>
                <w:rFonts w:cs="Palatino Linotype"/>
                <w:b/>
                <w:sz w:val="20"/>
                <w:szCs w:val="18"/>
              </w:rPr>
            </w:r>
          </w:p>
        </w:tc>
        <w:tc>
          <w:tcPr>
            <w:tcW w:w="1337" w:type="dxa"/>
            <w:tcBorders>
              <w:bottom w:val="single" w:sz="4" w:space="0" w:color="000000"/>
            </w:tcBorders>
            <w:vAlign w:val="center"/>
          </w:tcPr>
          <w:p>
            <w:pPr>
              <w:pStyle w:val="MDPI42tablebody"/>
              <w:autoSpaceDE w:val="false"/>
              <w:spacing w:lineRule="auto" w:line="240"/>
              <w:rPr>
                <w:b/>
                <w:b/>
                <w:bCs/>
                <w:szCs w:val="18"/>
              </w:rPr>
            </w:pPr>
            <w:r>
              <w:rPr>
                <w:b/>
                <w:bCs/>
                <w:szCs w:val="18"/>
              </w:rPr>
              <w:t>H37Rv</w:t>
            </w:r>
          </w:p>
        </w:tc>
        <w:tc>
          <w:tcPr>
            <w:tcW w:w="904" w:type="dxa"/>
            <w:tcBorders>
              <w:bottom w:val="single" w:sz="4" w:space="0" w:color="000000"/>
            </w:tcBorders>
            <w:vAlign w:val="center"/>
          </w:tcPr>
          <w:p>
            <w:pPr>
              <w:pStyle w:val="MDPI42tablebody"/>
              <w:autoSpaceDE w:val="false"/>
              <w:spacing w:lineRule="auto" w:line="240"/>
              <w:rPr>
                <w:b/>
                <w:b/>
                <w:bCs/>
                <w:szCs w:val="18"/>
              </w:rPr>
            </w:pPr>
            <w:r>
              <w:rPr>
                <w:b/>
                <w:bCs/>
                <w:szCs w:val="18"/>
              </w:rPr>
              <w:t>L1</w:t>
            </w:r>
          </w:p>
        </w:tc>
        <w:tc>
          <w:tcPr>
            <w:tcW w:w="904" w:type="dxa"/>
            <w:tcBorders>
              <w:bottom w:val="single" w:sz="4" w:space="0" w:color="000000"/>
            </w:tcBorders>
            <w:vAlign w:val="center"/>
          </w:tcPr>
          <w:p>
            <w:pPr>
              <w:pStyle w:val="MDPI42tablebody"/>
              <w:autoSpaceDE w:val="false"/>
              <w:spacing w:lineRule="auto" w:line="240"/>
              <w:rPr>
                <w:b/>
                <w:b/>
                <w:bCs/>
                <w:szCs w:val="18"/>
              </w:rPr>
            </w:pPr>
            <w:r>
              <w:rPr>
                <w:b/>
                <w:bCs/>
                <w:szCs w:val="18"/>
              </w:rPr>
              <w:t>L3</w:t>
            </w:r>
          </w:p>
        </w:tc>
        <w:tc>
          <w:tcPr>
            <w:tcW w:w="904" w:type="dxa"/>
            <w:tcBorders>
              <w:bottom w:val="single" w:sz="4" w:space="0" w:color="000000"/>
            </w:tcBorders>
            <w:vAlign w:val="center"/>
          </w:tcPr>
          <w:p>
            <w:pPr>
              <w:pStyle w:val="MDPI42tablebody"/>
              <w:autoSpaceDE w:val="false"/>
              <w:spacing w:lineRule="auto" w:line="240"/>
              <w:rPr>
                <w:b/>
                <w:b/>
                <w:bCs/>
                <w:szCs w:val="18"/>
              </w:rPr>
            </w:pPr>
            <w:r>
              <w:rPr>
                <w:b/>
                <w:bCs/>
                <w:szCs w:val="18"/>
              </w:rPr>
              <w:t>P1</w:t>
            </w:r>
          </w:p>
        </w:tc>
        <w:tc>
          <w:tcPr>
            <w:tcW w:w="906" w:type="dxa"/>
            <w:tcBorders>
              <w:bottom w:val="single" w:sz="4" w:space="0" w:color="000000"/>
            </w:tcBorders>
            <w:vAlign w:val="center"/>
          </w:tcPr>
          <w:p>
            <w:pPr>
              <w:pStyle w:val="MDPI42tablebody"/>
              <w:autoSpaceDE w:val="false"/>
              <w:spacing w:lineRule="auto" w:line="240"/>
              <w:rPr>
                <w:b/>
                <w:b/>
                <w:bCs/>
                <w:szCs w:val="18"/>
              </w:rPr>
            </w:pPr>
            <w:r>
              <w:rPr>
                <w:b/>
                <w:bCs/>
                <w:szCs w:val="18"/>
              </w:rPr>
              <w:t>P3</w:t>
            </w:r>
          </w:p>
        </w:tc>
      </w:tr>
      <w:tr>
        <w:trPr/>
        <w:tc>
          <w:tcPr>
            <w:tcW w:w="1339" w:type="dxa"/>
            <w:tcBorders/>
            <w:vAlign w:val="center"/>
          </w:tcPr>
          <w:p>
            <w:pPr>
              <w:pStyle w:val="MDPI42tablebody"/>
              <w:autoSpaceDE w:val="false"/>
              <w:spacing w:lineRule="auto" w:line="240"/>
              <w:rPr>
                <w:b/>
                <w:b/>
                <w:bCs/>
                <w:szCs w:val="18"/>
              </w:rPr>
            </w:pPr>
            <w:r>
              <w:rPr>
                <w:b/>
                <w:bCs/>
                <w:szCs w:val="18"/>
              </w:rPr>
              <w:t>Linezolid</w:t>
            </w:r>
          </w:p>
        </w:tc>
        <w:tc>
          <w:tcPr>
            <w:tcW w:w="1337" w:type="dxa"/>
            <w:tcBorders/>
            <w:vAlign w:val="center"/>
          </w:tcPr>
          <w:p>
            <w:pPr>
              <w:pStyle w:val="MDPI42tablebody"/>
              <w:autoSpaceDE w:val="false"/>
              <w:spacing w:lineRule="auto" w:line="240"/>
              <w:rPr>
                <w:szCs w:val="18"/>
              </w:rPr>
            </w:pPr>
            <w:r>
              <w:rPr>
                <w:szCs w:val="18"/>
              </w:rPr>
              <w:t>0.15</w:t>
            </w:r>
          </w:p>
        </w:tc>
        <w:tc>
          <w:tcPr>
            <w:tcW w:w="904" w:type="dxa"/>
            <w:tcBorders/>
            <w:vAlign w:val="center"/>
          </w:tcPr>
          <w:p>
            <w:pPr>
              <w:pStyle w:val="MDPI42tablebody"/>
              <w:autoSpaceDE w:val="false"/>
              <w:spacing w:lineRule="auto" w:line="240"/>
              <w:rPr>
                <w:szCs w:val="18"/>
              </w:rPr>
            </w:pPr>
            <w:r>
              <w:rPr>
                <w:szCs w:val="18"/>
              </w:rPr>
              <w:t>4.80</w:t>
            </w:r>
          </w:p>
        </w:tc>
        <w:tc>
          <w:tcPr>
            <w:tcW w:w="904" w:type="dxa"/>
            <w:tcBorders/>
            <w:vAlign w:val="center"/>
          </w:tcPr>
          <w:p>
            <w:pPr>
              <w:pStyle w:val="MDPI42tablebody"/>
              <w:autoSpaceDE w:val="false"/>
              <w:spacing w:lineRule="auto" w:line="240"/>
              <w:rPr>
                <w:szCs w:val="18"/>
              </w:rPr>
            </w:pPr>
            <w:r>
              <w:rPr>
                <w:szCs w:val="18"/>
              </w:rPr>
              <w:t>8.18</w:t>
            </w:r>
          </w:p>
        </w:tc>
        <w:tc>
          <w:tcPr>
            <w:tcW w:w="904" w:type="dxa"/>
            <w:tcBorders/>
            <w:vAlign w:val="center"/>
          </w:tcPr>
          <w:p>
            <w:pPr>
              <w:pStyle w:val="MDPI42tablebody"/>
              <w:autoSpaceDE w:val="false"/>
              <w:spacing w:lineRule="auto" w:line="240"/>
              <w:rPr>
                <w:szCs w:val="18"/>
              </w:rPr>
            </w:pPr>
            <w:r>
              <w:rPr>
                <w:szCs w:val="18"/>
              </w:rPr>
              <w:t>0.29</w:t>
            </w:r>
          </w:p>
        </w:tc>
        <w:tc>
          <w:tcPr>
            <w:tcW w:w="906" w:type="dxa"/>
            <w:tcBorders/>
            <w:vAlign w:val="center"/>
          </w:tcPr>
          <w:p>
            <w:pPr>
              <w:pStyle w:val="MDPI42tablebody"/>
              <w:autoSpaceDE w:val="false"/>
              <w:spacing w:lineRule="auto" w:line="240"/>
              <w:rPr>
                <w:szCs w:val="18"/>
              </w:rPr>
            </w:pPr>
            <w:r>
              <w:rPr>
                <w:szCs w:val="18"/>
              </w:rPr>
              <w:t>0.31</w:t>
            </w:r>
          </w:p>
        </w:tc>
      </w:tr>
      <w:tr>
        <w:trPr/>
        <w:tc>
          <w:tcPr>
            <w:tcW w:w="1339" w:type="dxa"/>
            <w:tcBorders/>
            <w:vAlign w:val="center"/>
          </w:tcPr>
          <w:p>
            <w:pPr>
              <w:pStyle w:val="MDPI42tablebody"/>
              <w:autoSpaceDE w:val="false"/>
              <w:spacing w:lineRule="auto" w:line="240"/>
              <w:rPr>
                <w:b/>
                <w:b/>
                <w:bCs/>
                <w:szCs w:val="18"/>
              </w:rPr>
            </w:pPr>
            <w:r>
              <w:rPr>
                <w:b/>
                <w:bCs/>
                <w:szCs w:val="18"/>
              </w:rPr>
              <w:t>Pretomanid</w:t>
            </w:r>
          </w:p>
        </w:tc>
        <w:tc>
          <w:tcPr>
            <w:tcW w:w="1337" w:type="dxa"/>
            <w:tcBorders/>
            <w:vAlign w:val="center"/>
          </w:tcPr>
          <w:p>
            <w:pPr>
              <w:pStyle w:val="MDPI42tablebody"/>
              <w:autoSpaceDE w:val="false"/>
              <w:spacing w:lineRule="auto" w:line="240"/>
              <w:rPr>
                <w:szCs w:val="18"/>
              </w:rPr>
            </w:pPr>
            <w:r>
              <w:rPr>
                <w:szCs w:val="18"/>
              </w:rPr>
              <w:t>0.07</w:t>
            </w:r>
          </w:p>
        </w:tc>
        <w:tc>
          <w:tcPr>
            <w:tcW w:w="904" w:type="dxa"/>
            <w:tcBorders/>
            <w:vAlign w:val="center"/>
          </w:tcPr>
          <w:p>
            <w:pPr>
              <w:pStyle w:val="MDPI42tablebody"/>
              <w:autoSpaceDE w:val="false"/>
              <w:spacing w:lineRule="auto" w:line="240"/>
              <w:rPr>
                <w:szCs w:val="18"/>
              </w:rPr>
            </w:pPr>
            <w:r>
              <w:rPr>
                <w:szCs w:val="18"/>
              </w:rPr>
              <w:t>0.15</w:t>
            </w:r>
          </w:p>
        </w:tc>
        <w:tc>
          <w:tcPr>
            <w:tcW w:w="904" w:type="dxa"/>
            <w:tcBorders/>
            <w:vAlign w:val="center"/>
          </w:tcPr>
          <w:p>
            <w:pPr>
              <w:pStyle w:val="MDPI42tablebody"/>
              <w:autoSpaceDE w:val="false"/>
              <w:spacing w:lineRule="auto" w:line="240"/>
              <w:rPr>
                <w:szCs w:val="18"/>
              </w:rPr>
            </w:pPr>
            <w:r>
              <w:rPr>
                <w:szCs w:val="18"/>
              </w:rPr>
              <w:t>0.24</w:t>
            </w:r>
          </w:p>
        </w:tc>
        <w:tc>
          <w:tcPr>
            <w:tcW w:w="904" w:type="dxa"/>
            <w:tcBorders/>
            <w:vAlign w:val="center"/>
          </w:tcPr>
          <w:p>
            <w:pPr>
              <w:pStyle w:val="MDPI42tablebody"/>
              <w:autoSpaceDE w:val="false"/>
              <w:spacing w:lineRule="auto" w:line="240"/>
              <w:rPr>
                <w:szCs w:val="18"/>
              </w:rPr>
            </w:pPr>
            <w:r>
              <w:rPr>
                <w:szCs w:val="18"/>
              </w:rPr>
              <w:t>&gt;20</w:t>
            </w:r>
          </w:p>
        </w:tc>
        <w:tc>
          <w:tcPr>
            <w:tcW w:w="906" w:type="dxa"/>
            <w:tcBorders/>
            <w:vAlign w:val="center"/>
          </w:tcPr>
          <w:p>
            <w:pPr>
              <w:pStyle w:val="MDPI42tablebody"/>
              <w:autoSpaceDE w:val="false"/>
              <w:spacing w:lineRule="auto" w:line="240"/>
              <w:rPr>
                <w:szCs w:val="18"/>
              </w:rPr>
            </w:pPr>
            <w:r>
              <w:rPr>
                <w:szCs w:val="18"/>
              </w:rPr>
              <w:t>&gt;20</w:t>
            </w:r>
          </w:p>
        </w:tc>
      </w:tr>
      <w:tr>
        <w:trPr/>
        <w:tc>
          <w:tcPr>
            <w:tcW w:w="1339" w:type="dxa"/>
            <w:tcBorders/>
            <w:vAlign w:val="center"/>
          </w:tcPr>
          <w:p>
            <w:pPr>
              <w:pStyle w:val="MDPI42tablebody"/>
              <w:autoSpaceDE w:val="false"/>
              <w:spacing w:lineRule="auto" w:line="240"/>
              <w:rPr>
                <w:b/>
                <w:b/>
                <w:bCs/>
                <w:szCs w:val="18"/>
              </w:rPr>
            </w:pPr>
            <w:r>
              <w:rPr>
                <w:b/>
                <w:bCs/>
                <w:szCs w:val="18"/>
              </w:rPr>
              <w:t>8a</w:t>
            </w:r>
          </w:p>
        </w:tc>
        <w:tc>
          <w:tcPr>
            <w:tcW w:w="1337" w:type="dxa"/>
            <w:tcBorders/>
            <w:vAlign w:val="center"/>
          </w:tcPr>
          <w:p>
            <w:pPr>
              <w:pStyle w:val="MDPI42tablebody"/>
              <w:autoSpaceDE w:val="false"/>
              <w:spacing w:lineRule="auto" w:line="240"/>
              <w:rPr>
                <w:szCs w:val="18"/>
              </w:rPr>
            </w:pPr>
            <w:r>
              <w:rPr>
                <w:szCs w:val="18"/>
              </w:rPr>
              <w:t>0.06</w:t>
            </w:r>
          </w:p>
        </w:tc>
        <w:tc>
          <w:tcPr>
            <w:tcW w:w="904" w:type="dxa"/>
            <w:tcBorders/>
            <w:vAlign w:val="center"/>
          </w:tcPr>
          <w:p>
            <w:pPr>
              <w:pStyle w:val="MDPI42tablebody"/>
              <w:autoSpaceDE w:val="false"/>
              <w:spacing w:lineRule="auto" w:line="240"/>
              <w:rPr>
                <w:szCs w:val="18"/>
              </w:rPr>
            </w:pPr>
            <w:r>
              <w:rPr>
                <w:szCs w:val="18"/>
              </w:rPr>
              <w:t>1.95</w:t>
            </w:r>
          </w:p>
        </w:tc>
        <w:tc>
          <w:tcPr>
            <w:tcW w:w="904" w:type="dxa"/>
            <w:tcBorders/>
            <w:vAlign w:val="center"/>
          </w:tcPr>
          <w:p>
            <w:pPr>
              <w:pStyle w:val="MDPI42tablebody"/>
              <w:autoSpaceDE w:val="false"/>
              <w:spacing w:lineRule="auto" w:line="240"/>
              <w:rPr>
                <w:szCs w:val="18"/>
              </w:rPr>
            </w:pPr>
            <w:r>
              <w:rPr>
                <w:szCs w:val="18"/>
              </w:rPr>
              <w:t>1.78</w:t>
            </w:r>
          </w:p>
        </w:tc>
        <w:tc>
          <w:tcPr>
            <w:tcW w:w="904" w:type="dxa"/>
            <w:tcBorders/>
            <w:vAlign w:val="center"/>
          </w:tcPr>
          <w:p>
            <w:pPr>
              <w:pStyle w:val="MDPI42tablebody"/>
              <w:autoSpaceDE w:val="false"/>
              <w:spacing w:lineRule="auto" w:line="240"/>
              <w:rPr>
                <w:szCs w:val="18"/>
              </w:rPr>
            </w:pPr>
            <w:r>
              <w:rPr>
                <w:szCs w:val="18"/>
              </w:rPr>
              <w:t>6.48</w:t>
            </w:r>
          </w:p>
        </w:tc>
        <w:tc>
          <w:tcPr>
            <w:tcW w:w="906" w:type="dxa"/>
            <w:tcBorders/>
            <w:vAlign w:val="center"/>
          </w:tcPr>
          <w:p>
            <w:pPr>
              <w:pStyle w:val="MDPI42tablebody"/>
              <w:autoSpaceDE w:val="false"/>
              <w:spacing w:lineRule="auto" w:line="240"/>
              <w:rPr>
                <w:szCs w:val="18"/>
              </w:rPr>
            </w:pPr>
            <w:r>
              <w:rPr>
                <w:szCs w:val="18"/>
              </w:rPr>
              <w:t>5.96</w:t>
            </w:r>
          </w:p>
        </w:tc>
      </w:tr>
      <w:tr>
        <w:trPr/>
        <w:tc>
          <w:tcPr>
            <w:tcW w:w="1339" w:type="dxa"/>
            <w:tcBorders/>
            <w:vAlign w:val="center"/>
          </w:tcPr>
          <w:p>
            <w:pPr>
              <w:pStyle w:val="MDPI42tablebody"/>
              <w:autoSpaceDE w:val="false"/>
              <w:spacing w:lineRule="auto" w:line="240"/>
              <w:rPr>
                <w:b/>
                <w:b/>
                <w:bCs/>
                <w:szCs w:val="18"/>
              </w:rPr>
            </w:pPr>
            <w:r>
              <w:rPr>
                <w:b/>
                <w:bCs/>
                <w:szCs w:val="18"/>
              </w:rPr>
              <w:t>8b</w:t>
            </w:r>
          </w:p>
        </w:tc>
        <w:tc>
          <w:tcPr>
            <w:tcW w:w="1337" w:type="dxa"/>
            <w:tcBorders/>
            <w:vAlign w:val="center"/>
          </w:tcPr>
          <w:p>
            <w:pPr>
              <w:pStyle w:val="MDPI42tablebody"/>
              <w:autoSpaceDE w:val="false"/>
              <w:spacing w:lineRule="auto" w:line="240"/>
              <w:rPr>
                <w:szCs w:val="18"/>
              </w:rPr>
            </w:pPr>
            <w:r>
              <w:rPr>
                <w:szCs w:val="18"/>
              </w:rPr>
              <w:t>0.20</w:t>
            </w:r>
          </w:p>
        </w:tc>
        <w:tc>
          <w:tcPr>
            <w:tcW w:w="904" w:type="dxa"/>
            <w:tcBorders/>
            <w:vAlign w:val="center"/>
          </w:tcPr>
          <w:p>
            <w:pPr>
              <w:pStyle w:val="MDPI42tablebody"/>
              <w:autoSpaceDE w:val="false"/>
              <w:spacing w:lineRule="auto" w:line="240"/>
              <w:rPr>
                <w:szCs w:val="18"/>
              </w:rPr>
            </w:pPr>
            <w:r>
              <w:rPr>
                <w:szCs w:val="18"/>
              </w:rPr>
              <w:t>0.91</w:t>
            </w:r>
          </w:p>
        </w:tc>
        <w:tc>
          <w:tcPr>
            <w:tcW w:w="904" w:type="dxa"/>
            <w:tcBorders/>
            <w:vAlign w:val="center"/>
          </w:tcPr>
          <w:p>
            <w:pPr>
              <w:pStyle w:val="MDPI42tablebody"/>
              <w:autoSpaceDE w:val="false"/>
              <w:spacing w:lineRule="auto" w:line="240"/>
              <w:rPr>
                <w:szCs w:val="18"/>
              </w:rPr>
            </w:pPr>
            <w:r>
              <w:rPr>
                <w:szCs w:val="18"/>
              </w:rPr>
              <w:t>1.87</w:t>
            </w:r>
          </w:p>
        </w:tc>
        <w:tc>
          <w:tcPr>
            <w:tcW w:w="904" w:type="dxa"/>
            <w:tcBorders/>
            <w:vAlign w:val="center"/>
          </w:tcPr>
          <w:p>
            <w:pPr>
              <w:pStyle w:val="MDPI42tablebody"/>
              <w:autoSpaceDE w:val="false"/>
              <w:spacing w:lineRule="auto" w:line="240"/>
              <w:rPr>
                <w:szCs w:val="18"/>
              </w:rPr>
            </w:pPr>
            <w:r>
              <w:rPr>
                <w:szCs w:val="18"/>
              </w:rPr>
              <w:t>1.04</w:t>
            </w:r>
          </w:p>
        </w:tc>
        <w:tc>
          <w:tcPr>
            <w:tcW w:w="906" w:type="dxa"/>
            <w:tcBorders/>
            <w:vAlign w:val="center"/>
          </w:tcPr>
          <w:p>
            <w:pPr>
              <w:pStyle w:val="MDPI42tablebody"/>
              <w:autoSpaceDE w:val="false"/>
              <w:spacing w:lineRule="auto" w:line="240"/>
              <w:rPr>
                <w:szCs w:val="18"/>
              </w:rPr>
            </w:pPr>
            <w:r>
              <w:rPr>
                <w:szCs w:val="18"/>
              </w:rPr>
              <w:t>3.30</w:t>
            </w:r>
          </w:p>
        </w:tc>
      </w:tr>
      <w:tr>
        <w:trPr/>
        <w:tc>
          <w:tcPr>
            <w:tcW w:w="1339" w:type="dxa"/>
            <w:tcBorders/>
            <w:vAlign w:val="center"/>
          </w:tcPr>
          <w:p>
            <w:pPr>
              <w:pStyle w:val="MDPI42tablebody"/>
              <w:autoSpaceDE w:val="false"/>
              <w:spacing w:lineRule="auto" w:line="240"/>
              <w:rPr>
                <w:b/>
                <w:b/>
                <w:bCs/>
                <w:szCs w:val="18"/>
              </w:rPr>
            </w:pPr>
            <w:r>
              <w:rPr>
                <w:b/>
                <w:bCs/>
                <w:szCs w:val="18"/>
              </w:rPr>
              <w:t>14c</w:t>
            </w:r>
          </w:p>
        </w:tc>
        <w:tc>
          <w:tcPr>
            <w:tcW w:w="1337" w:type="dxa"/>
            <w:tcBorders/>
            <w:vAlign w:val="center"/>
          </w:tcPr>
          <w:p>
            <w:pPr>
              <w:pStyle w:val="MDPI42tablebody"/>
              <w:autoSpaceDE w:val="false"/>
              <w:spacing w:lineRule="auto" w:line="240"/>
              <w:rPr>
                <w:szCs w:val="18"/>
              </w:rPr>
            </w:pPr>
            <w:r>
              <w:rPr>
                <w:szCs w:val="18"/>
              </w:rPr>
              <w:t>0.08</w:t>
            </w:r>
          </w:p>
        </w:tc>
        <w:tc>
          <w:tcPr>
            <w:tcW w:w="904" w:type="dxa"/>
            <w:tcBorders/>
            <w:vAlign w:val="center"/>
          </w:tcPr>
          <w:p>
            <w:pPr>
              <w:pStyle w:val="MDPI42tablebody"/>
              <w:autoSpaceDE w:val="false"/>
              <w:spacing w:lineRule="auto" w:line="240"/>
              <w:rPr>
                <w:szCs w:val="18"/>
              </w:rPr>
            </w:pPr>
            <w:r>
              <w:rPr>
                <w:szCs w:val="18"/>
              </w:rPr>
              <w:t>1.84</w:t>
            </w:r>
          </w:p>
        </w:tc>
        <w:tc>
          <w:tcPr>
            <w:tcW w:w="904" w:type="dxa"/>
            <w:tcBorders/>
            <w:vAlign w:val="center"/>
          </w:tcPr>
          <w:p>
            <w:pPr>
              <w:pStyle w:val="MDPI42tablebody"/>
              <w:autoSpaceDE w:val="false"/>
              <w:spacing w:lineRule="auto" w:line="240"/>
              <w:rPr>
                <w:szCs w:val="18"/>
              </w:rPr>
            </w:pPr>
            <w:r>
              <w:rPr>
                <w:szCs w:val="18"/>
              </w:rPr>
              <w:t>0.81</w:t>
            </w:r>
          </w:p>
        </w:tc>
        <w:tc>
          <w:tcPr>
            <w:tcW w:w="904" w:type="dxa"/>
            <w:tcBorders/>
            <w:vAlign w:val="center"/>
          </w:tcPr>
          <w:p>
            <w:pPr>
              <w:pStyle w:val="MDPI42tablebody"/>
              <w:autoSpaceDE w:val="false"/>
              <w:spacing w:lineRule="auto" w:line="240"/>
              <w:rPr>
                <w:szCs w:val="18"/>
              </w:rPr>
            </w:pPr>
            <w:r>
              <w:rPr>
                <w:szCs w:val="18"/>
              </w:rPr>
              <w:t>1.77</w:t>
            </w:r>
          </w:p>
        </w:tc>
        <w:tc>
          <w:tcPr>
            <w:tcW w:w="906" w:type="dxa"/>
            <w:tcBorders/>
            <w:vAlign w:val="center"/>
          </w:tcPr>
          <w:p>
            <w:pPr>
              <w:pStyle w:val="MDPI42tablebody"/>
              <w:autoSpaceDE w:val="false"/>
              <w:spacing w:lineRule="auto" w:line="240"/>
              <w:rPr>
                <w:szCs w:val="18"/>
              </w:rPr>
            </w:pPr>
            <w:r>
              <w:rPr>
                <w:szCs w:val="18"/>
              </w:rPr>
              <w:t>1.80</w:t>
            </w:r>
          </w:p>
        </w:tc>
      </w:tr>
      <w:tr>
        <w:trPr/>
        <w:tc>
          <w:tcPr>
            <w:tcW w:w="1339" w:type="dxa"/>
            <w:tcBorders>
              <w:bottom w:val="single" w:sz="8" w:space="0" w:color="000000"/>
            </w:tcBorders>
            <w:vAlign w:val="center"/>
          </w:tcPr>
          <w:p>
            <w:pPr>
              <w:pStyle w:val="MDPI42tablebody"/>
              <w:autoSpaceDE w:val="false"/>
              <w:spacing w:lineRule="auto" w:line="240"/>
              <w:rPr>
                <w:b/>
                <w:b/>
                <w:bCs/>
                <w:szCs w:val="18"/>
              </w:rPr>
            </w:pPr>
            <w:r>
              <w:rPr>
                <w:b/>
                <w:bCs/>
                <w:szCs w:val="18"/>
              </w:rPr>
              <w:t>14d</w:t>
            </w:r>
          </w:p>
        </w:tc>
        <w:tc>
          <w:tcPr>
            <w:tcW w:w="1337" w:type="dxa"/>
            <w:tcBorders>
              <w:bottom w:val="single" w:sz="8" w:space="0" w:color="000000"/>
            </w:tcBorders>
            <w:vAlign w:val="center"/>
          </w:tcPr>
          <w:p>
            <w:pPr>
              <w:pStyle w:val="MDPI42tablebody"/>
              <w:autoSpaceDE w:val="false"/>
              <w:spacing w:lineRule="auto" w:line="240"/>
              <w:rPr>
                <w:szCs w:val="18"/>
              </w:rPr>
            </w:pPr>
            <w:r>
              <w:rPr>
                <w:szCs w:val="18"/>
              </w:rPr>
              <w:t>0.33</w:t>
            </w:r>
          </w:p>
        </w:tc>
        <w:tc>
          <w:tcPr>
            <w:tcW w:w="904" w:type="dxa"/>
            <w:tcBorders>
              <w:bottom w:val="single" w:sz="8" w:space="0" w:color="000000"/>
            </w:tcBorders>
            <w:vAlign w:val="center"/>
          </w:tcPr>
          <w:p>
            <w:pPr>
              <w:pStyle w:val="MDPI42tablebody"/>
              <w:autoSpaceDE w:val="false"/>
              <w:spacing w:lineRule="auto" w:line="240"/>
              <w:rPr>
                <w:szCs w:val="18"/>
              </w:rPr>
            </w:pPr>
            <w:r>
              <w:rPr>
                <w:szCs w:val="18"/>
              </w:rPr>
              <w:t>1.88</w:t>
            </w:r>
          </w:p>
        </w:tc>
        <w:tc>
          <w:tcPr>
            <w:tcW w:w="904" w:type="dxa"/>
            <w:tcBorders>
              <w:bottom w:val="single" w:sz="8" w:space="0" w:color="000000"/>
            </w:tcBorders>
            <w:vAlign w:val="center"/>
          </w:tcPr>
          <w:p>
            <w:pPr>
              <w:pStyle w:val="MDPI42tablebody"/>
              <w:autoSpaceDE w:val="false"/>
              <w:spacing w:lineRule="auto" w:line="240"/>
              <w:rPr>
                <w:szCs w:val="18"/>
              </w:rPr>
            </w:pPr>
            <w:r>
              <w:rPr>
                <w:szCs w:val="18"/>
              </w:rPr>
              <w:t>1.46</w:t>
            </w:r>
          </w:p>
        </w:tc>
        <w:tc>
          <w:tcPr>
            <w:tcW w:w="904" w:type="dxa"/>
            <w:tcBorders>
              <w:bottom w:val="single" w:sz="8" w:space="0" w:color="000000"/>
            </w:tcBorders>
            <w:vAlign w:val="center"/>
          </w:tcPr>
          <w:p>
            <w:pPr>
              <w:pStyle w:val="MDPI42tablebody"/>
              <w:autoSpaceDE w:val="false"/>
              <w:spacing w:lineRule="auto" w:line="240"/>
              <w:rPr>
                <w:szCs w:val="18"/>
              </w:rPr>
            </w:pPr>
            <w:r>
              <w:rPr>
                <w:szCs w:val="18"/>
              </w:rPr>
              <w:t>1.93</w:t>
            </w:r>
          </w:p>
        </w:tc>
        <w:tc>
          <w:tcPr>
            <w:tcW w:w="906" w:type="dxa"/>
            <w:tcBorders>
              <w:bottom w:val="single" w:sz="8" w:space="0" w:color="000000"/>
            </w:tcBorders>
            <w:vAlign w:val="center"/>
          </w:tcPr>
          <w:p>
            <w:pPr>
              <w:pStyle w:val="MDPI42tablebody"/>
              <w:autoSpaceDE w:val="false"/>
              <w:spacing w:lineRule="auto" w:line="240"/>
              <w:rPr>
                <w:szCs w:val="18"/>
              </w:rPr>
            </w:pPr>
            <w:r>
              <w:rPr>
                <w:szCs w:val="18"/>
              </w:rPr>
              <w:t>2.94</w:t>
            </w:r>
          </w:p>
        </w:tc>
      </w:tr>
    </w:tbl>
    <w:p>
      <w:pPr>
        <w:pStyle w:val="MDPI22heading2"/>
        <w:rPr>
          <w:lang w:val="en-US" w:eastAsia="de-DE"/>
        </w:rPr>
      </w:pPr>
      <w:r>
        <w:rPr>
          <w:lang w:val="en-US" w:eastAsia="de-DE"/>
        </w:rPr>
        <w:t>2.3. Spectrum of Activity</w:t>
      </w:r>
    </w:p>
    <w:p>
      <w:pPr>
        <w:pStyle w:val="MDPI31text"/>
        <w:rPr/>
      </w:pPr>
      <w:r>
        <w:rPr/>
        <w:t xml:space="preserve">Selected compounds from the current study were tested against a panel of representative pathogens (Table </w:t>
      </w:r>
      <w:r>
        <w:rPr>
          <w:color w:val="0070C0"/>
        </w:rPr>
        <w:t>2</w:t>
      </w:r>
      <w:r>
        <w:rPr/>
        <w:t xml:space="preserve">). All eight conjugate compounds tested showed a similar spectrum of activity as linezolid against the ESKAPE pathogens: </w:t>
      </w:r>
      <w:r>
        <w:rPr>
          <w:i/>
          <w:iCs/>
        </w:rPr>
        <w:t>Enterococcus faecium</w:t>
      </w:r>
      <w:r>
        <w:rPr/>
        <w:t xml:space="preserve"> (Ef), </w:t>
      </w:r>
      <w:r>
        <w:rPr>
          <w:i/>
          <w:iCs/>
        </w:rPr>
        <w:t>Staphylococcus aureus</w:t>
      </w:r>
      <w:r>
        <w:rPr/>
        <w:t xml:space="preserve"> (Sa), </w:t>
      </w:r>
      <w:r>
        <w:rPr>
          <w:i/>
          <w:iCs/>
        </w:rPr>
        <w:t>Klebsiella pneumoniae</w:t>
      </w:r>
      <w:r>
        <w:rPr/>
        <w:t xml:space="preserve"> (Kp), </w:t>
      </w:r>
      <w:r>
        <w:rPr>
          <w:i/>
          <w:iCs/>
        </w:rPr>
        <w:t>Acinetobacter baumannii</w:t>
      </w:r>
      <w:r>
        <w:rPr/>
        <w:t xml:space="preserve"> (Ab), </w:t>
      </w:r>
      <w:r>
        <w:rPr>
          <w:i/>
          <w:iCs/>
        </w:rPr>
        <w:t>Pseudomonas aeruginosa</w:t>
      </w:r>
      <w:r>
        <w:rPr/>
        <w:t xml:space="preserve"> (Pa), and </w:t>
      </w:r>
      <w:r>
        <w:rPr>
          <w:i/>
          <w:iCs/>
        </w:rPr>
        <w:t>Escherichia</w:t>
      </w:r>
      <w:r>
        <w:rPr/>
        <w:t xml:space="preserve"> </w:t>
      </w:r>
      <w:r>
        <w:rPr>
          <w:i/>
          <w:iCs/>
        </w:rPr>
        <w:t>coli</w:t>
      </w:r>
      <w:r>
        <w:rPr/>
        <w:t xml:space="preserve"> (Ec). Specifically, these compounds were active against Ef and Sa, but inactive against Kp, Ac, Pa and Ec strains. Several compounds (</w:t>
      </w:r>
      <w:r>
        <w:rPr>
          <w:b/>
          <w:bCs/>
        </w:rPr>
        <w:t>8a</w:t>
      </w:r>
      <w:r>
        <w:rPr/>
        <w:t xml:space="preserve">, </w:t>
      </w:r>
      <w:r>
        <w:rPr>
          <w:b/>
          <w:bCs/>
        </w:rPr>
        <w:t>8b</w:t>
      </w:r>
      <w:r>
        <w:rPr/>
        <w:t xml:space="preserve"> and </w:t>
      </w:r>
      <w:r>
        <w:rPr>
          <w:b/>
          <w:bCs/>
        </w:rPr>
        <w:t>11a</w:t>
      </w:r>
      <w:r>
        <w:rPr/>
        <w:t xml:space="preserve">) were substantially more active than linezolid against Ef and Sa. All conjugate compounds were substantially more active than linezolid against the obligate anaerobic pathogen </w:t>
      </w:r>
      <w:r>
        <w:rPr>
          <w:i/>
          <w:iCs/>
        </w:rPr>
        <w:t>Clostridium difficile</w:t>
      </w:r>
      <w:r>
        <w:rPr/>
        <w:t xml:space="preserve"> (Cd). The activities of these compounds were similar to that of metronidazole. These compounds were not cytotoxic with IC</w:t>
      </w:r>
      <w:r>
        <w:rPr>
          <w:vertAlign w:val="subscript"/>
        </w:rPr>
        <w:t>50s</w:t>
      </w:r>
      <w:r>
        <w:rPr/>
        <w:t xml:space="preserve"> &gt; 64 μg/mL for all compounds tested against the Vero cell-line.</w:t>
      </w:r>
      <w:r>
        <w:br w:type="page"/>
      </w:r>
    </w:p>
    <w:p>
      <w:pPr>
        <w:pStyle w:val="MDPI41tablecaption"/>
        <w:rPr/>
      </w:pPr>
      <w:r>
        <w:rPr>
          <w:b/>
        </w:rPr>
        <w:t xml:space="preserve">Table 2. </w:t>
      </w:r>
      <w:r>
        <w:rPr/>
        <w:t>Minimum inhibitory concentrations of selected conjugate molecules against representative strains from seven major pathogen classes.</w:t>
      </w:r>
    </w:p>
    <w:tbl>
      <w:tblPr>
        <w:tblW w:w="9060" w:type="dxa"/>
        <w:jc w:val="center"/>
        <w:tblInd w:w="0" w:type="dxa"/>
        <w:tblLayout w:type="fixed"/>
        <w:tblCellMar>
          <w:top w:w="0" w:type="dxa"/>
          <w:start w:w="108" w:type="dxa"/>
          <w:bottom w:w="0" w:type="dxa"/>
          <w:end w:w="108" w:type="dxa"/>
        </w:tblCellMar>
      </w:tblPr>
      <w:tblGrid>
        <w:gridCol w:w="1561"/>
        <w:gridCol w:w="929"/>
        <w:gridCol w:w="894"/>
        <w:gridCol w:w="953"/>
        <w:gridCol w:w="953"/>
        <w:gridCol w:w="943"/>
        <w:gridCol w:w="894"/>
        <w:gridCol w:w="951"/>
        <w:gridCol w:w="982"/>
      </w:tblGrid>
      <w:tr>
        <w:trPr/>
        <w:tc>
          <w:tcPr>
            <w:tcW w:w="1561" w:type="dxa"/>
            <w:vMerge w:val="restart"/>
            <w:tcBorders>
              <w:top w:val="single" w:sz="8" w:space="0" w:color="000000"/>
            </w:tcBorders>
            <w:vAlign w:val="center"/>
          </w:tcPr>
          <w:p>
            <w:pPr>
              <w:pStyle w:val="MDPI42tablebody"/>
              <w:autoSpaceDE w:val="false"/>
              <w:spacing w:lineRule="auto" w:line="240"/>
              <w:rPr>
                <w:b/>
                <w:b/>
                <w:szCs w:val="18"/>
              </w:rPr>
            </w:pPr>
            <w:r>
              <w:rPr>
                <w:b/>
                <w:szCs w:val="18"/>
              </w:rPr>
              <w:t>Compounds</w:t>
            </w:r>
          </w:p>
        </w:tc>
        <w:tc>
          <w:tcPr>
            <w:tcW w:w="6517" w:type="dxa"/>
            <w:gridSpan w:val="7"/>
            <w:tcBorders>
              <w:top w:val="single" w:sz="8" w:space="0" w:color="000000"/>
              <w:bottom w:val="single" w:sz="4" w:space="0" w:color="000000"/>
            </w:tcBorders>
            <w:vAlign w:val="center"/>
          </w:tcPr>
          <w:p>
            <w:pPr>
              <w:pStyle w:val="MDPI42tablebody"/>
              <w:autoSpaceDE w:val="false"/>
              <w:spacing w:lineRule="auto" w:line="240"/>
              <w:rPr>
                <w:b/>
                <w:b/>
                <w:szCs w:val="18"/>
              </w:rPr>
            </w:pPr>
            <w:r>
              <w:rPr>
                <w:b/>
                <w:szCs w:val="18"/>
              </w:rPr>
              <w:t>Representative of Major Pathogens</w:t>
            </w:r>
            <w:r>
              <w:rPr>
                <w:rFonts w:eastAsia="DengXian;等线"/>
                <w:b/>
                <w:szCs w:val="18"/>
                <w:lang w:eastAsia="zh-CN"/>
              </w:rPr>
              <w:t xml:space="preserve"> </w:t>
            </w:r>
            <w:r>
              <w:rPr>
                <w:b/>
                <w:szCs w:val="18"/>
              </w:rPr>
              <w:t>MIC (μg/mL)</w:t>
            </w:r>
          </w:p>
        </w:tc>
        <w:tc>
          <w:tcPr>
            <w:tcW w:w="982" w:type="dxa"/>
            <w:vMerge w:val="restart"/>
            <w:tcBorders>
              <w:top w:val="single" w:sz="8" w:space="0" w:color="000000"/>
            </w:tcBorders>
            <w:vAlign w:val="center"/>
          </w:tcPr>
          <w:p>
            <w:pPr>
              <w:pStyle w:val="MDPI42tablebody"/>
              <w:autoSpaceDE w:val="false"/>
              <w:spacing w:lineRule="auto" w:line="240"/>
              <w:rPr>
                <w:b/>
                <w:b/>
                <w:szCs w:val="18"/>
              </w:rPr>
            </w:pPr>
            <w:r>
              <w:rPr>
                <w:b/>
                <w:szCs w:val="18"/>
              </w:rPr>
              <w:t>Vero IC</w:t>
            </w:r>
            <w:r>
              <w:rPr>
                <w:b/>
                <w:szCs w:val="18"/>
                <w:vertAlign w:val="subscript"/>
              </w:rPr>
              <w:t>50</w:t>
            </w:r>
            <w:r>
              <w:rPr>
                <w:b/>
                <w:szCs w:val="18"/>
              </w:rPr>
              <w:t xml:space="preserve"> μg/mL</w:t>
            </w:r>
          </w:p>
        </w:tc>
      </w:tr>
      <w:tr>
        <w:trPr/>
        <w:tc>
          <w:tcPr>
            <w:tcW w:w="1561" w:type="dxa"/>
            <w:vMerge w:val="continue"/>
            <w:tcBorders>
              <w:top w:val="single" w:sz="8" w:space="0" w:color="000000"/>
            </w:tcBorders>
            <w:vAlign w:val="center"/>
          </w:tcPr>
          <w:p>
            <w:pPr>
              <w:pStyle w:val="MDPI42tablebody"/>
              <w:autoSpaceDE w:val="false"/>
              <w:snapToGrid w:val="false"/>
              <w:spacing w:lineRule="auto" w:line="240"/>
              <w:rPr>
                <w:rFonts w:ascii="Palatino Linotype" w:hAnsi="Palatino Linotype" w:cs="Palatino Linotype"/>
                <w:b/>
                <w:b/>
                <w:sz w:val="20"/>
                <w:szCs w:val="18"/>
                <w:lang w:bidi="en-US"/>
              </w:rPr>
            </w:pPr>
            <w:r>
              <w:rPr>
                <w:rFonts w:cs="Palatino Linotype"/>
                <w:b/>
                <w:sz w:val="20"/>
                <w:szCs w:val="18"/>
                <w:lang w:bidi="en-US"/>
              </w:rPr>
            </w:r>
          </w:p>
        </w:tc>
        <w:tc>
          <w:tcPr>
            <w:tcW w:w="929" w:type="dxa"/>
            <w:tcBorders>
              <w:bottom w:val="single" w:sz="4" w:space="0" w:color="000000"/>
            </w:tcBorders>
            <w:vAlign w:val="center"/>
          </w:tcPr>
          <w:p>
            <w:pPr>
              <w:pStyle w:val="MDPI42tablebody"/>
              <w:autoSpaceDE w:val="false"/>
              <w:spacing w:lineRule="auto" w:line="240"/>
              <w:rPr>
                <w:b/>
                <w:b/>
                <w:szCs w:val="18"/>
              </w:rPr>
            </w:pPr>
            <w:r>
              <w:rPr>
                <w:b/>
                <w:szCs w:val="18"/>
              </w:rPr>
              <w:t>Ef</w:t>
            </w:r>
          </w:p>
          <w:p>
            <w:pPr>
              <w:pStyle w:val="MDPI42tablebody"/>
              <w:autoSpaceDE w:val="false"/>
              <w:spacing w:lineRule="auto" w:line="240"/>
              <w:rPr>
                <w:b/>
                <w:b/>
                <w:szCs w:val="18"/>
              </w:rPr>
            </w:pPr>
            <w:r>
              <w:rPr>
                <w:b/>
                <w:szCs w:val="18"/>
              </w:rPr>
              <w:t>ATCC 708221</w:t>
            </w:r>
          </w:p>
        </w:tc>
        <w:tc>
          <w:tcPr>
            <w:tcW w:w="894" w:type="dxa"/>
            <w:tcBorders>
              <w:bottom w:val="single" w:sz="4" w:space="0" w:color="000000"/>
            </w:tcBorders>
            <w:vAlign w:val="center"/>
          </w:tcPr>
          <w:p>
            <w:pPr>
              <w:pStyle w:val="MDPI42tablebody"/>
              <w:autoSpaceDE w:val="false"/>
              <w:spacing w:lineRule="auto" w:line="240"/>
              <w:rPr>
                <w:b/>
                <w:b/>
                <w:szCs w:val="18"/>
              </w:rPr>
            </w:pPr>
            <w:r>
              <w:rPr>
                <w:b/>
                <w:szCs w:val="18"/>
              </w:rPr>
              <w:t>Sa</w:t>
            </w:r>
          </w:p>
          <w:p>
            <w:pPr>
              <w:pStyle w:val="MDPI42tablebody"/>
              <w:autoSpaceDE w:val="false"/>
              <w:spacing w:lineRule="auto" w:line="240"/>
              <w:rPr>
                <w:b/>
                <w:b/>
                <w:szCs w:val="18"/>
              </w:rPr>
            </w:pPr>
            <w:r>
              <w:rPr>
                <w:b/>
                <w:szCs w:val="18"/>
              </w:rPr>
              <w:t>ATCC 29213</w:t>
            </w:r>
          </w:p>
        </w:tc>
        <w:tc>
          <w:tcPr>
            <w:tcW w:w="953" w:type="dxa"/>
            <w:tcBorders>
              <w:bottom w:val="single" w:sz="4" w:space="0" w:color="000000"/>
            </w:tcBorders>
            <w:vAlign w:val="center"/>
          </w:tcPr>
          <w:p>
            <w:pPr>
              <w:pStyle w:val="MDPI42tablebody"/>
              <w:autoSpaceDE w:val="false"/>
              <w:spacing w:lineRule="auto" w:line="240"/>
              <w:rPr>
                <w:b/>
                <w:b/>
                <w:szCs w:val="18"/>
              </w:rPr>
            </w:pPr>
            <w:r>
              <w:rPr>
                <w:b/>
                <w:szCs w:val="18"/>
              </w:rPr>
              <w:t>Kp ATCC 43816</w:t>
            </w:r>
          </w:p>
        </w:tc>
        <w:tc>
          <w:tcPr>
            <w:tcW w:w="953" w:type="dxa"/>
            <w:tcBorders>
              <w:bottom w:val="single" w:sz="4" w:space="0" w:color="000000"/>
            </w:tcBorders>
            <w:vAlign w:val="center"/>
          </w:tcPr>
          <w:p>
            <w:pPr>
              <w:pStyle w:val="MDPI42tablebody"/>
              <w:autoSpaceDE w:val="false"/>
              <w:spacing w:lineRule="auto" w:line="240"/>
              <w:rPr>
                <w:b/>
                <w:b/>
                <w:szCs w:val="18"/>
              </w:rPr>
            </w:pPr>
            <w:r>
              <w:rPr>
                <w:b/>
                <w:szCs w:val="18"/>
              </w:rPr>
              <w:t>Ab ATCC 19606</w:t>
            </w:r>
          </w:p>
        </w:tc>
        <w:tc>
          <w:tcPr>
            <w:tcW w:w="943" w:type="dxa"/>
            <w:tcBorders>
              <w:bottom w:val="single" w:sz="4" w:space="0" w:color="000000"/>
            </w:tcBorders>
            <w:vAlign w:val="center"/>
          </w:tcPr>
          <w:p>
            <w:pPr>
              <w:pStyle w:val="MDPI42tablebody"/>
              <w:autoSpaceDE w:val="false"/>
              <w:spacing w:lineRule="auto" w:line="240"/>
              <w:rPr>
                <w:b/>
                <w:b/>
                <w:szCs w:val="18"/>
              </w:rPr>
            </w:pPr>
            <w:r>
              <w:rPr>
                <w:b/>
                <w:szCs w:val="18"/>
              </w:rPr>
              <w:t>Pa ATCC 27853</w:t>
            </w:r>
          </w:p>
        </w:tc>
        <w:tc>
          <w:tcPr>
            <w:tcW w:w="894" w:type="dxa"/>
            <w:tcBorders>
              <w:bottom w:val="single" w:sz="4" w:space="0" w:color="000000"/>
            </w:tcBorders>
            <w:vAlign w:val="center"/>
          </w:tcPr>
          <w:p>
            <w:pPr>
              <w:pStyle w:val="MDPI42tablebody"/>
              <w:autoSpaceDE w:val="false"/>
              <w:spacing w:lineRule="auto" w:line="240"/>
              <w:rPr>
                <w:b/>
                <w:b/>
                <w:szCs w:val="18"/>
              </w:rPr>
            </w:pPr>
            <w:r>
              <w:rPr>
                <w:b/>
                <w:szCs w:val="18"/>
              </w:rPr>
              <w:t>Ec</w:t>
            </w:r>
          </w:p>
          <w:p>
            <w:pPr>
              <w:pStyle w:val="MDPI42tablebody"/>
              <w:autoSpaceDE w:val="false"/>
              <w:spacing w:lineRule="auto" w:line="240"/>
              <w:rPr>
                <w:b/>
                <w:b/>
                <w:szCs w:val="18"/>
              </w:rPr>
            </w:pPr>
            <w:r>
              <w:rPr>
                <w:b/>
                <w:szCs w:val="18"/>
              </w:rPr>
              <w:t>ATCC 25922</w:t>
            </w:r>
          </w:p>
        </w:tc>
        <w:tc>
          <w:tcPr>
            <w:tcW w:w="951" w:type="dxa"/>
            <w:tcBorders>
              <w:bottom w:val="single" w:sz="4" w:space="0" w:color="000000"/>
            </w:tcBorders>
            <w:vAlign w:val="center"/>
          </w:tcPr>
          <w:p>
            <w:pPr>
              <w:pStyle w:val="MDPI42tablebody"/>
              <w:autoSpaceDE w:val="false"/>
              <w:spacing w:lineRule="auto" w:line="240"/>
              <w:rPr>
                <w:b/>
                <w:b/>
                <w:szCs w:val="18"/>
              </w:rPr>
            </w:pPr>
            <w:r>
              <w:rPr>
                <w:b/>
                <w:szCs w:val="18"/>
              </w:rPr>
              <w:t>Cd ATCC 43255</w:t>
            </w:r>
          </w:p>
        </w:tc>
        <w:tc>
          <w:tcPr>
            <w:tcW w:w="982" w:type="dxa"/>
            <w:vMerge w:val="continue"/>
            <w:tcBorders>
              <w:top w:val="single" w:sz="8" w:space="0" w:color="000000"/>
            </w:tcBorders>
            <w:vAlign w:val="center"/>
          </w:tcPr>
          <w:p>
            <w:pPr>
              <w:pStyle w:val="MDPI42tablebody"/>
              <w:autoSpaceDE w:val="false"/>
              <w:snapToGrid w:val="false"/>
              <w:spacing w:lineRule="auto" w:line="240"/>
              <w:rPr>
                <w:b/>
                <w:b/>
                <w:szCs w:val="18"/>
              </w:rPr>
            </w:pPr>
            <w:r>
              <w:rPr>
                <w:b/>
                <w:szCs w:val="18"/>
              </w:rPr>
            </w:r>
          </w:p>
        </w:tc>
      </w:tr>
      <w:tr>
        <w:trPr/>
        <w:tc>
          <w:tcPr>
            <w:tcW w:w="1561" w:type="dxa"/>
            <w:tcBorders/>
            <w:vAlign w:val="center"/>
          </w:tcPr>
          <w:p>
            <w:pPr>
              <w:pStyle w:val="MDPI42tablebody"/>
              <w:autoSpaceDE w:val="false"/>
              <w:spacing w:lineRule="auto" w:line="240"/>
              <w:rPr>
                <w:b/>
                <w:b/>
                <w:bCs/>
                <w:szCs w:val="18"/>
              </w:rPr>
            </w:pPr>
            <w:r>
              <w:rPr>
                <w:b/>
                <w:bCs/>
                <w:szCs w:val="18"/>
              </w:rPr>
              <w:t>Linezolid</w:t>
            </w:r>
          </w:p>
        </w:tc>
        <w:tc>
          <w:tcPr>
            <w:tcW w:w="929" w:type="dxa"/>
            <w:tcBorders/>
            <w:vAlign w:val="center"/>
          </w:tcPr>
          <w:p>
            <w:pPr>
              <w:pStyle w:val="MDPI42tablebody"/>
              <w:autoSpaceDE w:val="false"/>
              <w:spacing w:lineRule="auto" w:line="240"/>
              <w:rPr>
                <w:szCs w:val="18"/>
              </w:rPr>
            </w:pPr>
            <w:r>
              <w:rPr>
                <w:szCs w:val="18"/>
              </w:rPr>
              <w:t>4</w:t>
            </w:r>
          </w:p>
        </w:tc>
        <w:tc>
          <w:tcPr>
            <w:tcW w:w="894" w:type="dxa"/>
            <w:tcBorders/>
            <w:vAlign w:val="center"/>
          </w:tcPr>
          <w:p>
            <w:pPr>
              <w:pStyle w:val="MDPI42tablebody"/>
              <w:autoSpaceDE w:val="false"/>
              <w:spacing w:lineRule="auto" w:line="240"/>
              <w:rPr>
                <w:szCs w:val="18"/>
              </w:rPr>
            </w:pPr>
            <w:r>
              <w:rPr>
                <w:szCs w:val="18"/>
              </w:rPr>
              <w:t>8</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4</w:t>
            </w:r>
          </w:p>
        </w:tc>
        <w:tc>
          <w:tcPr>
            <w:tcW w:w="982" w:type="dxa"/>
            <w:tcBorders/>
            <w:vAlign w:val="center"/>
          </w:tcPr>
          <w:p>
            <w:pPr>
              <w:pStyle w:val="MDPI42tablebody"/>
              <w:autoSpaceDE w:val="false"/>
              <w:spacing w:lineRule="auto" w:line="240"/>
              <w:rPr>
                <w:szCs w:val="18"/>
              </w:rPr>
            </w:pPr>
            <w:r>
              <w:rPr>
                <w:szCs w:val="18"/>
              </w:rPr>
              <w:t>&gt;64</w:t>
            </w:r>
          </w:p>
        </w:tc>
      </w:tr>
      <w:tr>
        <w:trPr/>
        <w:tc>
          <w:tcPr>
            <w:tcW w:w="1561" w:type="dxa"/>
            <w:tcBorders/>
            <w:vAlign w:val="center"/>
          </w:tcPr>
          <w:p>
            <w:pPr>
              <w:pStyle w:val="MDPI42tablebody"/>
              <w:autoSpaceDE w:val="false"/>
              <w:spacing w:lineRule="auto" w:line="240"/>
              <w:rPr>
                <w:b/>
                <w:b/>
                <w:bCs/>
                <w:szCs w:val="18"/>
              </w:rPr>
            </w:pPr>
            <w:r>
              <w:rPr>
                <w:b/>
                <w:bCs/>
                <w:szCs w:val="18"/>
              </w:rPr>
              <w:t>Levofloxacin</w:t>
            </w:r>
          </w:p>
        </w:tc>
        <w:tc>
          <w:tcPr>
            <w:tcW w:w="929" w:type="dxa"/>
            <w:tcBorders/>
            <w:vAlign w:val="center"/>
          </w:tcPr>
          <w:p>
            <w:pPr>
              <w:pStyle w:val="MDPI42tablebody"/>
              <w:autoSpaceDE w:val="false"/>
              <w:spacing w:lineRule="auto" w:line="240"/>
              <w:rPr>
                <w:szCs w:val="18"/>
              </w:rPr>
            </w:pPr>
            <w:r>
              <w:rPr>
                <w:szCs w:val="18"/>
              </w:rPr>
              <w:t>&gt;16</w:t>
            </w:r>
          </w:p>
        </w:tc>
        <w:tc>
          <w:tcPr>
            <w:tcW w:w="894" w:type="dxa"/>
            <w:tcBorders/>
            <w:vAlign w:val="center"/>
          </w:tcPr>
          <w:p>
            <w:pPr>
              <w:pStyle w:val="MDPI42tablebody"/>
              <w:autoSpaceDE w:val="false"/>
              <w:spacing w:lineRule="auto" w:line="240"/>
              <w:rPr>
                <w:szCs w:val="18"/>
              </w:rPr>
            </w:pPr>
            <w:r>
              <w:rPr>
                <w:szCs w:val="18"/>
              </w:rPr>
              <w:t>0.25</w:t>
            </w:r>
          </w:p>
        </w:tc>
        <w:tc>
          <w:tcPr>
            <w:tcW w:w="953" w:type="dxa"/>
            <w:tcBorders/>
            <w:vAlign w:val="center"/>
          </w:tcPr>
          <w:p>
            <w:pPr>
              <w:pStyle w:val="MDPI42tablebody"/>
              <w:autoSpaceDE w:val="false"/>
              <w:spacing w:lineRule="auto" w:line="240"/>
              <w:rPr>
                <w:szCs w:val="18"/>
              </w:rPr>
            </w:pPr>
            <w:r>
              <w:rPr>
                <w:szCs w:val="18"/>
              </w:rPr>
              <w:t>0.063</w:t>
            </w:r>
          </w:p>
        </w:tc>
        <w:tc>
          <w:tcPr>
            <w:tcW w:w="953" w:type="dxa"/>
            <w:tcBorders/>
            <w:vAlign w:val="center"/>
          </w:tcPr>
          <w:p>
            <w:pPr>
              <w:pStyle w:val="MDPI42tablebody"/>
              <w:autoSpaceDE w:val="false"/>
              <w:spacing w:lineRule="auto" w:line="240"/>
              <w:rPr>
                <w:szCs w:val="18"/>
              </w:rPr>
            </w:pPr>
            <w:r>
              <w:rPr>
                <w:szCs w:val="18"/>
              </w:rPr>
              <w:t>0.5</w:t>
            </w:r>
          </w:p>
        </w:tc>
        <w:tc>
          <w:tcPr>
            <w:tcW w:w="943" w:type="dxa"/>
            <w:tcBorders/>
            <w:vAlign w:val="center"/>
          </w:tcPr>
          <w:p>
            <w:pPr>
              <w:pStyle w:val="MDPI42tablebody"/>
              <w:autoSpaceDE w:val="false"/>
              <w:spacing w:lineRule="auto" w:line="240"/>
              <w:rPr>
                <w:szCs w:val="18"/>
              </w:rPr>
            </w:pPr>
            <w:r>
              <w:rPr>
                <w:szCs w:val="18"/>
              </w:rPr>
              <w:t>1</w:t>
            </w:r>
          </w:p>
        </w:tc>
        <w:tc>
          <w:tcPr>
            <w:tcW w:w="894" w:type="dxa"/>
            <w:tcBorders/>
            <w:vAlign w:val="center"/>
          </w:tcPr>
          <w:p>
            <w:pPr>
              <w:pStyle w:val="MDPI42tablebody"/>
              <w:autoSpaceDE w:val="false"/>
              <w:spacing w:lineRule="auto" w:line="240"/>
              <w:rPr>
                <w:szCs w:val="18"/>
              </w:rPr>
            </w:pPr>
            <w:r>
              <w:rPr>
                <w:szCs w:val="18"/>
              </w:rPr>
              <w:t>&lt;0.016</w:t>
            </w:r>
          </w:p>
        </w:tc>
        <w:tc>
          <w:tcPr>
            <w:tcW w:w="951" w:type="dxa"/>
            <w:tcBorders/>
            <w:vAlign w:val="center"/>
          </w:tcPr>
          <w:p>
            <w:pPr>
              <w:pStyle w:val="MDPI42tablebody"/>
              <w:autoSpaceDE w:val="false"/>
              <w:spacing w:lineRule="auto" w:line="240"/>
              <w:rPr>
                <w:szCs w:val="18"/>
              </w:rPr>
            </w:pPr>
            <w:r>
              <w:rPr>
                <w:szCs w:val="18"/>
              </w:rPr>
              <w:t>4</w:t>
            </w:r>
          </w:p>
        </w:tc>
        <w:tc>
          <w:tcPr>
            <w:tcW w:w="982" w:type="dxa"/>
            <w:tcBorders/>
            <w:vAlign w:val="center"/>
          </w:tcPr>
          <w:p>
            <w:pPr>
              <w:pStyle w:val="MDPI42tablebody"/>
              <w:autoSpaceDE w:val="false"/>
              <w:spacing w:lineRule="auto" w:line="240"/>
              <w:rPr>
                <w:szCs w:val="18"/>
              </w:rPr>
            </w:pPr>
            <w:r>
              <w:rPr>
                <w:szCs w:val="18"/>
              </w:rPr>
              <w:t>-</w:t>
            </w:r>
          </w:p>
        </w:tc>
      </w:tr>
      <w:tr>
        <w:trPr/>
        <w:tc>
          <w:tcPr>
            <w:tcW w:w="1561" w:type="dxa"/>
            <w:tcBorders/>
            <w:vAlign w:val="center"/>
          </w:tcPr>
          <w:p>
            <w:pPr>
              <w:pStyle w:val="MDPI42tablebody"/>
              <w:autoSpaceDE w:val="false"/>
              <w:spacing w:lineRule="auto" w:line="240"/>
              <w:rPr>
                <w:b/>
                <w:b/>
                <w:bCs/>
                <w:szCs w:val="18"/>
              </w:rPr>
            </w:pPr>
            <w:r>
              <w:rPr>
                <w:b/>
                <w:bCs/>
                <w:szCs w:val="18"/>
              </w:rPr>
              <w:t>Metronidazole</w:t>
            </w:r>
          </w:p>
        </w:tc>
        <w:tc>
          <w:tcPr>
            <w:tcW w:w="929"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64</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0.25</w:t>
            </w:r>
          </w:p>
        </w:tc>
        <w:tc>
          <w:tcPr>
            <w:tcW w:w="982" w:type="dxa"/>
            <w:tcBorders/>
            <w:vAlign w:val="center"/>
          </w:tcPr>
          <w:p>
            <w:pPr>
              <w:pStyle w:val="MDPI42tablebody"/>
              <w:autoSpaceDE w:val="false"/>
              <w:spacing w:lineRule="auto" w:line="240"/>
              <w:rPr>
                <w:szCs w:val="18"/>
              </w:rPr>
            </w:pPr>
            <w:r>
              <w:rPr>
                <w:szCs w:val="18"/>
              </w:rPr>
              <w:t>-</w:t>
            </w:r>
          </w:p>
        </w:tc>
      </w:tr>
      <w:tr>
        <w:trPr/>
        <w:tc>
          <w:tcPr>
            <w:tcW w:w="1561" w:type="dxa"/>
            <w:tcBorders/>
            <w:vAlign w:val="center"/>
          </w:tcPr>
          <w:p>
            <w:pPr>
              <w:pStyle w:val="MDPI42tablebody"/>
              <w:autoSpaceDE w:val="false"/>
              <w:spacing w:lineRule="auto" w:line="240"/>
              <w:rPr>
                <w:b/>
                <w:b/>
                <w:bCs/>
                <w:szCs w:val="18"/>
              </w:rPr>
            </w:pPr>
            <w:r>
              <w:rPr>
                <w:b/>
                <w:bCs/>
                <w:szCs w:val="18"/>
              </w:rPr>
              <w:t>8a</w:t>
            </w:r>
          </w:p>
        </w:tc>
        <w:tc>
          <w:tcPr>
            <w:tcW w:w="929" w:type="dxa"/>
            <w:tcBorders/>
            <w:vAlign w:val="center"/>
          </w:tcPr>
          <w:p>
            <w:pPr>
              <w:pStyle w:val="MDPI42tablebody"/>
              <w:autoSpaceDE w:val="false"/>
              <w:spacing w:lineRule="auto" w:line="240"/>
              <w:rPr>
                <w:szCs w:val="18"/>
              </w:rPr>
            </w:pPr>
            <w:r>
              <w:rPr>
                <w:szCs w:val="18"/>
              </w:rPr>
              <w:t>0.5</w:t>
            </w:r>
          </w:p>
        </w:tc>
        <w:tc>
          <w:tcPr>
            <w:tcW w:w="894" w:type="dxa"/>
            <w:tcBorders/>
            <w:vAlign w:val="center"/>
          </w:tcPr>
          <w:p>
            <w:pPr>
              <w:pStyle w:val="MDPI42tablebody"/>
              <w:autoSpaceDE w:val="false"/>
              <w:spacing w:lineRule="auto" w:line="240"/>
              <w:rPr>
                <w:szCs w:val="18"/>
              </w:rPr>
            </w:pPr>
            <w:r>
              <w:rPr>
                <w:szCs w:val="18"/>
              </w:rPr>
              <w:t>1</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0.125</w:t>
            </w:r>
          </w:p>
        </w:tc>
        <w:tc>
          <w:tcPr>
            <w:tcW w:w="982" w:type="dxa"/>
            <w:tcBorders/>
            <w:vAlign w:val="center"/>
          </w:tcPr>
          <w:p>
            <w:pPr>
              <w:pStyle w:val="MDPI42tablebody"/>
              <w:autoSpaceDE w:val="false"/>
              <w:spacing w:lineRule="auto" w:line="240"/>
              <w:rPr>
                <w:szCs w:val="18"/>
              </w:rPr>
            </w:pPr>
            <w:r>
              <w:rPr>
                <w:szCs w:val="18"/>
              </w:rPr>
              <w:t>&gt;64</w:t>
            </w:r>
          </w:p>
        </w:tc>
      </w:tr>
      <w:tr>
        <w:trPr/>
        <w:tc>
          <w:tcPr>
            <w:tcW w:w="1561" w:type="dxa"/>
            <w:tcBorders/>
            <w:vAlign w:val="center"/>
          </w:tcPr>
          <w:p>
            <w:pPr>
              <w:pStyle w:val="MDPI42tablebody"/>
              <w:autoSpaceDE w:val="false"/>
              <w:spacing w:lineRule="auto" w:line="240"/>
              <w:rPr>
                <w:b/>
                <w:b/>
                <w:bCs/>
                <w:szCs w:val="18"/>
              </w:rPr>
            </w:pPr>
            <w:r>
              <w:rPr>
                <w:b/>
                <w:bCs/>
                <w:szCs w:val="18"/>
              </w:rPr>
              <w:t>8b</w:t>
            </w:r>
          </w:p>
        </w:tc>
        <w:tc>
          <w:tcPr>
            <w:tcW w:w="929" w:type="dxa"/>
            <w:tcBorders/>
            <w:vAlign w:val="center"/>
          </w:tcPr>
          <w:p>
            <w:pPr>
              <w:pStyle w:val="MDPI42tablebody"/>
              <w:autoSpaceDE w:val="false"/>
              <w:spacing w:lineRule="auto" w:line="240"/>
              <w:rPr>
                <w:szCs w:val="18"/>
              </w:rPr>
            </w:pPr>
            <w:r>
              <w:rPr>
                <w:szCs w:val="18"/>
              </w:rPr>
              <w:t>2</w:t>
            </w:r>
          </w:p>
        </w:tc>
        <w:tc>
          <w:tcPr>
            <w:tcW w:w="894" w:type="dxa"/>
            <w:tcBorders/>
            <w:vAlign w:val="center"/>
          </w:tcPr>
          <w:p>
            <w:pPr>
              <w:pStyle w:val="MDPI42tablebody"/>
              <w:autoSpaceDE w:val="false"/>
              <w:spacing w:lineRule="auto" w:line="240"/>
              <w:rPr>
                <w:szCs w:val="18"/>
              </w:rPr>
            </w:pPr>
            <w:r>
              <w:rPr>
                <w:szCs w:val="18"/>
              </w:rPr>
              <w:t>2</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0.25</w:t>
            </w:r>
          </w:p>
        </w:tc>
        <w:tc>
          <w:tcPr>
            <w:tcW w:w="982" w:type="dxa"/>
            <w:tcBorders/>
            <w:vAlign w:val="center"/>
          </w:tcPr>
          <w:p>
            <w:pPr>
              <w:pStyle w:val="MDPI42tablebody"/>
              <w:autoSpaceDE w:val="false"/>
              <w:spacing w:lineRule="auto" w:line="240"/>
              <w:rPr>
                <w:szCs w:val="18"/>
              </w:rPr>
            </w:pPr>
            <w:r>
              <w:rPr>
                <w:szCs w:val="18"/>
              </w:rPr>
              <w:t>&gt;64</w:t>
            </w:r>
          </w:p>
        </w:tc>
      </w:tr>
      <w:tr>
        <w:trPr/>
        <w:tc>
          <w:tcPr>
            <w:tcW w:w="1561" w:type="dxa"/>
            <w:tcBorders/>
            <w:vAlign w:val="center"/>
          </w:tcPr>
          <w:p>
            <w:pPr>
              <w:pStyle w:val="MDPI42tablebody"/>
              <w:autoSpaceDE w:val="false"/>
              <w:spacing w:lineRule="auto" w:line="240"/>
              <w:rPr>
                <w:b/>
                <w:b/>
                <w:bCs/>
                <w:szCs w:val="18"/>
              </w:rPr>
            </w:pPr>
            <w:r>
              <w:rPr>
                <w:b/>
                <w:bCs/>
                <w:szCs w:val="18"/>
              </w:rPr>
              <w:t>11a</w:t>
            </w:r>
          </w:p>
        </w:tc>
        <w:tc>
          <w:tcPr>
            <w:tcW w:w="929" w:type="dxa"/>
            <w:tcBorders/>
            <w:vAlign w:val="center"/>
          </w:tcPr>
          <w:p>
            <w:pPr>
              <w:pStyle w:val="MDPI42tablebody"/>
              <w:autoSpaceDE w:val="false"/>
              <w:spacing w:lineRule="auto" w:line="240"/>
              <w:rPr>
                <w:szCs w:val="18"/>
              </w:rPr>
            </w:pPr>
            <w:r>
              <w:rPr>
                <w:szCs w:val="18"/>
              </w:rPr>
              <w:t>1</w:t>
            </w:r>
          </w:p>
        </w:tc>
        <w:tc>
          <w:tcPr>
            <w:tcW w:w="894" w:type="dxa"/>
            <w:tcBorders/>
            <w:vAlign w:val="center"/>
          </w:tcPr>
          <w:p>
            <w:pPr>
              <w:pStyle w:val="MDPI42tablebody"/>
              <w:autoSpaceDE w:val="false"/>
              <w:spacing w:lineRule="auto" w:line="240"/>
              <w:rPr>
                <w:szCs w:val="18"/>
              </w:rPr>
            </w:pPr>
            <w:r>
              <w:rPr>
                <w:szCs w:val="18"/>
              </w:rPr>
              <w:t>2</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0.25</w:t>
            </w:r>
          </w:p>
        </w:tc>
        <w:tc>
          <w:tcPr>
            <w:tcW w:w="982" w:type="dxa"/>
            <w:tcBorders/>
            <w:vAlign w:val="center"/>
          </w:tcPr>
          <w:p>
            <w:pPr>
              <w:pStyle w:val="MDPI42tablebody"/>
              <w:autoSpaceDE w:val="false"/>
              <w:spacing w:lineRule="auto" w:line="240"/>
              <w:rPr>
                <w:szCs w:val="18"/>
              </w:rPr>
            </w:pPr>
            <w:r>
              <w:rPr>
                <w:szCs w:val="18"/>
              </w:rPr>
              <w:t>-</w:t>
            </w:r>
          </w:p>
        </w:tc>
      </w:tr>
      <w:tr>
        <w:trPr/>
        <w:tc>
          <w:tcPr>
            <w:tcW w:w="1561" w:type="dxa"/>
            <w:tcBorders/>
            <w:vAlign w:val="center"/>
          </w:tcPr>
          <w:p>
            <w:pPr>
              <w:pStyle w:val="MDPI42tablebody"/>
              <w:autoSpaceDE w:val="false"/>
              <w:spacing w:lineRule="auto" w:line="240"/>
              <w:rPr>
                <w:b/>
                <w:b/>
                <w:bCs/>
                <w:szCs w:val="18"/>
              </w:rPr>
            </w:pPr>
            <w:r>
              <w:rPr>
                <w:b/>
                <w:bCs/>
                <w:szCs w:val="18"/>
              </w:rPr>
              <w:t>11b</w:t>
            </w:r>
          </w:p>
        </w:tc>
        <w:tc>
          <w:tcPr>
            <w:tcW w:w="929" w:type="dxa"/>
            <w:tcBorders/>
            <w:vAlign w:val="center"/>
          </w:tcPr>
          <w:p>
            <w:pPr>
              <w:pStyle w:val="MDPI42tablebody"/>
              <w:autoSpaceDE w:val="false"/>
              <w:spacing w:lineRule="auto" w:line="240"/>
              <w:rPr>
                <w:szCs w:val="18"/>
              </w:rPr>
            </w:pPr>
            <w:r>
              <w:rPr>
                <w:szCs w:val="18"/>
              </w:rPr>
              <w:t>4</w:t>
            </w:r>
          </w:p>
        </w:tc>
        <w:tc>
          <w:tcPr>
            <w:tcW w:w="894" w:type="dxa"/>
            <w:tcBorders/>
            <w:vAlign w:val="center"/>
          </w:tcPr>
          <w:p>
            <w:pPr>
              <w:pStyle w:val="MDPI42tablebody"/>
              <w:autoSpaceDE w:val="false"/>
              <w:spacing w:lineRule="auto" w:line="240"/>
              <w:rPr>
                <w:szCs w:val="18"/>
              </w:rPr>
            </w:pPr>
            <w:r>
              <w:rPr>
                <w:szCs w:val="18"/>
              </w:rPr>
              <w:t>8</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0.125</w:t>
            </w:r>
          </w:p>
        </w:tc>
        <w:tc>
          <w:tcPr>
            <w:tcW w:w="982" w:type="dxa"/>
            <w:tcBorders/>
            <w:vAlign w:val="center"/>
          </w:tcPr>
          <w:p>
            <w:pPr>
              <w:pStyle w:val="MDPI42tablebody"/>
              <w:autoSpaceDE w:val="false"/>
              <w:spacing w:lineRule="auto" w:line="240"/>
              <w:rPr>
                <w:szCs w:val="18"/>
              </w:rPr>
            </w:pPr>
            <w:r>
              <w:rPr>
                <w:szCs w:val="18"/>
              </w:rPr>
              <w:t>&gt;64</w:t>
            </w:r>
          </w:p>
        </w:tc>
      </w:tr>
      <w:tr>
        <w:trPr/>
        <w:tc>
          <w:tcPr>
            <w:tcW w:w="1561" w:type="dxa"/>
            <w:tcBorders/>
            <w:vAlign w:val="center"/>
          </w:tcPr>
          <w:p>
            <w:pPr>
              <w:pStyle w:val="MDPI42tablebody"/>
              <w:autoSpaceDE w:val="false"/>
              <w:spacing w:lineRule="auto" w:line="240"/>
              <w:rPr>
                <w:b/>
                <w:b/>
                <w:bCs/>
                <w:szCs w:val="18"/>
              </w:rPr>
            </w:pPr>
            <w:r>
              <w:rPr>
                <w:b/>
                <w:bCs/>
                <w:szCs w:val="18"/>
              </w:rPr>
              <w:t>14a</w:t>
            </w:r>
          </w:p>
        </w:tc>
        <w:tc>
          <w:tcPr>
            <w:tcW w:w="929" w:type="dxa"/>
            <w:tcBorders/>
            <w:vAlign w:val="center"/>
          </w:tcPr>
          <w:p>
            <w:pPr>
              <w:pStyle w:val="MDPI42tablebody"/>
              <w:autoSpaceDE w:val="false"/>
              <w:spacing w:lineRule="auto" w:line="240"/>
              <w:rPr>
                <w:szCs w:val="18"/>
              </w:rPr>
            </w:pPr>
            <w:r>
              <w:rPr>
                <w:szCs w:val="18"/>
              </w:rPr>
              <w:t>4</w:t>
            </w:r>
          </w:p>
        </w:tc>
        <w:tc>
          <w:tcPr>
            <w:tcW w:w="894" w:type="dxa"/>
            <w:tcBorders/>
            <w:vAlign w:val="center"/>
          </w:tcPr>
          <w:p>
            <w:pPr>
              <w:pStyle w:val="MDPI42tablebody"/>
              <w:autoSpaceDE w:val="false"/>
              <w:spacing w:lineRule="auto" w:line="240"/>
              <w:rPr>
                <w:szCs w:val="18"/>
              </w:rPr>
            </w:pPr>
            <w:r>
              <w:rPr>
                <w:szCs w:val="18"/>
              </w:rPr>
              <w:t>4</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0.25</w:t>
            </w:r>
          </w:p>
        </w:tc>
        <w:tc>
          <w:tcPr>
            <w:tcW w:w="982" w:type="dxa"/>
            <w:tcBorders/>
            <w:vAlign w:val="center"/>
          </w:tcPr>
          <w:p>
            <w:pPr>
              <w:pStyle w:val="MDPI42tablebody"/>
              <w:autoSpaceDE w:val="false"/>
              <w:spacing w:lineRule="auto" w:line="240"/>
              <w:rPr>
                <w:szCs w:val="18"/>
              </w:rPr>
            </w:pPr>
            <w:r>
              <w:rPr>
                <w:szCs w:val="18"/>
              </w:rPr>
              <w:t>&gt;64</w:t>
            </w:r>
          </w:p>
        </w:tc>
      </w:tr>
      <w:tr>
        <w:trPr/>
        <w:tc>
          <w:tcPr>
            <w:tcW w:w="1561" w:type="dxa"/>
            <w:tcBorders/>
            <w:vAlign w:val="center"/>
          </w:tcPr>
          <w:p>
            <w:pPr>
              <w:pStyle w:val="MDPI42tablebody"/>
              <w:autoSpaceDE w:val="false"/>
              <w:spacing w:lineRule="auto" w:line="240"/>
              <w:rPr>
                <w:b/>
                <w:b/>
                <w:bCs/>
                <w:szCs w:val="18"/>
              </w:rPr>
            </w:pPr>
            <w:r>
              <w:rPr>
                <w:b/>
                <w:bCs/>
                <w:szCs w:val="18"/>
              </w:rPr>
              <w:t>14b</w:t>
            </w:r>
          </w:p>
        </w:tc>
        <w:tc>
          <w:tcPr>
            <w:tcW w:w="929" w:type="dxa"/>
            <w:tcBorders/>
            <w:vAlign w:val="center"/>
          </w:tcPr>
          <w:p>
            <w:pPr>
              <w:pStyle w:val="MDPI42tablebody"/>
              <w:autoSpaceDE w:val="false"/>
              <w:spacing w:lineRule="auto" w:line="240"/>
              <w:rPr>
                <w:szCs w:val="18"/>
              </w:rPr>
            </w:pPr>
            <w:r>
              <w:rPr>
                <w:szCs w:val="18"/>
              </w:rPr>
              <w:t>8</w:t>
            </w:r>
          </w:p>
        </w:tc>
        <w:tc>
          <w:tcPr>
            <w:tcW w:w="894" w:type="dxa"/>
            <w:tcBorders/>
            <w:vAlign w:val="center"/>
          </w:tcPr>
          <w:p>
            <w:pPr>
              <w:pStyle w:val="MDPI42tablebody"/>
              <w:autoSpaceDE w:val="false"/>
              <w:spacing w:lineRule="auto" w:line="240"/>
              <w:rPr>
                <w:szCs w:val="18"/>
              </w:rPr>
            </w:pPr>
            <w:r>
              <w:rPr>
                <w:szCs w:val="18"/>
              </w:rPr>
              <w:t>16</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0.5</w:t>
            </w:r>
          </w:p>
        </w:tc>
        <w:tc>
          <w:tcPr>
            <w:tcW w:w="982" w:type="dxa"/>
            <w:tcBorders/>
            <w:vAlign w:val="center"/>
          </w:tcPr>
          <w:p>
            <w:pPr>
              <w:pStyle w:val="MDPI42tablebody"/>
              <w:autoSpaceDE w:val="false"/>
              <w:spacing w:lineRule="auto" w:line="240"/>
              <w:rPr>
                <w:szCs w:val="18"/>
              </w:rPr>
            </w:pPr>
            <w:r>
              <w:rPr>
                <w:szCs w:val="18"/>
              </w:rPr>
              <w:t>&gt;64</w:t>
            </w:r>
          </w:p>
        </w:tc>
      </w:tr>
      <w:tr>
        <w:trPr/>
        <w:tc>
          <w:tcPr>
            <w:tcW w:w="1561" w:type="dxa"/>
            <w:tcBorders/>
            <w:vAlign w:val="center"/>
          </w:tcPr>
          <w:p>
            <w:pPr>
              <w:pStyle w:val="MDPI42tablebody"/>
              <w:autoSpaceDE w:val="false"/>
              <w:spacing w:lineRule="auto" w:line="240"/>
              <w:rPr>
                <w:b/>
                <w:b/>
                <w:bCs/>
                <w:szCs w:val="18"/>
              </w:rPr>
            </w:pPr>
            <w:r>
              <w:rPr>
                <w:b/>
                <w:bCs/>
                <w:szCs w:val="18"/>
              </w:rPr>
              <w:t>14c</w:t>
            </w:r>
          </w:p>
        </w:tc>
        <w:tc>
          <w:tcPr>
            <w:tcW w:w="929" w:type="dxa"/>
            <w:tcBorders/>
            <w:vAlign w:val="center"/>
          </w:tcPr>
          <w:p>
            <w:pPr>
              <w:pStyle w:val="MDPI42tablebody"/>
              <w:autoSpaceDE w:val="false"/>
              <w:spacing w:lineRule="auto" w:line="240"/>
              <w:rPr>
                <w:szCs w:val="18"/>
              </w:rPr>
            </w:pPr>
            <w:r>
              <w:rPr>
                <w:szCs w:val="18"/>
              </w:rPr>
              <w:t>1</w:t>
            </w:r>
          </w:p>
        </w:tc>
        <w:tc>
          <w:tcPr>
            <w:tcW w:w="894" w:type="dxa"/>
            <w:tcBorders/>
            <w:vAlign w:val="center"/>
          </w:tcPr>
          <w:p>
            <w:pPr>
              <w:pStyle w:val="MDPI42tablebody"/>
              <w:autoSpaceDE w:val="false"/>
              <w:spacing w:lineRule="auto" w:line="240"/>
              <w:rPr>
                <w:szCs w:val="18"/>
              </w:rPr>
            </w:pPr>
            <w:r>
              <w:rPr>
                <w:szCs w:val="18"/>
              </w:rPr>
              <w:t>2</w:t>
            </w:r>
          </w:p>
        </w:tc>
        <w:tc>
          <w:tcPr>
            <w:tcW w:w="953" w:type="dxa"/>
            <w:tcBorders/>
            <w:vAlign w:val="center"/>
          </w:tcPr>
          <w:p>
            <w:pPr>
              <w:pStyle w:val="MDPI42tablebody"/>
              <w:autoSpaceDE w:val="false"/>
              <w:spacing w:lineRule="auto" w:line="240"/>
              <w:rPr>
                <w:szCs w:val="18"/>
              </w:rPr>
            </w:pPr>
            <w:r>
              <w:rPr>
                <w:szCs w:val="18"/>
              </w:rPr>
              <w:t>&gt;64</w:t>
            </w:r>
          </w:p>
        </w:tc>
        <w:tc>
          <w:tcPr>
            <w:tcW w:w="953" w:type="dxa"/>
            <w:tcBorders/>
            <w:vAlign w:val="center"/>
          </w:tcPr>
          <w:p>
            <w:pPr>
              <w:pStyle w:val="MDPI42tablebody"/>
              <w:autoSpaceDE w:val="false"/>
              <w:spacing w:lineRule="auto" w:line="240"/>
              <w:rPr>
                <w:szCs w:val="18"/>
              </w:rPr>
            </w:pPr>
            <w:r>
              <w:rPr>
                <w:szCs w:val="18"/>
              </w:rPr>
              <w:t>&gt;64</w:t>
            </w:r>
          </w:p>
        </w:tc>
        <w:tc>
          <w:tcPr>
            <w:tcW w:w="943" w:type="dxa"/>
            <w:tcBorders/>
            <w:vAlign w:val="center"/>
          </w:tcPr>
          <w:p>
            <w:pPr>
              <w:pStyle w:val="MDPI42tablebody"/>
              <w:autoSpaceDE w:val="false"/>
              <w:spacing w:lineRule="auto" w:line="240"/>
              <w:rPr>
                <w:szCs w:val="18"/>
              </w:rPr>
            </w:pPr>
            <w:r>
              <w:rPr>
                <w:szCs w:val="18"/>
              </w:rPr>
              <w:t>&gt;64</w:t>
            </w:r>
          </w:p>
        </w:tc>
        <w:tc>
          <w:tcPr>
            <w:tcW w:w="894" w:type="dxa"/>
            <w:tcBorders/>
            <w:vAlign w:val="center"/>
          </w:tcPr>
          <w:p>
            <w:pPr>
              <w:pStyle w:val="MDPI42tablebody"/>
              <w:autoSpaceDE w:val="false"/>
              <w:spacing w:lineRule="auto" w:line="240"/>
              <w:rPr>
                <w:szCs w:val="18"/>
              </w:rPr>
            </w:pPr>
            <w:r>
              <w:rPr>
                <w:szCs w:val="18"/>
              </w:rPr>
              <w:t>&gt;64</w:t>
            </w:r>
          </w:p>
        </w:tc>
        <w:tc>
          <w:tcPr>
            <w:tcW w:w="951" w:type="dxa"/>
            <w:tcBorders/>
            <w:vAlign w:val="center"/>
          </w:tcPr>
          <w:p>
            <w:pPr>
              <w:pStyle w:val="MDPI42tablebody"/>
              <w:autoSpaceDE w:val="false"/>
              <w:spacing w:lineRule="auto" w:line="240"/>
              <w:rPr>
                <w:szCs w:val="18"/>
              </w:rPr>
            </w:pPr>
            <w:r>
              <w:rPr>
                <w:szCs w:val="18"/>
              </w:rPr>
              <w:t>0.125</w:t>
            </w:r>
          </w:p>
        </w:tc>
        <w:tc>
          <w:tcPr>
            <w:tcW w:w="982" w:type="dxa"/>
            <w:tcBorders/>
            <w:vAlign w:val="center"/>
          </w:tcPr>
          <w:p>
            <w:pPr>
              <w:pStyle w:val="MDPI42tablebody"/>
              <w:autoSpaceDE w:val="false"/>
              <w:spacing w:lineRule="auto" w:line="240"/>
              <w:rPr>
                <w:szCs w:val="18"/>
              </w:rPr>
            </w:pPr>
            <w:r>
              <w:rPr>
                <w:szCs w:val="18"/>
              </w:rPr>
              <w:t>&gt;64</w:t>
            </w:r>
          </w:p>
        </w:tc>
      </w:tr>
      <w:tr>
        <w:trPr/>
        <w:tc>
          <w:tcPr>
            <w:tcW w:w="1561" w:type="dxa"/>
            <w:tcBorders>
              <w:bottom w:val="single" w:sz="8" w:space="0" w:color="000000"/>
            </w:tcBorders>
            <w:vAlign w:val="center"/>
          </w:tcPr>
          <w:p>
            <w:pPr>
              <w:pStyle w:val="MDPI42tablebody"/>
              <w:autoSpaceDE w:val="false"/>
              <w:spacing w:lineRule="auto" w:line="240"/>
              <w:rPr>
                <w:b/>
                <w:b/>
                <w:bCs/>
                <w:szCs w:val="18"/>
              </w:rPr>
            </w:pPr>
            <w:r>
              <w:rPr>
                <w:b/>
                <w:bCs/>
                <w:szCs w:val="18"/>
              </w:rPr>
              <w:t>14d</w:t>
            </w:r>
          </w:p>
        </w:tc>
        <w:tc>
          <w:tcPr>
            <w:tcW w:w="929" w:type="dxa"/>
            <w:tcBorders>
              <w:bottom w:val="single" w:sz="8" w:space="0" w:color="000000"/>
            </w:tcBorders>
            <w:vAlign w:val="center"/>
          </w:tcPr>
          <w:p>
            <w:pPr>
              <w:pStyle w:val="MDPI42tablebody"/>
              <w:autoSpaceDE w:val="false"/>
              <w:spacing w:lineRule="auto" w:line="240"/>
              <w:rPr>
                <w:szCs w:val="18"/>
              </w:rPr>
            </w:pPr>
            <w:r>
              <w:rPr>
                <w:szCs w:val="18"/>
              </w:rPr>
              <w:t>4</w:t>
            </w:r>
          </w:p>
        </w:tc>
        <w:tc>
          <w:tcPr>
            <w:tcW w:w="894" w:type="dxa"/>
            <w:tcBorders>
              <w:bottom w:val="single" w:sz="8" w:space="0" w:color="000000"/>
            </w:tcBorders>
            <w:vAlign w:val="center"/>
          </w:tcPr>
          <w:p>
            <w:pPr>
              <w:pStyle w:val="MDPI42tablebody"/>
              <w:autoSpaceDE w:val="false"/>
              <w:spacing w:lineRule="auto" w:line="240"/>
              <w:rPr>
                <w:szCs w:val="18"/>
              </w:rPr>
            </w:pPr>
            <w:r>
              <w:rPr>
                <w:szCs w:val="18"/>
              </w:rPr>
              <w:t>4</w:t>
            </w:r>
          </w:p>
        </w:tc>
        <w:tc>
          <w:tcPr>
            <w:tcW w:w="953" w:type="dxa"/>
            <w:tcBorders>
              <w:bottom w:val="single" w:sz="8" w:space="0" w:color="000000"/>
            </w:tcBorders>
            <w:vAlign w:val="center"/>
          </w:tcPr>
          <w:p>
            <w:pPr>
              <w:pStyle w:val="MDPI42tablebody"/>
              <w:autoSpaceDE w:val="false"/>
              <w:spacing w:lineRule="auto" w:line="240"/>
              <w:rPr>
                <w:szCs w:val="18"/>
              </w:rPr>
            </w:pPr>
            <w:r>
              <w:rPr>
                <w:szCs w:val="18"/>
              </w:rPr>
              <w:t>&gt;64</w:t>
            </w:r>
          </w:p>
        </w:tc>
        <w:tc>
          <w:tcPr>
            <w:tcW w:w="953" w:type="dxa"/>
            <w:tcBorders>
              <w:bottom w:val="single" w:sz="8" w:space="0" w:color="000000"/>
            </w:tcBorders>
            <w:vAlign w:val="center"/>
          </w:tcPr>
          <w:p>
            <w:pPr>
              <w:pStyle w:val="MDPI42tablebody"/>
              <w:autoSpaceDE w:val="false"/>
              <w:spacing w:lineRule="auto" w:line="240"/>
              <w:rPr>
                <w:szCs w:val="18"/>
              </w:rPr>
            </w:pPr>
            <w:r>
              <w:rPr>
                <w:szCs w:val="18"/>
              </w:rPr>
              <w:t>&gt;64</w:t>
            </w:r>
          </w:p>
        </w:tc>
        <w:tc>
          <w:tcPr>
            <w:tcW w:w="943" w:type="dxa"/>
            <w:tcBorders>
              <w:bottom w:val="single" w:sz="8" w:space="0" w:color="000000"/>
            </w:tcBorders>
            <w:vAlign w:val="center"/>
          </w:tcPr>
          <w:p>
            <w:pPr>
              <w:pStyle w:val="MDPI42tablebody"/>
              <w:autoSpaceDE w:val="false"/>
              <w:spacing w:lineRule="auto" w:line="240"/>
              <w:rPr>
                <w:szCs w:val="18"/>
              </w:rPr>
            </w:pPr>
            <w:r>
              <w:rPr>
                <w:szCs w:val="18"/>
              </w:rPr>
              <w:t>&gt;64</w:t>
            </w:r>
          </w:p>
        </w:tc>
        <w:tc>
          <w:tcPr>
            <w:tcW w:w="894" w:type="dxa"/>
            <w:tcBorders>
              <w:bottom w:val="single" w:sz="8" w:space="0" w:color="000000"/>
            </w:tcBorders>
            <w:vAlign w:val="center"/>
          </w:tcPr>
          <w:p>
            <w:pPr>
              <w:pStyle w:val="MDPI42tablebody"/>
              <w:autoSpaceDE w:val="false"/>
              <w:spacing w:lineRule="auto" w:line="240"/>
              <w:rPr>
                <w:szCs w:val="18"/>
              </w:rPr>
            </w:pPr>
            <w:r>
              <w:rPr>
                <w:szCs w:val="18"/>
              </w:rPr>
              <w:t>&gt;64</w:t>
            </w:r>
          </w:p>
        </w:tc>
        <w:tc>
          <w:tcPr>
            <w:tcW w:w="951" w:type="dxa"/>
            <w:tcBorders>
              <w:bottom w:val="single" w:sz="8" w:space="0" w:color="000000"/>
            </w:tcBorders>
            <w:vAlign w:val="center"/>
          </w:tcPr>
          <w:p>
            <w:pPr>
              <w:pStyle w:val="MDPI42tablebody"/>
              <w:autoSpaceDE w:val="false"/>
              <w:spacing w:lineRule="auto" w:line="240"/>
              <w:rPr>
                <w:szCs w:val="18"/>
              </w:rPr>
            </w:pPr>
            <w:r>
              <w:rPr>
                <w:szCs w:val="18"/>
              </w:rPr>
              <w:t>0.5</w:t>
            </w:r>
          </w:p>
        </w:tc>
        <w:tc>
          <w:tcPr>
            <w:tcW w:w="982" w:type="dxa"/>
            <w:tcBorders>
              <w:bottom w:val="single" w:sz="8" w:space="0" w:color="000000"/>
            </w:tcBorders>
            <w:vAlign w:val="center"/>
          </w:tcPr>
          <w:p>
            <w:pPr>
              <w:pStyle w:val="MDPI42tablebody"/>
              <w:autoSpaceDE w:val="false"/>
              <w:spacing w:lineRule="auto" w:line="240"/>
              <w:rPr>
                <w:szCs w:val="18"/>
              </w:rPr>
            </w:pPr>
            <w:r>
              <w:rPr>
                <w:szCs w:val="18"/>
              </w:rPr>
              <w:t>&gt;64</w:t>
            </w:r>
          </w:p>
        </w:tc>
      </w:tr>
    </w:tbl>
    <w:p>
      <w:pPr>
        <w:pStyle w:val="MDPI22heading2"/>
        <w:rPr>
          <w:lang w:val="en-US" w:eastAsia="de-DE"/>
        </w:rPr>
      </w:pPr>
      <w:r>
        <w:rPr>
          <w:lang w:val="en-US" w:eastAsia="de-DE"/>
        </w:rPr>
        <w:t>2.4. Anaerobic Activity</w:t>
      </w:r>
    </w:p>
    <w:p>
      <w:pPr>
        <w:pStyle w:val="MDPI31text"/>
        <w:rPr/>
      </w:pPr>
      <w:r>
        <w:rPr/>
        <w:t xml:space="preserve">The promising activity of the 4-nitromidazole-oxazolidinone conjugate series against the anaerobic pathogen </w:t>
      </w:r>
      <w:r>
        <w:rPr>
          <w:i/>
          <w:iCs/>
        </w:rPr>
        <w:t>C. difficile</w:t>
      </w:r>
      <w:r>
        <w:rPr/>
        <w:t xml:space="preserve"> encouraged us to explore a broader panel of clinically important anaerobic bacteria (Table </w:t>
      </w:r>
      <w:r>
        <w:rPr>
          <w:color w:val="0070C0"/>
        </w:rPr>
        <w:t>3</w:t>
      </w:r>
      <w:r>
        <w:rPr/>
        <w:t xml:space="preserve">). The test panel included 13 strains of anaerobic bacteria and </w:t>
      </w:r>
      <w:r>
        <w:rPr>
          <w:i/>
          <w:iCs/>
        </w:rPr>
        <w:t>Helicobacter pylori</w:t>
      </w:r>
      <w:r>
        <w:rPr/>
        <w:t xml:space="preserve"> (Hp) a gram-negative microaerophilic bacterium. Seven of the 13 anaerobic bacteria were Gram-positive and the rest were Gram-negative strains. The full names of the anaerobic bacterial panel strains are listed in Table </w:t>
      </w:r>
      <w:r>
        <w:rPr>
          <w:color w:val="0070C0"/>
        </w:rPr>
        <w:t>4</w:t>
      </w:r>
      <w:r>
        <w:rPr/>
        <w:t>.</w:t>
      </w:r>
    </w:p>
    <w:p>
      <w:pPr>
        <w:pStyle w:val="MDPI41tablecaption"/>
        <w:jc w:val="center"/>
        <w:rPr/>
      </w:pPr>
      <w:r>
        <w:rPr>
          <w:b/>
        </w:rPr>
        <w:t xml:space="preserve">Table </w:t>
      </w:r>
      <w:r>
        <w:rPr>
          <w:b/>
        </w:rPr>
        <w:t>3</w:t>
      </w:r>
      <w:r>
        <w:rPr>
          <w:b/>
        </w:rPr>
        <w:t>.</w:t>
      </w:r>
      <w:r>
        <w:rPr/>
        <w:t xml:space="preserve"> Minimum inhibitory concentrations of 12 conjugate molecules against clinically important anaerobic and microaerophilic bacterial strains</w:t>
      </w:r>
    </w:p>
    <w:tbl>
      <w:tblPr>
        <w:tblW w:w="9270" w:type="dxa"/>
        <w:jc w:val="center"/>
        <w:tblInd w:w="0" w:type="dxa"/>
        <w:tblLayout w:type="fixed"/>
        <w:tblCellMar>
          <w:top w:w="0" w:type="dxa"/>
          <w:start w:w="108" w:type="dxa"/>
          <w:bottom w:w="0" w:type="dxa"/>
          <w:end w:w="108" w:type="dxa"/>
        </w:tblCellMar>
      </w:tblPr>
      <w:tblGrid>
        <w:gridCol w:w="1247"/>
        <w:gridCol w:w="556"/>
        <w:gridCol w:w="556"/>
        <w:gridCol w:w="556"/>
        <w:gridCol w:w="556"/>
        <w:gridCol w:w="556"/>
        <w:gridCol w:w="556"/>
        <w:gridCol w:w="557"/>
        <w:gridCol w:w="556"/>
        <w:gridCol w:w="556"/>
        <w:gridCol w:w="556"/>
        <w:gridCol w:w="556"/>
        <w:gridCol w:w="556"/>
        <w:gridCol w:w="557"/>
        <w:gridCol w:w="793"/>
      </w:tblGrid>
      <w:tr>
        <w:trPr/>
        <w:tc>
          <w:tcPr>
            <w:tcW w:w="1247" w:type="dxa"/>
            <w:vMerge w:val="restart"/>
            <w:tcBorders>
              <w:top w:val="single" w:sz="8" w:space="0" w:color="000000"/>
              <w:bottom w:val="single" w:sz="8" w:space="0" w:color="000000"/>
            </w:tcBorders>
            <w:vAlign w:val="center"/>
          </w:tcPr>
          <w:p>
            <w:pPr>
              <w:pStyle w:val="MDPI42tablebody"/>
              <w:spacing w:lineRule="auto" w:line="240"/>
              <w:rPr/>
            </w:pPr>
            <w:r>
              <w:rPr>
                <w:b/>
                <w:sz w:val="15"/>
                <w:szCs w:val="15"/>
              </w:rPr>
              <w:t>Compounds</w:t>
            </w:r>
          </w:p>
        </w:tc>
        <w:tc>
          <w:tcPr>
            <w:tcW w:w="8023" w:type="dxa"/>
            <w:gridSpan w:val="14"/>
            <w:tcBorders>
              <w:top w:val="single" w:sz="8" w:space="0" w:color="000000"/>
              <w:bottom w:val="single" w:sz="8" w:space="0" w:color="000000"/>
            </w:tcBorders>
            <w:vAlign w:val="center"/>
          </w:tcPr>
          <w:p>
            <w:pPr>
              <w:pStyle w:val="MDPI42tablebody"/>
              <w:spacing w:lineRule="auto" w:line="240"/>
              <w:rPr/>
            </w:pPr>
            <w:r>
              <w:rPr>
                <w:b/>
                <w:sz w:val="15"/>
                <w:szCs w:val="15"/>
              </w:rPr>
              <w:t>Anaerobic and Microaerophilic Bacterial Panel, MIC (ug/mL)</w:t>
            </w:r>
          </w:p>
        </w:tc>
      </w:tr>
      <w:tr>
        <w:trPr/>
        <w:tc>
          <w:tcPr>
            <w:tcW w:w="1247" w:type="dxa"/>
            <w:vMerge w:val="continue"/>
            <w:tcBorders>
              <w:top w:val="single" w:sz="8" w:space="0" w:color="000000"/>
              <w:bottom w:val="single" w:sz="8" w:space="0" w:color="000000"/>
            </w:tcBorders>
            <w:vAlign w:val="center"/>
          </w:tcPr>
          <w:p>
            <w:pPr>
              <w:pStyle w:val="MDPI42tablebody"/>
              <w:snapToGrid w:val="false"/>
              <w:spacing w:lineRule="auto" w:line="240"/>
              <w:rPr>
                <w:rFonts w:ascii="Palatino Linotype" w:hAnsi="Palatino Linotype" w:cs="Palatino Linotype"/>
                <w:b/>
                <w:b/>
                <w:sz w:val="15"/>
                <w:szCs w:val="15"/>
                <w:lang w:bidi="en-US"/>
              </w:rPr>
            </w:pPr>
            <w:r>
              <w:rPr>
                <w:rFonts w:cs="Palatino Linotype"/>
                <w:b/>
                <w:sz w:val="15"/>
                <w:szCs w:val="15"/>
                <w:lang w:bidi="en-US"/>
              </w:rPr>
            </w:r>
          </w:p>
        </w:tc>
        <w:tc>
          <w:tcPr>
            <w:tcW w:w="3893" w:type="dxa"/>
            <w:gridSpan w:val="7"/>
            <w:tcBorders>
              <w:top w:val="single" w:sz="8" w:space="0" w:color="000000"/>
              <w:bottom w:val="single" w:sz="8" w:space="0" w:color="000000"/>
            </w:tcBorders>
            <w:vAlign w:val="center"/>
          </w:tcPr>
          <w:p>
            <w:pPr>
              <w:pStyle w:val="MDPI42tablebody"/>
              <w:spacing w:lineRule="auto" w:line="240"/>
              <w:rPr>
                <w:b/>
                <w:b/>
                <w:sz w:val="13"/>
                <w:szCs w:val="13"/>
              </w:rPr>
            </w:pPr>
            <w:r>
              <w:rPr>
                <w:sz w:val="13"/>
                <w:szCs w:val="13"/>
              </w:rPr>
              <w:t>Gram-positive</w:t>
            </w:r>
          </w:p>
        </w:tc>
        <w:tc>
          <w:tcPr>
            <w:tcW w:w="3337" w:type="dxa"/>
            <w:gridSpan w:val="6"/>
            <w:tcBorders>
              <w:top w:val="single" w:sz="8" w:space="0" w:color="000000"/>
              <w:bottom w:val="single" w:sz="8" w:space="0" w:color="000000"/>
            </w:tcBorders>
            <w:vAlign w:val="center"/>
          </w:tcPr>
          <w:p>
            <w:pPr>
              <w:pStyle w:val="MDPI42tablebody"/>
              <w:spacing w:lineRule="auto" w:line="240"/>
              <w:rPr>
                <w:b/>
                <w:b/>
                <w:sz w:val="13"/>
                <w:szCs w:val="13"/>
              </w:rPr>
            </w:pPr>
            <w:r>
              <w:rPr>
                <w:sz w:val="13"/>
                <w:szCs w:val="13"/>
              </w:rPr>
              <w:t>Gram-negative</w:t>
            </w:r>
          </w:p>
        </w:tc>
        <w:tc>
          <w:tcPr>
            <w:tcW w:w="793" w:type="dxa"/>
            <w:tcBorders>
              <w:top w:val="single" w:sz="8" w:space="0" w:color="000000"/>
              <w:bottom w:val="single" w:sz="8" w:space="0" w:color="000000"/>
            </w:tcBorders>
            <w:vAlign w:val="center"/>
          </w:tcPr>
          <w:p>
            <w:pPr>
              <w:pStyle w:val="MDPI42tablebody"/>
              <w:spacing w:lineRule="auto" w:line="240"/>
              <w:rPr>
                <w:sz w:val="13"/>
                <w:szCs w:val="13"/>
              </w:rPr>
            </w:pPr>
            <w:r>
              <w:rPr>
                <w:sz w:val="13"/>
                <w:szCs w:val="13"/>
              </w:rPr>
              <w:t>Micro-</w:t>
            </w:r>
          </w:p>
          <w:p>
            <w:pPr>
              <w:pStyle w:val="MDPI42tablebody"/>
              <w:spacing w:lineRule="auto" w:line="240"/>
              <w:rPr>
                <w:b/>
                <w:b/>
                <w:sz w:val="13"/>
                <w:szCs w:val="13"/>
              </w:rPr>
            </w:pPr>
            <w:r>
              <w:rPr>
                <w:sz w:val="13"/>
                <w:szCs w:val="13"/>
              </w:rPr>
              <w:t>aerophilic</w:t>
            </w:r>
          </w:p>
        </w:tc>
      </w:tr>
      <w:tr>
        <w:trPr/>
        <w:tc>
          <w:tcPr>
            <w:tcW w:w="1247" w:type="dxa"/>
            <w:vMerge w:val="continue"/>
            <w:tcBorders>
              <w:top w:val="single" w:sz="8" w:space="0" w:color="000000"/>
              <w:bottom w:val="single" w:sz="8" w:space="0" w:color="000000"/>
            </w:tcBorders>
            <w:vAlign w:val="center"/>
          </w:tcPr>
          <w:p>
            <w:pPr>
              <w:pStyle w:val="MDPI42tablebody"/>
              <w:snapToGrid w:val="false"/>
              <w:spacing w:lineRule="auto" w:line="240"/>
              <w:rPr>
                <w:rFonts w:ascii="Palatino Linotype" w:hAnsi="Palatino Linotype" w:cs="Palatino Linotype"/>
                <w:b/>
                <w:b/>
                <w:sz w:val="15"/>
                <w:szCs w:val="15"/>
                <w:lang w:bidi="en-US"/>
              </w:rPr>
            </w:pPr>
            <w:r>
              <w:rPr>
                <w:rFonts w:cs="Palatino Linotype"/>
                <w:b/>
                <w:sz w:val="15"/>
                <w:szCs w:val="15"/>
                <w:lang w:bidi="en-US"/>
              </w:rPr>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Cd</w:t>
            </w:r>
          </w:p>
          <w:p>
            <w:pPr>
              <w:pStyle w:val="MDPI42tablebody"/>
              <w:spacing w:lineRule="auto" w:line="240"/>
              <w:rPr>
                <w:sz w:val="11"/>
                <w:szCs w:val="11"/>
              </w:rPr>
            </w:pPr>
            <w:r>
              <w:rPr>
                <w:sz w:val="11"/>
                <w:szCs w:val="11"/>
              </w:rPr>
              <w:t>ATCC 700057</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La</w:t>
            </w:r>
          </w:p>
          <w:p>
            <w:pPr>
              <w:pStyle w:val="MDPI42tablebody"/>
              <w:spacing w:lineRule="auto" w:line="240"/>
              <w:rPr>
                <w:sz w:val="11"/>
                <w:szCs w:val="11"/>
              </w:rPr>
            </w:pPr>
            <w:r>
              <w:rPr>
                <w:sz w:val="11"/>
                <w:szCs w:val="11"/>
              </w:rPr>
              <w:t>ATCC 4356</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El</w:t>
            </w:r>
          </w:p>
          <w:p>
            <w:pPr>
              <w:pStyle w:val="MDPI42tablebody"/>
              <w:spacing w:lineRule="auto" w:line="240"/>
              <w:rPr>
                <w:sz w:val="11"/>
                <w:szCs w:val="11"/>
              </w:rPr>
            </w:pPr>
            <w:r>
              <w:rPr>
                <w:sz w:val="11"/>
                <w:szCs w:val="11"/>
              </w:rPr>
              <w:t>ATCC 43055</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Gv</w:t>
            </w:r>
          </w:p>
          <w:p>
            <w:pPr>
              <w:pStyle w:val="MDPI42tablebody"/>
              <w:spacing w:lineRule="auto" w:line="240"/>
              <w:rPr>
                <w:sz w:val="11"/>
                <w:szCs w:val="11"/>
              </w:rPr>
            </w:pPr>
            <w:r>
              <w:rPr>
                <w:sz w:val="11"/>
                <w:szCs w:val="11"/>
              </w:rPr>
              <w:t>ATCC 14018</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Pm</w:t>
            </w:r>
          </w:p>
          <w:p>
            <w:pPr>
              <w:pStyle w:val="MDPI42tablebody"/>
              <w:spacing w:lineRule="auto" w:line="240"/>
              <w:rPr>
                <w:sz w:val="11"/>
                <w:szCs w:val="11"/>
              </w:rPr>
            </w:pPr>
            <w:r>
              <w:rPr>
                <w:sz w:val="11"/>
                <w:szCs w:val="11"/>
              </w:rPr>
              <w:t>ATCC 23195</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Pas</w:t>
            </w:r>
          </w:p>
          <w:p>
            <w:pPr>
              <w:pStyle w:val="MDPI42tablebody"/>
              <w:spacing w:lineRule="auto" w:line="240"/>
              <w:rPr>
                <w:sz w:val="11"/>
                <w:szCs w:val="11"/>
              </w:rPr>
            </w:pPr>
            <w:r>
              <w:rPr>
                <w:sz w:val="11"/>
                <w:szCs w:val="11"/>
              </w:rPr>
              <w:t>ATCC 3553</w:t>
            </w:r>
          </w:p>
        </w:tc>
        <w:tc>
          <w:tcPr>
            <w:tcW w:w="557"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Pac</w:t>
            </w:r>
          </w:p>
          <w:p>
            <w:pPr>
              <w:pStyle w:val="MDPI42tablebody"/>
              <w:spacing w:lineRule="auto" w:line="240"/>
              <w:rPr>
                <w:sz w:val="11"/>
                <w:szCs w:val="11"/>
              </w:rPr>
            </w:pPr>
            <w:r>
              <w:rPr>
                <w:sz w:val="11"/>
                <w:szCs w:val="11"/>
              </w:rPr>
              <w:t>ATCC 11829</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Bf</w:t>
            </w:r>
          </w:p>
          <w:p>
            <w:pPr>
              <w:pStyle w:val="MDPI42tablebody"/>
              <w:spacing w:lineRule="auto" w:line="240"/>
              <w:rPr>
                <w:sz w:val="11"/>
                <w:szCs w:val="11"/>
              </w:rPr>
            </w:pPr>
            <w:r>
              <w:rPr>
                <w:sz w:val="11"/>
                <w:szCs w:val="11"/>
              </w:rPr>
              <w:t>ATCC 25285</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Bl</w:t>
            </w:r>
          </w:p>
          <w:p>
            <w:pPr>
              <w:pStyle w:val="MDPI42tablebody"/>
              <w:spacing w:lineRule="auto" w:line="240"/>
              <w:rPr>
                <w:sz w:val="11"/>
                <w:szCs w:val="11"/>
              </w:rPr>
            </w:pPr>
            <w:r>
              <w:rPr>
                <w:sz w:val="11"/>
                <w:szCs w:val="11"/>
              </w:rPr>
              <w:t>ATCC 15707</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Fn</w:t>
            </w:r>
          </w:p>
          <w:p>
            <w:pPr>
              <w:pStyle w:val="MDPI42tablebody"/>
              <w:spacing w:lineRule="auto" w:line="240"/>
              <w:rPr>
                <w:sz w:val="11"/>
                <w:szCs w:val="11"/>
              </w:rPr>
            </w:pPr>
            <w:r>
              <w:rPr>
                <w:sz w:val="11"/>
                <w:szCs w:val="11"/>
              </w:rPr>
              <w:t>ATCC 10953</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Mm</w:t>
            </w:r>
          </w:p>
          <w:p>
            <w:pPr>
              <w:pStyle w:val="MDPI42tablebody"/>
              <w:spacing w:lineRule="auto" w:line="240"/>
              <w:rPr>
                <w:sz w:val="11"/>
                <w:szCs w:val="11"/>
              </w:rPr>
            </w:pPr>
            <w:r>
              <w:rPr>
                <w:sz w:val="11"/>
                <w:szCs w:val="11"/>
              </w:rPr>
              <w:t>ATCC 35243</w:t>
            </w:r>
          </w:p>
        </w:tc>
        <w:tc>
          <w:tcPr>
            <w:tcW w:w="556"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Pv</w:t>
            </w:r>
          </w:p>
          <w:p>
            <w:pPr>
              <w:pStyle w:val="MDPI42tablebody"/>
              <w:spacing w:lineRule="auto" w:line="240"/>
              <w:rPr>
                <w:sz w:val="11"/>
                <w:szCs w:val="11"/>
              </w:rPr>
            </w:pPr>
            <w:r>
              <w:rPr>
                <w:sz w:val="11"/>
                <w:szCs w:val="11"/>
              </w:rPr>
              <w:t>ATCC 29303</w:t>
            </w:r>
          </w:p>
        </w:tc>
        <w:tc>
          <w:tcPr>
            <w:tcW w:w="557"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Vp</w:t>
            </w:r>
          </w:p>
          <w:p>
            <w:pPr>
              <w:pStyle w:val="MDPI42tablebody"/>
              <w:spacing w:lineRule="auto" w:line="240"/>
              <w:rPr>
                <w:sz w:val="11"/>
                <w:szCs w:val="11"/>
              </w:rPr>
            </w:pPr>
            <w:r>
              <w:rPr>
                <w:sz w:val="11"/>
                <w:szCs w:val="11"/>
              </w:rPr>
              <w:t>ATCC 17745</w:t>
            </w:r>
          </w:p>
        </w:tc>
        <w:tc>
          <w:tcPr>
            <w:tcW w:w="793" w:type="dxa"/>
            <w:tcBorders>
              <w:top w:val="single" w:sz="8" w:space="0" w:color="000000"/>
              <w:bottom w:val="single" w:sz="8" w:space="0" w:color="000000"/>
            </w:tcBorders>
            <w:vAlign w:val="center"/>
          </w:tcPr>
          <w:p>
            <w:pPr>
              <w:pStyle w:val="MDPI42tablebody"/>
              <w:spacing w:lineRule="auto" w:line="240"/>
              <w:rPr>
                <w:sz w:val="11"/>
                <w:szCs w:val="11"/>
              </w:rPr>
            </w:pPr>
            <w:r>
              <w:rPr>
                <w:sz w:val="11"/>
                <w:szCs w:val="11"/>
              </w:rPr>
              <w:t>Hp</w:t>
            </w:r>
          </w:p>
          <w:p>
            <w:pPr>
              <w:pStyle w:val="MDPI42tablebody"/>
              <w:spacing w:lineRule="auto" w:line="240"/>
              <w:rPr>
                <w:sz w:val="11"/>
                <w:szCs w:val="11"/>
              </w:rPr>
            </w:pPr>
            <w:r>
              <w:rPr>
                <w:sz w:val="11"/>
                <w:szCs w:val="11"/>
              </w:rPr>
              <w:t>ATCC</w:t>
            </w:r>
          </w:p>
          <w:p>
            <w:pPr>
              <w:pStyle w:val="MDPI42tablebody"/>
              <w:spacing w:lineRule="auto" w:line="240"/>
              <w:rPr>
                <w:sz w:val="11"/>
                <w:szCs w:val="11"/>
              </w:rPr>
            </w:pPr>
            <w:r>
              <w:rPr>
                <w:sz w:val="11"/>
                <w:szCs w:val="11"/>
              </w:rPr>
              <w:t>43504</w:t>
            </w:r>
          </w:p>
        </w:tc>
      </w:tr>
      <w:tr>
        <w:trPr/>
        <w:tc>
          <w:tcPr>
            <w:tcW w:w="1247" w:type="dxa"/>
            <w:tcBorders>
              <w:top w:val="single" w:sz="8" w:space="0" w:color="000000"/>
            </w:tcBorders>
          </w:tcPr>
          <w:p>
            <w:pPr>
              <w:pStyle w:val="MDPI42tablebody"/>
              <w:spacing w:lineRule="auto" w:line="240"/>
              <w:rPr/>
            </w:pPr>
            <w:r>
              <w:rPr>
                <w:b/>
                <w:bCs/>
                <w:sz w:val="15"/>
                <w:szCs w:val="15"/>
              </w:rPr>
              <w:t>Metronidazole</w:t>
            </w:r>
          </w:p>
        </w:tc>
        <w:tc>
          <w:tcPr>
            <w:tcW w:w="556" w:type="dxa"/>
            <w:tcBorders>
              <w:top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0.25</w:t>
            </w:r>
          </w:p>
        </w:tc>
        <w:tc>
          <w:tcPr>
            <w:tcW w:w="556" w:type="dxa"/>
            <w:tcBorders>
              <w:top w:val="single" w:sz="8" w:space="0" w:color="000000"/>
            </w:tcBorders>
          </w:tcPr>
          <w:p>
            <w:pPr>
              <w:pStyle w:val="MDPI42tablebody"/>
              <w:spacing w:lineRule="auto" w:line="240"/>
              <w:rPr/>
            </w:pPr>
            <w:r>
              <w:rPr>
                <w:sz w:val="15"/>
                <w:szCs w:val="15"/>
              </w:rPr>
              <w:t>&gt;256</w:t>
            </w:r>
          </w:p>
        </w:tc>
        <w:tc>
          <w:tcPr>
            <w:tcW w:w="556" w:type="dxa"/>
            <w:tcBorders>
              <w:top w:val="single" w:sz="8" w:space="0" w:color="000000"/>
            </w:tcBorders>
          </w:tcPr>
          <w:p>
            <w:pPr>
              <w:pStyle w:val="MDPI42tablebody"/>
              <w:spacing w:lineRule="auto" w:line="240"/>
              <w:rPr>
                <w:sz w:val="15"/>
                <w:szCs w:val="15"/>
              </w:rPr>
            </w:pPr>
            <w:r>
              <w:rPr>
                <w:sz w:val="15"/>
                <w:szCs w:val="15"/>
              </w:rPr>
              <w:t>0.5</w:t>
            </w:r>
          </w:p>
        </w:tc>
        <w:tc>
          <w:tcPr>
            <w:tcW w:w="556" w:type="dxa"/>
            <w:tcBorders>
              <w:top w:val="single" w:sz="8" w:space="0" w:color="000000"/>
            </w:tcBorders>
          </w:tcPr>
          <w:p>
            <w:pPr>
              <w:pStyle w:val="MDPI42tablebody"/>
              <w:spacing w:lineRule="auto" w:line="240"/>
              <w:rPr>
                <w:sz w:val="15"/>
                <w:szCs w:val="15"/>
              </w:rPr>
            </w:pPr>
            <w:r>
              <w:rPr>
                <w:sz w:val="15"/>
                <w:szCs w:val="15"/>
              </w:rPr>
              <w:t>2</w:t>
            </w:r>
          </w:p>
        </w:tc>
        <w:tc>
          <w:tcPr>
            <w:tcW w:w="556" w:type="dxa"/>
            <w:tcBorders>
              <w:top w:val="single" w:sz="8" w:space="0" w:color="000000"/>
            </w:tcBorders>
          </w:tcPr>
          <w:p>
            <w:pPr>
              <w:pStyle w:val="MDPI42tablebody"/>
              <w:spacing w:lineRule="auto" w:line="240"/>
              <w:rPr/>
            </w:pPr>
            <w:r>
              <w:rPr>
                <w:sz w:val="15"/>
                <w:szCs w:val="15"/>
              </w:rPr>
              <w:t>&gt;256</w:t>
            </w:r>
          </w:p>
        </w:tc>
        <w:tc>
          <w:tcPr>
            <w:tcW w:w="556" w:type="dxa"/>
            <w:tcBorders>
              <w:top w:val="single" w:sz="8" w:space="0" w:color="000000"/>
            </w:tcBorders>
          </w:tcPr>
          <w:p>
            <w:pPr>
              <w:pStyle w:val="MDPI42tablebody"/>
              <w:spacing w:lineRule="auto" w:line="240"/>
              <w:rPr>
                <w:sz w:val="15"/>
                <w:szCs w:val="15"/>
              </w:rPr>
            </w:pPr>
            <w:r>
              <w:rPr>
                <w:sz w:val="15"/>
                <w:szCs w:val="15"/>
              </w:rPr>
              <w:t>0.5</w:t>
            </w:r>
          </w:p>
        </w:tc>
        <w:tc>
          <w:tcPr>
            <w:tcW w:w="557" w:type="dxa"/>
            <w:tcBorders>
              <w:top w:val="single" w:sz="8" w:space="0" w:color="000000"/>
            </w:tcBorders>
          </w:tcPr>
          <w:p>
            <w:pPr>
              <w:pStyle w:val="MDPI42tablebody"/>
              <w:spacing w:lineRule="auto" w:line="240"/>
              <w:rPr>
                <w:sz w:val="15"/>
                <w:szCs w:val="15"/>
              </w:rPr>
            </w:pPr>
            <w:r>
              <w:rPr>
                <w:sz w:val="15"/>
                <w:szCs w:val="15"/>
              </w:rPr>
              <w:t>&gt;256</w:t>
            </w:r>
          </w:p>
        </w:tc>
        <w:tc>
          <w:tcPr>
            <w:tcW w:w="556" w:type="dxa"/>
            <w:tcBorders>
              <w:top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0.25</w:t>
            </w:r>
          </w:p>
        </w:tc>
        <w:tc>
          <w:tcPr>
            <w:tcW w:w="556" w:type="dxa"/>
            <w:tcBorders>
              <w:top w:val="single" w:sz="8" w:space="0" w:color="000000"/>
            </w:tcBorders>
          </w:tcPr>
          <w:p>
            <w:pPr>
              <w:pStyle w:val="MDPI42tablebody"/>
              <w:spacing w:lineRule="auto" w:line="240"/>
              <w:rPr>
                <w:sz w:val="15"/>
                <w:szCs w:val="15"/>
              </w:rPr>
            </w:pPr>
            <w:r>
              <w:rPr>
                <w:sz w:val="15"/>
                <w:szCs w:val="15"/>
              </w:rPr>
              <w:t>4</w:t>
            </w:r>
          </w:p>
        </w:tc>
        <w:tc>
          <w:tcPr>
            <w:tcW w:w="556" w:type="dxa"/>
            <w:tcBorders>
              <w:top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0.25</w:t>
            </w:r>
          </w:p>
        </w:tc>
        <w:tc>
          <w:tcPr>
            <w:tcW w:w="556" w:type="dxa"/>
            <w:tcBorders>
              <w:top w:val="single" w:sz="8" w:space="0" w:color="000000"/>
            </w:tcBorders>
          </w:tcPr>
          <w:p>
            <w:pPr>
              <w:pStyle w:val="MDPI42tablebody"/>
              <w:spacing w:lineRule="auto" w:line="240"/>
              <w:rPr>
                <w:sz w:val="15"/>
                <w:szCs w:val="15"/>
              </w:rPr>
            </w:pPr>
            <w:r>
              <w:rPr>
                <w:sz w:val="15"/>
                <w:szCs w:val="15"/>
              </w:rPr>
              <w:t>8</w:t>
            </w:r>
          </w:p>
        </w:tc>
        <w:tc>
          <w:tcPr>
            <w:tcW w:w="556" w:type="dxa"/>
            <w:tcBorders>
              <w:top w:val="single" w:sz="8" w:space="0" w:color="000000"/>
            </w:tcBorders>
          </w:tcPr>
          <w:p>
            <w:pPr>
              <w:pStyle w:val="MDPI42tablebody"/>
              <w:spacing w:lineRule="auto" w:line="240"/>
              <w:rPr>
                <w:sz w:val="15"/>
                <w:szCs w:val="15"/>
              </w:rPr>
            </w:pPr>
            <w:r>
              <w:rPr>
                <w:sz w:val="15"/>
                <w:szCs w:val="15"/>
              </w:rPr>
              <w:t>2</w:t>
            </w:r>
          </w:p>
        </w:tc>
        <w:tc>
          <w:tcPr>
            <w:tcW w:w="557" w:type="dxa"/>
            <w:tcBorders>
              <w:top w:val="single" w:sz="8" w:space="0" w:color="000000"/>
            </w:tcBorders>
          </w:tcPr>
          <w:p>
            <w:pPr>
              <w:pStyle w:val="MDPI42tablebody"/>
              <w:spacing w:lineRule="auto" w:line="240"/>
              <w:rPr>
                <w:sz w:val="15"/>
                <w:szCs w:val="15"/>
              </w:rPr>
            </w:pPr>
            <w:r>
              <w:rPr>
                <w:sz w:val="15"/>
                <w:szCs w:val="15"/>
              </w:rPr>
              <w:t>&gt;256</w:t>
            </w:r>
          </w:p>
        </w:tc>
        <w:tc>
          <w:tcPr>
            <w:tcW w:w="793" w:type="dxa"/>
            <w:tcBorders>
              <w:top w:val="single" w:sz="8" w:space="0" w:color="000000"/>
            </w:tcBorders>
          </w:tcPr>
          <w:p>
            <w:pPr>
              <w:pStyle w:val="MDPI42tablebody"/>
              <w:spacing w:lineRule="auto" w:line="240"/>
              <w:rPr>
                <w:sz w:val="15"/>
                <w:szCs w:val="15"/>
              </w:rPr>
            </w:pPr>
            <w:r>
              <w:rPr>
                <w:sz w:val="15"/>
                <w:szCs w:val="15"/>
              </w:rPr>
              <w:t>64</w:t>
            </w:r>
          </w:p>
        </w:tc>
      </w:tr>
      <w:tr>
        <w:trPr/>
        <w:tc>
          <w:tcPr>
            <w:tcW w:w="1247" w:type="dxa"/>
            <w:tcBorders/>
          </w:tcPr>
          <w:p>
            <w:pPr>
              <w:pStyle w:val="MDPI42tablebody"/>
              <w:spacing w:lineRule="auto" w:line="240"/>
              <w:rPr>
                <w:b/>
                <w:b/>
                <w:bCs/>
                <w:sz w:val="15"/>
                <w:szCs w:val="15"/>
              </w:rPr>
            </w:pPr>
            <w:r>
              <w:rPr>
                <w:b/>
                <w:bCs/>
                <w:sz w:val="15"/>
                <w:szCs w:val="15"/>
              </w:rPr>
              <w:t>Pretomanid (P)</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8</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2</w:t>
            </w:r>
          </w:p>
        </w:tc>
        <w:tc>
          <w:tcPr>
            <w:tcW w:w="557"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16</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4</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32</w:t>
            </w:r>
          </w:p>
        </w:tc>
        <w:tc>
          <w:tcPr>
            <w:tcW w:w="557" w:type="dxa"/>
            <w:tcBorders/>
          </w:tcPr>
          <w:p>
            <w:pPr>
              <w:pStyle w:val="MDPI42tablebody"/>
              <w:spacing w:lineRule="auto" w:line="240"/>
              <w:rPr>
                <w:sz w:val="15"/>
                <w:szCs w:val="15"/>
              </w:rPr>
            </w:pPr>
            <w:r>
              <w:rPr>
                <w:sz w:val="15"/>
                <w:szCs w:val="15"/>
              </w:rPr>
              <w:t>&gt;32</w:t>
            </w:r>
          </w:p>
        </w:tc>
        <w:tc>
          <w:tcPr>
            <w:tcW w:w="793" w:type="dxa"/>
            <w:tcBorders/>
          </w:tcPr>
          <w:p>
            <w:pPr>
              <w:pStyle w:val="MDPI42tablebody"/>
              <w:spacing w:lineRule="auto" w:line="240"/>
              <w:rPr>
                <w:sz w:val="15"/>
                <w:szCs w:val="15"/>
              </w:rPr>
            </w:pPr>
            <w:r>
              <w:rPr>
                <w:sz w:val="15"/>
                <w:szCs w:val="15"/>
              </w:rPr>
              <w:t>16</w:t>
            </w:r>
          </w:p>
        </w:tc>
      </w:tr>
      <w:tr>
        <w:trPr/>
        <w:tc>
          <w:tcPr>
            <w:tcW w:w="1247" w:type="dxa"/>
            <w:tcBorders/>
          </w:tcPr>
          <w:p>
            <w:pPr>
              <w:pStyle w:val="MDPI42tablebody"/>
              <w:spacing w:lineRule="auto" w:line="240"/>
              <w:rPr>
                <w:b/>
                <w:b/>
                <w:bCs/>
                <w:sz w:val="15"/>
                <w:szCs w:val="15"/>
              </w:rPr>
            </w:pPr>
            <w:r>
              <w:rPr>
                <w:b/>
                <w:bCs/>
                <w:sz w:val="15"/>
                <w:szCs w:val="15"/>
              </w:rPr>
              <w:t>Linezolid (L)</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0.5</w:t>
            </w:r>
          </w:p>
        </w:tc>
        <w:tc>
          <w:tcPr>
            <w:tcW w:w="557"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2</w:t>
            </w:r>
          </w:p>
        </w:tc>
        <w:tc>
          <w:tcPr>
            <w:tcW w:w="557" w:type="dxa"/>
            <w:tcBorders/>
          </w:tcPr>
          <w:p>
            <w:pPr>
              <w:pStyle w:val="MDPI42tablebody"/>
              <w:spacing w:lineRule="auto" w:line="240"/>
              <w:rPr>
                <w:sz w:val="15"/>
                <w:szCs w:val="15"/>
              </w:rPr>
            </w:pPr>
            <w:r>
              <w:rPr>
                <w:sz w:val="15"/>
                <w:szCs w:val="15"/>
              </w:rPr>
              <w:t>0.5</w:t>
            </w:r>
          </w:p>
        </w:tc>
        <w:tc>
          <w:tcPr>
            <w:tcW w:w="793" w:type="dxa"/>
            <w:tcBorders/>
          </w:tcPr>
          <w:p>
            <w:pPr>
              <w:pStyle w:val="MDPI42tablebody"/>
              <w:spacing w:lineRule="auto" w:line="240"/>
              <w:rPr>
                <w:sz w:val="15"/>
                <w:szCs w:val="15"/>
              </w:rPr>
            </w:pPr>
            <w:r>
              <w:rPr>
                <w:sz w:val="15"/>
                <w:szCs w:val="15"/>
              </w:rPr>
              <w:t>8</w:t>
            </w:r>
          </w:p>
        </w:tc>
      </w:tr>
      <w:tr>
        <w:trPr/>
        <w:tc>
          <w:tcPr>
            <w:tcW w:w="1247" w:type="dxa"/>
            <w:tcBorders/>
          </w:tcPr>
          <w:p>
            <w:pPr>
              <w:pStyle w:val="MDPI42tablebody"/>
              <w:spacing w:lineRule="auto" w:line="240"/>
              <w:rPr>
                <w:b/>
                <w:b/>
                <w:bCs/>
                <w:sz w:val="15"/>
                <w:szCs w:val="15"/>
              </w:rPr>
            </w:pPr>
            <w:r>
              <w:rPr>
                <w:b/>
                <w:bCs/>
                <w:sz w:val="15"/>
                <w:szCs w:val="15"/>
              </w:rPr>
              <w:t>L + P (1:1)</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4</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1</w:t>
            </w:r>
          </w:p>
        </w:tc>
        <w:tc>
          <w:tcPr>
            <w:tcW w:w="557"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4</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4</w:t>
            </w:r>
          </w:p>
        </w:tc>
        <w:tc>
          <w:tcPr>
            <w:tcW w:w="557" w:type="dxa"/>
            <w:tcBorders/>
          </w:tcPr>
          <w:p>
            <w:pPr>
              <w:pStyle w:val="MDPI42tablebody"/>
              <w:spacing w:lineRule="auto" w:line="240"/>
              <w:rPr>
                <w:sz w:val="15"/>
                <w:szCs w:val="15"/>
              </w:rPr>
            </w:pPr>
            <w:r>
              <w:rPr>
                <w:sz w:val="15"/>
                <w:szCs w:val="15"/>
              </w:rPr>
              <w:t>1</w:t>
            </w:r>
          </w:p>
        </w:tc>
        <w:tc>
          <w:tcPr>
            <w:tcW w:w="793" w:type="dxa"/>
            <w:tcBorders/>
          </w:tcPr>
          <w:p>
            <w:pPr>
              <w:pStyle w:val="MDPI42tablebody"/>
              <w:spacing w:lineRule="auto" w:line="240"/>
              <w:rPr>
                <w:sz w:val="15"/>
                <w:szCs w:val="15"/>
              </w:rPr>
            </w:pPr>
            <w:r>
              <w:rPr>
                <w:sz w:val="15"/>
                <w:szCs w:val="15"/>
              </w:rPr>
              <w:t>16</w:t>
            </w:r>
          </w:p>
        </w:tc>
      </w:tr>
      <w:tr>
        <w:trPr/>
        <w:tc>
          <w:tcPr>
            <w:tcW w:w="1247" w:type="dxa"/>
            <w:tcBorders/>
          </w:tcPr>
          <w:p>
            <w:pPr>
              <w:pStyle w:val="MDPI42tablebody"/>
              <w:spacing w:lineRule="auto" w:line="240"/>
              <w:rPr>
                <w:b/>
                <w:b/>
                <w:bCs/>
                <w:sz w:val="15"/>
                <w:szCs w:val="15"/>
              </w:rPr>
            </w:pPr>
            <w:r>
              <w:rPr>
                <w:b/>
                <w:bCs/>
                <w:sz w:val="15"/>
                <w:szCs w:val="15"/>
              </w:rPr>
              <w:t>5</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NA</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pPr>
            <w:r>
              <w:rPr>
                <w:sz w:val="15"/>
                <w:szCs w:val="15"/>
              </w:rPr>
              <w:t>0.06</w:t>
            </w:r>
          </w:p>
        </w:tc>
        <w:tc>
          <w:tcPr>
            <w:tcW w:w="557"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pPr>
            <w:r>
              <w:rPr>
                <w:sz w:val="15"/>
                <w:szCs w:val="15"/>
              </w:rPr>
              <w:t>0.06</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0.5</w:t>
            </w:r>
          </w:p>
        </w:tc>
        <w:tc>
          <w:tcPr>
            <w:tcW w:w="557" w:type="dxa"/>
            <w:tcBorders/>
          </w:tcPr>
          <w:p>
            <w:pPr>
              <w:pStyle w:val="MDPI42tablebody"/>
              <w:spacing w:lineRule="auto" w:line="240"/>
              <w:rPr>
                <w:sz w:val="15"/>
                <w:szCs w:val="15"/>
              </w:rPr>
            </w:pPr>
            <w:r>
              <w:rPr>
                <w:sz w:val="15"/>
                <w:szCs w:val="15"/>
              </w:rPr>
              <w:t>1</w:t>
            </w:r>
          </w:p>
        </w:tc>
        <w:tc>
          <w:tcPr>
            <w:tcW w:w="793" w:type="dxa"/>
            <w:tcBorders/>
          </w:tcPr>
          <w:p>
            <w:pPr>
              <w:pStyle w:val="MDPI42tablebody"/>
              <w:spacing w:lineRule="auto" w:line="240"/>
              <w:rPr>
                <w:sz w:val="15"/>
                <w:szCs w:val="15"/>
              </w:rPr>
            </w:pPr>
            <w:r>
              <w:rPr>
                <w:sz w:val="15"/>
                <w:szCs w:val="15"/>
              </w:rPr>
              <w:t>-</w:t>
            </w:r>
          </w:p>
        </w:tc>
      </w:tr>
      <w:tr>
        <w:trPr/>
        <w:tc>
          <w:tcPr>
            <w:tcW w:w="1247" w:type="dxa"/>
            <w:tcBorders/>
          </w:tcPr>
          <w:p>
            <w:pPr>
              <w:pStyle w:val="MDPI42tablebody"/>
              <w:spacing w:lineRule="auto" w:line="240"/>
              <w:rPr>
                <w:b/>
                <w:b/>
                <w:bCs/>
                <w:sz w:val="15"/>
                <w:szCs w:val="15"/>
              </w:rPr>
            </w:pPr>
            <w:r>
              <w:rPr>
                <w:b/>
                <w:bCs/>
                <w:sz w:val="15"/>
                <w:szCs w:val="15"/>
              </w:rPr>
              <w:t>8a</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0.06</w:t>
            </w:r>
          </w:p>
        </w:tc>
        <w:tc>
          <w:tcPr>
            <w:tcW w:w="557"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4</w:t>
            </w:r>
          </w:p>
        </w:tc>
        <w:tc>
          <w:tcPr>
            <w:tcW w:w="557" w:type="dxa"/>
            <w:tcBorders/>
          </w:tcPr>
          <w:p>
            <w:pPr>
              <w:pStyle w:val="MDPI42tablebody"/>
              <w:spacing w:lineRule="auto" w:line="240"/>
              <w:rPr>
                <w:sz w:val="15"/>
                <w:szCs w:val="15"/>
              </w:rPr>
            </w:pPr>
            <w:r>
              <w:rPr>
                <w:sz w:val="15"/>
                <w:szCs w:val="15"/>
              </w:rPr>
              <w:t>0.25</w:t>
            </w:r>
          </w:p>
        </w:tc>
        <w:tc>
          <w:tcPr>
            <w:tcW w:w="793" w:type="dxa"/>
            <w:tcBorders/>
          </w:tcPr>
          <w:p>
            <w:pPr>
              <w:pStyle w:val="MDPI42tablebody"/>
              <w:spacing w:lineRule="auto" w:line="240"/>
              <w:rPr>
                <w:sz w:val="15"/>
                <w:szCs w:val="15"/>
              </w:rPr>
            </w:pPr>
            <w:r>
              <w:rPr>
                <w:sz w:val="15"/>
                <w:szCs w:val="15"/>
              </w:rPr>
              <w:t>0.5</w:t>
            </w:r>
          </w:p>
        </w:tc>
      </w:tr>
      <w:tr>
        <w:trPr/>
        <w:tc>
          <w:tcPr>
            <w:tcW w:w="1247" w:type="dxa"/>
            <w:tcBorders/>
          </w:tcPr>
          <w:p>
            <w:pPr>
              <w:pStyle w:val="MDPI42tablebody"/>
              <w:spacing w:lineRule="auto" w:line="240"/>
              <w:rPr>
                <w:b/>
                <w:b/>
                <w:bCs/>
                <w:sz w:val="15"/>
                <w:szCs w:val="15"/>
              </w:rPr>
            </w:pPr>
            <w:r>
              <w:rPr>
                <w:b/>
                <w:bCs/>
                <w:sz w:val="15"/>
                <w:szCs w:val="15"/>
              </w:rPr>
              <w:t>8b</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7"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4</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8</w:t>
            </w:r>
          </w:p>
        </w:tc>
        <w:tc>
          <w:tcPr>
            <w:tcW w:w="557" w:type="dxa"/>
            <w:tcBorders/>
          </w:tcPr>
          <w:p>
            <w:pPr>
              <w:pStyle w:val="MDPI42tablebody"/>
              <w:spacing w:lineRule="auto" w:line="240"/>
              <w:rPr>
                <w:sz w:val="15"/>
                <w:szCs w:val="15"/>
              </w:rPr>
            </w:pPr>
            <w:r>
              <w:rPr>
                <w:sz w:val="15"/>
                <w:szCs w:val="15"/>
              </w:rPr>
              <w:t>0.25</w:t>
            </w:r>
          </w:p>
        </w:tc>
        <w:tc>
          <w:tcPr>
            <w:tcW w:w="793" w:type="dxa"/>
            <w:tcBorders/>
          </w:tcPr>
          <w:p>
            <w:pPr>
              <w:pStyle w:val="MDPI42tablebody"/>
              <w:spacing w:lineRule="auto" w:line="240"/>
              <w:rPr>
                <w:sz w:val="15"/>
                <w:szCs w:val="15"/>
              </w:rPr>
            </w:pPr>
            <w:r>
              <w:rPr>
                <w:sz w:val="15"/>
                <w:szCs w:val="15"/>
              </w:rPr>
              <w:t>1</w:t>
            </w:r>
          </w:p>
        </w:tc>
      </w:tr>
      <w:tr>
        <w:trPr/>
        <w:tc>
          <w:tcPr>
            <w:tcW w:w="1247" w:type="dxa"/>
            <w:tcBorders/>
          </w:tcPr>
          <w:p>
            <w:pPr>
              <w:pStyle w:val="MDPI42tablebody"/>
              <w:spacing w:lineRule="auto" w:line="240"/>
              <w:rPr>
                <w:b/>
                <w:b/>
                <w:bCs/>
                <w:sz w:val="15"/>
                <w:szCs w:val="15"/>
              </w:rPr>
            </w:pPr>
            <w:r>
              <w:rPr>
                <w:b/>
                <w:bCs/>
                <w:sz w:val="15"/>
                <w:szCs w:val="15"/>
              </w:rPr>
              <w:t>11a</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0.06</w:t>
            </w:r>
          </w:p>
        </w:tc>
        <w:tc>
          <w:tcPr>
            <w:tcW w:w="557"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4</w:t>
            </w:r>
          </w:p>
        </w:tc>
        <w:tc>
          <w:tcPr>
            <w:tcW w:w="557" w:type="dxa"/>
            <w:tcBorders/>
          </w:tcPr>
          <w:p>
            <w:pPr>
              <w:pStyle w:val="MDPI42tablebody"/>
              <w:spacing w:lineRule="auto" w:line="240"/>
              <w:rPr>
                <w:sz w:val="15"/>
                <w:szCs w:val="15"/>
              </w:rPr>
            </w:pPr>
            <w:r>
              <w:rPr>
                <w:sz w:val="15"/>
                <w:szCs w:val="15"/>
              </w:rPr>
              <w:t>0.25</w:t>
            </w:r>
          </w:p>
        </w:tc>
        <w:tc>
          <w:tcPr>
            <w:tcW w:w="793" w:type="dxa"/>
            <w:tcBorders/>
          </w:tcPr>
          <w:p>
            <w:pPr>
              <w:pStyle w:val="MDPI42tablebody"/>
              <w:spacing w:lineRule="auto" w:line="240"/>
              <w:rPr>
                <w:sz w:val="15"/>
                <w:szCs w:val="15"/>
              </w:rPr>
            </w:pPr>
            <w:r>
              <w:rPr>
                <w:sz w:val="15"/>
                <w:szCs w:val="15"/>
              </w:rPr>
              <w:t>2</w:t>
            </w:r>
          </w:p>
        </w:tc>
      </w:tr>
      <w:tr>
        <w:trPr/>
        <w:tc>
          <w:tcPr>
            <w:tcW w:w="1247" w:type="dxa"/>
            <w:tcBorders/>
          </w:tcPr>
          <w:p>
            <w:pPr>
              <w:pStyle w:val="MDPI42tablebody"/>
              <w:spacing w:lineRule="auto" w:line="240"/>
              <w:rPr>
                <w:b/>
                <w:b/>
                <w:bCs/>
                <w:sz w:val="15"/>
                <w:szCs w:val="15"/>
              </w:rPr>
            </w:pPr>
            <w:r>
              <w:rPr>
                <w:b/>
                <w:bCs/>
                <w:sz w:val="15"/>
                <w:szCs w:val="15"/>
              </w:rPr>
              <w:t>11b</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pPr>
            <w:r>
              <w:rPr>
                <w:sz w:val="15"/>
                <w:szCs w:val="15"/>
              </w:rPr>
              <w:t>0.12</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7"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4</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8</w:t>
            </w:r>
          </w:p>
        </w:tc>
        <w:tc>
          <w:tcPr>
            <w:tcW w:w="557" w:type="dxa"/>
            <w:tcBorders/>
          </w:tcPr>
          <w:p>
            <w:pPr>
              <w:pStyle w:val="MDPI42tablebody"/>
              <w:spacing w:lineRule="auto" w:line="240"/>
              <w:rPr>
                <w:sz w:val="15"/>
                <w:szCs w:val="15"/>
              </w:rPr>
            </w:pPr>
            <w:r>
              <w:rPr>
                <w:sz w:val="15"/>
                <w:szCs w:val="15"/>
              </w:rPr>
              <w:t>1</w:t>
            </w:r>
          </w:p>
        </w:tc>
        <w:tc>
          <w:tcPr>
            <w:tcW w:w="793" w:type="dxa"/>
            <w:tcBorders/>
          </w:tcPr>
          <w:p>
            <w:pPr>
              <w:pStyle w:val="MDPI42tablebody"/>
              <w:spacing w:lineRule="auto" w:line="240"/>
              <w:rPr>
                <w:sz w:val="15"/>
                <w:szCs w:val="15"/>
              </w:rPr>
            </w:pPr>
            <w:r>
              <w:rPr>
                <w:sz w:val="15"/>
                <w:szCs w:val="15"/>
              </w:rPr>
              <w:t>2</w:t>
            </w:r>
          </w:p>
        </w:tc>
      </w:tr>
      <w:tr>
        <w:trPr/>
        <w:tc>
          <w:tcPr>
            <w:tcW w:w="1247" w:type="dxa"/>
            <w:tcBorders/>
          </w:tcPr>
          <w:p>
            <w:pPr>
              <w:pStyle w:val="MDPI42tablebody"/>
              <w:spacing w:lineRule="auto" w:line="240"/>
              <w:rPr>
                <w:b/>
                <w:b/>
                <w:bCs/>
                <w:sz w:val="15"/>
                <w:szCs w:val="15"/>
              </w:rPr>
            </w:pPr>
            <w:r>
              <w:rPr>
                <w:b/>
                <w:bCs/>
                <w:sz w:val="15"/>
                <w:szCs w:val="15"/>
              </w:rPr>
              <w:t>14a</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0.12</w:t>
            </w:r>
          </w:p>
        </w:tc>
        <w:tc>
          <w:tcPr>
            <w:tcW w:w="557"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16</w:t>
            </w:r>
          </w:p>
        </w:tc>
        <w:tc>
          <w:tcPr>
            <w:tcW w:w="557" w:type="dxa"/>
            <w:tcBorders/>
          </w:tcPr>
          <w:p>
            <w:pPr>
              <w:pStyle w:val="MDPI42tablebody"/>
              <w:spacing w:lineRule="auto" w:line="240"/>
              <w:rPr>
                <w:sz w:val="15"/>
                <w:szCs w:val="15"/>
              </w:rPr>
            </w:pPr>
            <w:r>
              <w:rPr>
                <w:sz w:val="15"/>
                <w:szCs w:val="15"/>
              </w:rPr>
              <w:t>0.5</w:t>
            </w:r>
          </w:p>
        </w:tc>
        <w:tc>
          <w:tcPr>
            <w:tcW w:w="793" w:type="dxa"/>
            <w:tcBorders/>
          </w:tcPr>
          <w:p>
            <w:pPr>
              <w:pStyle w:val="MDPI42tablebody"/>
              <w:spacing w:lineRule="auto" w:line="240"/>
              <w:rPr>
                <w:sz w:val="15"/>
                <w:szCs w:val="15"/>
              </w:rPr>
            </w:pPr>
            <w:r>
              <w:rPr>
                <w:sz w:val="15"/>
                <w:szCs w:val="15"/>
              </w:rPr>
              <w:t>2</w:t>
            </w:r>
          </w:p>
        </w:tc>
      </w:tr>
      <w:tr>
        <w:trPr/>
        <w:tc>
          <w:tcPr>
            <w:tcW w:w="1247" w:type="dxa"/>
            <w:tcBorders/>
          </w:tcPr>
          <w:p>
            <w:pPr>
              <w:pStyle w:val="MDPI42tablebody"/>
              <w:spacing w:lineRule="auto" w:line="240"/>
              <w:rPr>
                <w:b/>
                <w:b/>
                <w:bCs/>
                <w:sz w:val="15"/>
                <w:szCs w:val="15"/>
              </w:rPr>
            </w:pPr>
            <w:r>
              <w:rPr>
                <w:b/>
                <w:bCs/>
                <w:sz w:val="15"/>
                <w:szCs w:val="15"/>
              </w:rPr>
              <w:t>14b</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0.25</w:t>
            </w:r>
          </w:p>
        </w:tc>
        <w:tc>
          <w:tcPr>
            <w:tcW w:w="557"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4</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&gt;32</w:t>
            </w:r>
          </w:p>
        </w:tc>
        <w:tc>
          <w:tcPr>
            <w:tcW w:w="557" w:type="dxa"/>
            <w:tcBorders/>
          </w:tcPr>
          <w:p>
            <w:pPr>
              <w:pStyle w:val="MDPI42tablebody"/>
              <w:spacing w:lineRule="auto" w:line="240"/>
              <w:rPr>
                <w:sz w:val="15"/>
                <w:szCs w:val="15"/>
              </w:rPr>
            </w:pPr>
            <w:r>
              <w:rPr>
                <w:sz w:val="15"/>
                <w:szCs w:val="15"/>
              </w:rPr>
              <w:t>1</w:t>
            </w:r>
          </w:p>
        </w:tc>
        <w:tc>
          <w:tcPr>
            <w:tcW w:w="793" w:type="dxa"/>
            <w:tcBorders/>
          </w:tcPr>
          <w:p>
            <w:pPr>
              <w:pStyle w:val="MDPI42tablebody"/>
              <w:spacing w:lineRule="auto" w:line="240"/>
              <w:rPr>
                <w:sz w:val="15"/>
                <w:szCs w:val="15"/>
              </w:rPr>
            </w:pPr>
            <w:r>
              <w:rPr>
                <w:sz w:val="15"/>
                <w:szCs w:val="15"/>
              </w:rPr>
              <w:t>8</w:t>
            </w:r>
          </w:p>
        </w:tc>
      </w:tr>
      <w:tr>
        <w:trPr/>
        <w:tc>
          <w:tcPr>
            <w:tcW w:w="1247" w:type="dxa"/>
            <w:tcBorders/>
          </w:tcPr>
          <w:p>
            <w:pPr>
              <w:pStyle w:val="MDPI42tablebody"/>
              <w:spacing w:lineRule="auto" w:line="240"/>
              <w:rPr>
                <w:b/>
                <w:b/>
                <w:bCs/>
                <w:sz w:val="15"/>
                <w:szCs w:val="15"/>
              </w:rPr>
            </w:pPr>
            <w:r>
              <w:rPr>
                <w:b/>
                <w:bCs/>
                <w:sz w:val="15"/>
                <w:szCs w:val="15"/>
              </w:rPr>
              <w:t>14c</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7"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8</w:t>
            </w:r>
          </w:p>
        </w:tc>
        <w:tc>
          <w:tcPr>
            <w:tcW w:w="557" w:type="dxa"/>
            <w:tcBorders/>
          </w:tcPr>
          <w:p>
            <w:pPr>
              <w:pStyle w:val="MDPI42tablebody"/>
              <w:spacing w:lineRule="auto" w:line="240"/>
              <w:rPr>
                <w:sz w:val="15"/>
                <w:szCs w:val="15"/>
              </w:rPr>
            </w:pPr>
            <w:r>
              <w:rPr>
                <w:sz w:val="15"/>
                <w:szCs w:val="15"/>
              </w:rPr>
              <w:t>0.25</w:t>
            </w:r>
          </w:p>
        </w:tc>
        <w:tc>
          <w:tcPr>
            <w:tcW w:w="793" w:type="dxa"/>
            <w:tcBorders/>
          </w:tcPr>
          <w:p>
            <w:pPr>
              <w:pStyle w:val="MDPI42tablebody"/>
              <w:spacing w:lineRule="auto" w:line="240"/>
              <w:rPr>
                <w:sz w:val="15"/>
                <w:szCs w:val="15"/>
              </w:rPr>
            </w:pPr>
            <w:r>
              <w:rPr>
                <w:sz w:val="15"/>
                <w:szCs w:val="15"/>
              </w:rPr>
              <w:t>1</w:t>
            </w:r>
          </w:p>
        </w:tc>
      </w:tr>
      <w:tr>
        <w:trPr/>
        <w:tc>
          <w:tcPr>
            <w:tcW w:w="1247" w:type="dxa"/>
            <w:tcBorders/>
          </w:tcPr>
          <w:p>
            <w:pPr>
              <w:pStyle w:val="MDPI42tablebody"/>
              <w:spacing w:lineRule="auto" w:line="240"/>
              <w:rPr>
                <w:b/>
                <w:b/>
                <w:bCs/>
                <w:sz w:val="15"/>
                <w:szCs w:val="15"/>
              </w:rPr>
            </w:pPr>
            <w:r>
              <w:rPr>
                <w:b/>
                <w:bCs/>
                <w:sz w:val="15"/>
                <w:szCs w:val="15"/>
              </w:rPr>
              <w:t>14d</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2</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0.12</w:t>
            </w:r>
          </w:p>
        </w:tc>
        <w:tc>
          <w:tcPr>
            <w:tcW w:w="557" w:type="dxa"/>
            <w:tcBorders/>
          </w:tcPr>
          <w:p>
            <w:pPr>
              <w:pStyle w:val="MDPI42tablebody"/>
              <w:spacing w:lineRule="auto" w:line="240"/>
              <w:rPr/>
            </w:pPr>
            <w:r>
              <w:rPr>
                <w:sz w:val="15"/>
                <w:szCs w:val="15"/>
              </w:rPr>
              <w:t>0.25</w:t>
            </w:r>
          </w:p>
        </w:tc>
        <w:tc>
          <w:tcPr>
            <w:tcW w:w="556" w:type="dxa"/>
            <w:tcBorders/>
          </w:tcPr>
          <w:p>
            <w:pPr>
              <w:pStyle w:val="MDPI42tablebody"/>
              <w:spacing w:lineRule="auto" w:line="240"/>
              <w:rPr>
                <w:sz w:val="15"/>
                <w:szCs w:val="15"/>
              </w:rPr>
            </w:pPr>
            <w:r>
              <w:rPr>
                <w:sz w:val="15"/>
                <w:szCs w:val="15"/>
              </w:rPr>
              <w:t>8</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sz w:val="15"/>
                <w:szCs w:val="15"/>
              </w:rPr>
            </w:pPr>
            <w:r>
              <w:rPr>
                <w:sz w:val="15"/>
                <w:szCs w:val="15"/>
              </w:rPr>
              <w:t>16</w:t>
            </w:r>
          </w:p>
        </w:tc>
        <w:tc>
          <w:tcPr>
            <w:tcW w:w="557" w:type="dxa"/>
            <w:tcBorders/>
          </w:tcPr>
          <w:p>
            <w:pPr>
              <w:pStyle w:val="MDPI42tablebody"/>
              <w:spacing w:lineRule="auto" w:line="240"/>
              <w:rPr>
                <w:sz w:val="15"/>
                <w:szCs w:val="15"/>
              </w:rPr>
            </w:pPr>
            <w:r>
              <w:rPr>
                <w:sz w:val="15"/>
                <w:szCs w:val="15"/>
              </w:rPr>
              <w:t>0.5</w:t>
            </w:r>
          </w:p>
        </w:tc>
        <w:tc>
          <w:tcPr>
            <w:tcW w:w="793" w:type="dxa"/>
            <w:tcBorders/>
          </w:tcPr>
          <w:p>
            <w:pPr>
              <w:pStyle w:val="MDPI42tablebody"/>
              <w:spacing w:lineRule="auto" w:line="240"/>
              <w:rPr>
                <w:sz w:val="15"/>
                <w:szCs w:val="15"/>
              </w:rPr>
            </w:pPr>
            <w:r>
              <w:rPr>
                <w:sz w:val="15"/>
                <w:szCs w:val="15"/>
              </w:rPr>
              <w:t>1</w:t>
            </w:r>
          </w:p>
        </w:tc>
      </w:tr>
      <w:tr>
        <w:trPr/>
        <w:tc>
          <w:tcPr>
            <w:tcW w:w="1247" w:type="dxa"/>
            <w:tcBorders/>
          </w:tcPr>
          <w:p>
            <w:pPr>
              <w:pStyle w:val="MDPI42tablebody"/>
              <w:spacing w:lineRule="auto" w:line="240"/>
              <w:rPr>
                <w:b/>
                <w:b/>
                <w:bCs/>
                <w:sz w:val="15"/>
                <w:szCs w:val="15"/>
              </w:rPr>
            </w:pPr>
            <w:r>
              <w:rPr>
                <w:b/>
                <w:bCs/>
                <w:sz w:val="15"/>
                <w:szCs w:val="15"/>
              </w:rPr>
              <w:t>16</w:t>
            </w:r>
          </w:p>
        </w:tc>
        <w:tc>
          <w:tcPr>
            <w:tcW w:w="556" w:type="dxa"/>
            <w:tcBorders/>
          </w:tcPr>
          <w:p>
            <w:pPr>
              <w:pStyle w:val="MDPI42tablebody"/>
              <w:spacing w:lineRule="auto" w:line="240"/>
              <w:rPr>
                <w:sz w:val="15"/>
                <w:szCs w:val="15"/>
              </w:rPr>
            </w:pPr>
            <w:r>
              <w:rPr>
                <w:sz w:val="15"/>
                <w:szCs w:val="15"/>
              </w:rPr>
              <w:t>4</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16</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8</w:t>
            </w:r>
          </w:p>
        </w:tc>
        <w:tc>
          <w:tcPr>
            <w:tcW w:w="557"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&gt;32</w:t>
            </w:r>
          </w:p>
        </w:tc>
        <w:tc>
          <w:tcPr>
            <w:tcW w:w="556" w:type="dxa"/>
            <w:tcBorders/>
          </w:tcPr>
          <w:p>
            <w:pPr>
              <w:pStyle w:val="MDPI42tablebody"/>
              <w:spacing w:lineRule="auto" w:line="240"/>
              <w:rPr>
                <w:sz w:val="15"/>
                <w:szCs w:val="15"/>
              </w:rPr>
            </w:pPr>
            <w:r>
              <w:rPr>
                <w:sz w:val="15"/>
                <w:szCs w:val="15"/>
              </w:rPr>
              <w:t>&gt;32</w:t>
            </w:r>
          </w:p>
        </w:tc>
        <w:tc>
          <w:tcPr>
            <w:tcW w:w="557" w:type="dxa"/>
            <w:tcBorders/>
          </w:tcPr>
          <w:p>
            <w:pPr>
              <w:pStyle w:val="MDPI42tablebody"/>
              <w:spacing w:lineRule="auto" w:line="240"/>
              <w:rPr>
                <w:sz w:val="15"/>
                <w:szCs w:val="15"/>
              </w:rPr>
            </w:pPr>
            <w:r>
              <w:rPr>
                <w:sz w:val="15"/>
                <w:szCs w:val="15"/>
              </w:rPr>
              <w:t>&gt;32</w:t>
            </w:r>
          </w:p>
        </w:tc>
        <w:tc>
          <w:tcPr>
            <w:tcW w:w="793" w:type="dxa"/>
            <w:tcBorders/>
          </w:tcPr>
          <w:p>
            <w:pPr>
              <w:pStyle w:val="MDPI42tablebody"/>
              <w:spacing w:lineRule="auto" w:line="240"/>
              <w:rPr>
                <w:sz w:val="15"/>
                <w:szCs w:val="15"/>
              </w:rPr>
            </w:pPr>
            <w:r>
              <w:rPr>
                <w:sz w:val="15"/>
                <w:szCs w:val="15"/>
              </w:rPr>
              <w:t>16</w:t>
            </w:r>
          </w:p>
        </w:tc>
      </w:tr>
      <w:tr>
        <w:trPr/>
        <w:tc>
          <w:tcPr>
            <w:tcW w:w="1247" w:type="dxa"/>
            <w:tcBorders/>
          </w:tcPr>
          <w:p>
            <w:pPr>
              <w:pStyle w:val="MDPI42tablebody"/>
              <w:spacing w:lineRule="auto" w:line="240"/>
              <w:rPr>
                <w:b/>
                <w:b/>
                <w:bCs/>
                <w:sz w:val="15"/>
                <w:szCs w:val="15"/>
              </w:rPr>
            </w:pPr>
            <w:r>
              <w:rPr>
                <w:b/>
                <w:bCs/>
                <w:sz w:val="15"/>
                <w:szCs w:val="15"/>
              </w:rPr>
              <w:t>19a</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0.25</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0.06</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7"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2</w:t>
            </w:r>
          </w:p>
        </w:tc>
        <w:tc>
          <w:tcPr>
            <w:tcW w:w="557" w:type="dxa"/>
            <w:tcBorders/>
          </w:tcPr>
          <w:p>
            <w:pPr>
              <w:pStyle w:val="MDPI42tablebody"/>
              <w:spacing w:lineRule="auto" w:line="240"/>
              <w:rPr>
                <w:sz w:val="15"/>
                <w:szCs w:val="15"/>
              </w:rPr>
            </w:pPr>
            <w:r>
              <w:rPr>
                <w:sz w:val="15"/>
                <w:szCs w:val="15"/>
              </w:rPr>
              <w:t>0.25</w:t>
            </w:r>
          </w:p>
        </w:tc>
        <w:tc>
          <w:tcPr>
            <w:tcW w:w="793" w:type="dxa"/>
            <w:tcBorders/>
          </w:tcPr>
          <w:p>
            <w:pPr>
              <w:pStyle w:val="MDPI42tablebody"/>
              <w:spacing w:lineRule="auto" w:line="240"/>
              <w:rPr>
                <w:sz w:val="15"/>
                <w:szCs w:val="15"/>
              </w:rPr>
            </w:pPr>
            <w:r>
              <w:rPr>
                <w:sz w:val="15"/>
                <w:szCs w:val="15"/>
              </w:rPr>
              <w:t>0.25</w:t>
            </w:r>
          </w:p>
        </w:tc>
      </w:tr>
      <w:tr>
        <w:trPr/>
        <w:tc>
          <w:tcPr>
            <w:tcW w:w="1247" w:type="dxa"/>
            <w:tcBorders/>
          </w:tcPr>
          <w:p>
            <w:pPr>
              <w:pStyle w:val="MDPI42tablebody"/>
              <w:spacing w:lineRule="auto" w:line="240"/>
              <w:rPr>
                <w:b/>
                <w:b/>
                <w:bCs/>
                <w:sz w:val="15"/>
                <w:szCs w:val="15"/>
              </w:rPr>
            </w:pPr>
            <w:r>
              <w:rPr>
                <w:b/>
                <w:bCs/>
                <w:sz w:val="15"/>
                <w:szCs w:val="15"/>
              </w:rPr>
              <w:t>19b</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0.5</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0.12</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7"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1</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tcPr>
          <w:p>
            <w:pPr>
              <w:pStyle w:val="MDPI42tablebody"/>
              <w:spacing w:lineRule="auto" w:line="240"/>
              <w:rPr>
                <w:sz w:val="15"/>
                <w:szCs w:val="15"/>
              </w:rPr>
            </w:pPr>
            <w:r>
              <w:rPr>
                <w:sz w:val="15"/>
                <w:szCs w:val="15"/>
              </w:rPr>
              <w:t>0.06</w:t>
            </w:r>
          </w:p>
        </w:tc>
        <w:tc>
          <w:tcPr>
            <w:tcW w:w="556" w:type="dxa"/>
            <w:tcBorders/>
          </w:tcPr>
          <w:p>
            <w:pPr>
              <w:pStyle w:val="MDPI42tablebody"/>
              <w:spacing w:lineRule="auto" w:line="240"/>
              <w:rPr>
                <w:sz w:val="15"/>
                <w:szCs w:val="15"/>
              </w:rPr>
            </w:pPr>
            <w:r>
              <w:rPr>
                <w:sz w:val="15"/>
                <w:szCs w:val="15"/>
              </w:rPr>
              <w:t>4</w:t>
            </w:r>
          </w:p>
        </w:tc>
        <w:tc>
          <w:tcPr>
            <w:tcW w:w="557" w:type="dxa"/>
            <w:tcBorders/>
          </w:tcPr>
          <w:p>
            <w:pPr>
              <w:pStyle w:val="MDPI42tablebody"/>
              <w:spacing w:lineRule="auto" w:line="240"/>
              <w:rPr>
                <w:sz w:val="15"/>
                <w:szCs w:val="15"/>
              </w:rPr>
            </w:pPr>
            <w:r>
              <w:rPr>
                <w:sz w:val="15"/>
                <w:szCs w:val="15"/>
              </w:rPr>
              <w:t>0.25</w:t>
            </w:r>
          </w:p>
        </w:tc>
        <w:tc>
          <w:tcPr>
            <w:tcW w:w="793" w:type="dxa"/>
            <w:tcBorders/>
          </w:tcPr>
          <w:p>
            <w:pPr>
              <w:pStyle w:val="MDPI42tablebody"/>
              <w:spacing w:lineRule="auto" w:line="240"/>
              <w:rPr>
                <w:sz w:val="15"/>
                <w:szCs w:val="15"/>
              </w:rPr>
            </w:pPr>
            <w:r>
              <w:rPr>
                <w:sz w:val="15"/>
                <w:szCs w:val="15"/>
              </w:rPr>
              <w:t>0.25</w:t>
            </w:r>
          </w:p>
        </w:tc>
      </w:tr>
      <w:tr>
        <w:trPr/>
        <w:tc>
          <w:tcPr>
            <w:tcW w:w="1247" w:type="dxa"/>
            <w:tcBorders>
              <w:bottom w:val="single" w:sz="8" w:space="0" w:color="000000"/>
            </w:tcBorders>
          </w:tcPr>
          <w:p>
            <w:pPr>
              <w:pStyle w:val="MDPI42tablebody"/>
              <w:spacing w:lineRule="auto" w:line="240"/>
              <w:rPr>
                <w:b/>
                <w:b/>
                <w:bCs/>
                <w:sz w:val="15"/>
                <w:szCs w:val="15"/>
              </w:rPr>
            </w:pPr>
            <w:r>
              <w:rPr>
                <w:b/>
                <w:bCs/>
                <w:sz w:val="15"/>
                <w:szCs w:val="15"/>
              </w:rPr>
              <w:t>19c</w:t>
            </w:r>
          </w:p>
        </w:tc>
        <w:tc>
          <w:tcPr>
            <w:tcW w:w="556" w:type="dxa"/>
            <w:tcBorders>
              <w:bottom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bottom w:val="single" w:sz="8" w:space="0" w:color="000000"/>
            </w:tcBorders>
          </w:tcPr>
          <w:p>
            <w:pPr>
              <w:pStyle w:val="MDPI42tablebody"/>
              <w:spacing w:lineRule="auto" w:line="240"/>
              <w:rPr>
                <w:sz w:val="15"/>
                <w:szCs w:val="15"/>
              </w:rPr>
            </w:pPr>
            <w:r>
              <w:rPr>
                <w:sz w:val="15"/>
                <w:szCs w:val="15"/>
              </w:rPr>
              <w:t>0.25</w:t>
            </w:r>
          </w:p>
        </w:tc>
        <w:tc>
          <w:tcPr>
            <w:tcW w:w="556" w:type="dxa"/>
            <w:tcBorders>
              <w:bottom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bottom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bottom w:val="single" w:sz="8" w:space="0" w:color="000000"/>
            </w:tcBorders>
          </w:tcPr>
          <w:p>
            <w:pPr>
              <w:pStyle w:val="MDPI42tablebody"/>
              <w:spacing w:lineRule="auto" w:line="240"/>
              <w:rPr/>
            </w:pPr>
            <w:r>
              <w:rPr>
                <w:sz w:val="15"/>
                <w:szCs w:val="15"/>
              </w:rPr>
              <w:t>0.06</w:t>
            </w:r>
          </w:p>
        </w:tc>
        <w:tc>
          <w:tcPr>
            <w:tcW w:w="556" w:type="dxa"/>
            <w:tcBorders>
              <w:bottom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7" w:type="dxa"/>
            <w:tcBorders>
              <w:bottom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bottom w:val="single" w:sz="8" w:space="0" w:color="000000"/>
            </w:tcBorders>
          </w:tcPr>
          <w:p>
            <w:pPr>
              <w:pStyle w:val="MDPI42tablebody"/>
              <w:spacing w:lineRule="auto" w:line="240"/>
              <w:rPr>
                <w:sz w:val="15"/>
                <w:szCs w:val="15"/>
              </w:rPr>
            </w:pPr>
            <w:r>
              <w:rPr>
                <w:sz w:val="15"/>
                <w:szCs w:val="15"/>
              </w:rPr>
              <w:t>0.5</w:t>
            </w:r>
          </w:p>
        </w:tc>
        <w:tc>
          <w:tcPr>
            <w:tcW w:w="556" w:type="dxa"/>
            <w:tcBorders>
              <w:bottom w:val="single" w:sz="8" w:space="0" w:color="000000"/>
            </w:tcBorders>
          </w:tcPr>
          <w:p>
            <w:pPr>
              <w:pStyle w:val="MDPI42tablebody"/>
              <w:spacing w:lineRule="auto" w:line="240"/>
              <w:rPr>
                <w:sz w:val="15"/>
                <w:szCs w:val="15"/>
              </w:rPr>
            </w:pPr>
            <w:r>
              <w:rPr>
                <w:sz w:val="15"/>
                <w:szCs w:val="15"/>
              </w:rPr>
              <w:t>0.12</w:t>
            </w:r>
          </w:p>
        </w:tc>
        <w:tc>
          <w:tcPr>
            <w:tcW w:w="556" w:type="dxa"/>
            <w:tcBorders>
              <w:bottom w:val="single" w:sz="8" w:space="0" w:color="000000"/>
            </w:tcBorders>
          </w:tcPr>
          <w:p>
            <w:pPr>
              <w:pStyle w:val="MDPI42tablebody"/>
              <w:spacing w:lineRule="auto" w:line="240"/>
              <w:rPr/>
            </w:pPr>
            <w:r>
              <w:rPr>
                <w:rFonts w:cs="Times New Roman" w:ascii="Times New Roman" w:hAnsi="Times New Roman"/>
                <w:sz w:val="15"/>
                <w:szCs w:val="15"/>
              </w:rPr>
              <w:t>≤</w:t>
            </w:r>
            <w:r>
              <w:rPr>
                <w:sz w:val="15"/>
                <w:szCs w:val="15"/>
              </w:rPr>
              <w:t>0.03</w:t>
            </w:r>
          </w:p>
        </w:tc>
        <w:tc>
          <w:tcPr>
            <w:tcW w:w="556" w:type="dxa"/>
            <w:tcBorders>
              <w:bottom w:val="single" w:sz="8" w:space="0" w:color="000000"/>
            </w:tcBorders>
          </w:tcPr>
          <w:p>
            <w:pPr>
              <w:pStyle w:val="MDPI42tablebody"/>
              <w:spacing w:lineRule="auto" w:line="240"/>
              <w:rPr>
                <w:sz w:val="15"/>
                <w:szCs w:val="15"/>
              </w:rPr>
            </w:pPr>
            <w:r>
              <w:rPr>
                <w:sz w:val="15"/>
                <w:szCs w:val="15"/>
              </w:rPr>
              <w:t>0.06</w:t>
            </w:r>
          </w:p>
        </w:tc>
        <w:tc>
          <w:tcPr>
            <w:tcW w:w="556" w:type="dxa"/>
            <w:tcBorders>
              <w:bottom w:val="single" w:sz="8" w:space="0" w:color="000000"/>
            </w:tcBorders>
          </w:tcPr>
          <w:p>
            <w:pPr>
              <w:pStyle w:val="MDPI42tablebody"/>
              <w:spacing w:lineRule="auto" w:line="240"/>
              <w:rPr>
                <w:sz w:val="15"/>
                <w:szCs w:val="15"/>
              </w:rPr>
            </w:pPr>
            <w:r>
              <w:rPr>
                <w:sz w:val="15"/>
                <w:szCs w:val="15"/>
              </w:rPr>
              <w:t>2</w:t>
            </w:r>
          </w:p>
        </w:tc>
        <w:tc>
          <w:tcPr>
            <w:tcW w:w="557" w:type="dxa"/>
            <w:tcBorders>
              <w:bottom w:val="single" w:sz="8" w:space="0" w:color="000000"/>
            </w:tcBorders>
          </w:tcPr>
          <w:p>
            <w:pPr>
              <w:pStyle w:val="MDPI42tablebody"/>
              <w:spacing w:lineRule="auto" w:line="240"/>
              <w:rPr>
                <w:sz w:val="15"/>
                <w:szCs w:val="15"/>
              </w:rPr>
            </w:pPr>
            <w:r>
              <w:rPr>
                <w:sz w:val="15"/>
                <w:szCs w:val="15"/>
              </w:rPr>
              <w:t>0.25</w:t>
            </w:r>
          </w:p>
        </w:tc>
        <w:tc>
          <w:tcPr>
            <w:tcW w:w="793" w:type="dxa"/>
            <w:tcBorders>
              <w:bottom w:val="single" w:sz="8" w:space="0" w:color="000000"/>
            </w:tcBorders>
          </w:tcPr>
          <w:p>
            <w:pPr>
              <w:pStyle w:val="MDPI42tablebody"/>
              <w:spacing w:lineRule="auto" w:line="240"/>
              <w:rPr>
                <w:sz w:val="15"/>
                <w:szCs w:val="15"/>
              </w:rPr>
            </w:pPr>
            <w:r>
              <w:rPr>
                <w:sz w:val="15"/>
                <w:szCs w:val="15"/>
              </w:rPr>
              <w:t>0.5</w:t>
            </w:r>
          </w:p>
        </w:tc>
      </w:tr>
    </w:tbl>
    <w:p>
      <w:pPr>
        <w:pStyle w:val="MDPI31text"/>
        <w:spacing w:before="120" w:after="0"/>
        <w:rPr/>
      </w:pPr>
      <w:r>
        <w:rPr/>
        <w:t xml:space="preserve">Metronidazole, a 5-nitroimidazole, is one of the most important drugs for the treatment of anaerobic bacterial infections. The activity of metronidazole against this panel was inconsistent with virtually no activity against </w:t>
      </w:r>
      <w:r>
        <w:rPr>
          <w:i/>
          <w:iCs/>
        </w:rPr>
        <w:t>Lactobacillus acidophilus</w:t>
      </w:r>
      <w:r>
        <w:rPr/>
        <w:t xml:space="preserve"> (La), </w:t>
      </w:r>
      <w:r>
        <w:rPr>
          <w:i/>
          <w:iCs/>
        </w:rPr>
        <w:t>Peptostreptococcus micros</w:t>
      </w:r>
      <w:r>
        <w:rPr/>
        <w:t xml:space="preserve"> (Pm), </w:t>
      </w:r>
      <w:r>
        <w:rPr>
          <w:i/>
          <w:iCs/>
        </w:rPr>
        <w:t>Propionibacterium acnes</w:t>
      </w:r>
      <w:r>
        <w:rPr/>
        <w:t xml:space="preserve"> (Pas) and </w:t>
      </w:r>
      <w:r>
        <w:rPr>
          <w:i/>
          <w:iCs/>
        </w:rPr>
        <w:t>Veillonella parvula</w:t>
      </w:r>
      <w:r>
        <w:rPr/>
        <w:t xml:space="preserve"> (Vp). Pretomanid, a 4-nitroimidazole, exhibited a similar spectrum of activity against this panel as metronidazole but with higher MICs. Linezolid was active against all the strains with MICs ranging from 0.06 to 2 μg/mL against the 13 anaerobic bacteria. Interestingly, the 1:1 combination of linezolid and pretomanid was about one dilution less active than linezolid, virtually reflecting the activity of linezolid in the mixture. Pretomanid did not appear to make any contribution to the activity of the combination.</w:t>
      </w:r>
    </w:p>
    <w:p>
      <w:pPr>
        <w:pStyle w:val="MDPI31text"/>
        <w:spacing w:before="120" w:after="0"/>
        <w:rPr/>
      </w:pPr>
      <w:r>
        <w:rPr/>
        <w:t xml:space="preserve">Compound </w:t>
      </w:r>
      <w:r>
        <w:rPr>
          <w:b/>
          <w:bCs/>
        </w:rPr>
        <w:t>5</w:t>
      </w:r>
      <w:r>
        <w:rPr/>
        <w:t xml:space="preserve">, a conjugate molecule between linezolid and metronidazole, a 5-nitroimidazole, appeared to be more potent than either of its precursor antibiotics against all strains tested with MICs ranging from 0.06 to 1 μg/mL. The apparent synergistic effect of the 4-nitroimidazole-oxazolidione conjugate was more profound. The majority of the 12 compounds were significantly more potent than the combination of linezolid and pretomanid with the exception of compound </w:t>
      </w:r>
      <w:r>
        <w:rPr>
          <w:b/>
          <w:bCs/>
        </w:rPr>
        <w:t>16</w:t>
      </w:r>
      <w:r>
        <w:rPr/>
        <w:t>. Several compounds (</w:t>
      </w:r>
      <w:r>
        <w:rPr>
          <w:b/>
          <w:bCs/>
        </w:rPr>
        <w:t>8a</w:t>
      </w:r>
      <w:r>
        <w:rPr/>
        <w:t xml:space="preserve">, </w:t>
      </w:r>
      <w:r>
        <w:rPr>
          <w:b/>
          <w:bCs/>
        </w:rPr>
        <w:t>8b</w:t>
      </w:r>
      <w:r>
        <w:rPr/>
        <w:t xml:space="preserve">, </w:t>
      </w:r>
      <w:r>
        <w:rPr>
          <w:b/>
          <w:bCs/>
        </w:rPr>
        <w:t>11a</w:t>
      </w:r>
      <w:r>
        <w:rPr/>
        <w:t xml:space="preserve">, </w:t>
      </w:r>
      <w:r>
        <w:rPr>
          <w:b/>
          <w:bCs/>
        </w:rPr>
        <w:t>14c</w:t>
      </w:r>
      <w:r>
        <w:rPr/>
        <w:t xml:space="preserve">, </w:t>
      </w:r>
      <w:r>
        <w:rPr>
          <w:b/>
          <w:bCs/>
        </w:rPr>
        <w:t>19a</w:t>
      </w:r>
      <w:r>
        <w:rPr/>
        <w:t xml:space="preserve">, </w:t>
      </w:r>
      <w:r>
        <w:rPr>
          <w:b/>
          <w:bCs/>
        </w:rPr>
        <w:t>19b</w:t>
      </w:r>
      <w:r>
        <w:rPr/>
        <w:t xml:space="preserve"> and </w:t>
      </w:r>
      <w:r>
        <w:rPr>
          <w:b/>
          <w:bCs/>
        </w:rPr>
        <w:t>19c</w:t>
      </w:r>
      <w:r>
        <w:rPr/>
        <w:t>) were 10-100 folds more potent against the majority of the tested strains than the combination.</w:t>
      </w:r>
    </w:p>
    <w:p>
      <w:pPr>
        <w:pStyle w:val="MDPI31text"/>
        <w:spacing w:before="120" w:after="0"/>
        <w:rPr/>
      </w:pPr>
      <w:r>
        <w:rPr/>
        <w:t xml:space="preserve">The underlying mechanism for the apparent synergistic effect of this conjugate series is still unclear. A number of hypotheses are currently under consideration. The first hypothesis is that conjugation of a nitroimidazole to the oxazolidinone simply makes the oxazolidinone more potent. The nitroimidazole group plays a role of a substituent that make the oxazolidinone bind to the ribosomal RNA better. This hypnosis appears less plausible as the synergistic effect was only observed with anaerobic bacteria. We did not observe parallel improvement of potency against aerobic bacteria </w:t>
      </w:r>
      <w:r>
        <w:rPr>
          <w:i/>
          <w:iCs/>
        </w:rPr>
        <w:t>Enterococcus faecium</w:t>
      </w:r>
      <w:r>
        <w:rPr/>
        <w:t xml:space="preserve"> and </w:t>
      </w:r>
      <w:r>
        <w:rPr>
          <w:i/>
          <w:iCs/>
        </w:rPr>
        <w:t>Staphylococcus aureus</w:t>
      </w:r>
      <w:r>
        <w:rPr/>
        <w:t xml:space="preserve"> (Table </w:t>
      </w:r>
      <w:r>
        <w:rPr>
          <w:color w:val="0070C0"/>
        </w:rPr>
        <w:t>2</w:t>
      </w:r>
      <w:r>
        <w:rPr/>
        <w:t xml:space="preserve">). The second hypothesis is that the conjugate molecules bring additional nitromidazole inside of the cells by better penetration or avoidance of efflux. A third hypothesis is that nitroimidazole moiety acts synergistically when conjugated to an oxazolidinone pharmacophore. The high binding affinity of the oxazolidinone moiety to ribosomes or ribosomal components could bring the reactive species generated from the nitroimidazole moiety to the close affinity of the transcription/translation machinery and make them work more efficiently. This includes the possibility for irreversible covalent linking to ribosome or other enzymes associated with intrinsic oxazolidinone resistance. The last two hypotheses are supported by the mechanism of action study which indicated that both the nitroimidazole and the oxazolidinone functions contribute the antibacterial activity inside a </w:t>
      </w:r>
      <w:r>
        <w:rPr>
          <w:i/>
          <w:iCs/>
        </w:rPr>
        <w:t xml:space="preserve">M. </w:t>
      </w:r>
      <w:r>
        <w:rPr>
          <w:i/>
          <w:iCs/>
          <w:color w:val="000000"/>
        </w:rPr>
        <w:t>tuberculosis</w:t>
      </w:r>
      <w:r>
        <w:rPr>
          <w:color w:val="000000"/>
        </w:rPr>
        <w:t xml:space="preserve"> cell (Table 1).</w:t>
      </w:r>
    </w:p>
    <w:p>
      <w:pPr>
        <w:pStyle w:val="MDPI21heading1"/>
        <w:rPr/>
      </w:pPr>
      <w:r>
        <w:rPr/>
        <w:t>3. Experimental</w:t>
      </w:r>
    </w:p>
    <w:p>
      <w:pPr>
        <w:pStyle w:val="MDPI22heading2"/>
        <w:rPr>
          <w:lang w:val="en-US" w:eastAsia="de-DE"/>
        </w:rPr>
      </w:pPr>
      <w:r>
        <w:rPr>
          <w:rFonts w:eastAsia="DengXian;等线"/>
          <w:lang w:val="en-US" w:eastAsia="zh-CN"/>
        </w:rPr>
        <w:t>3.1. Chemistry</w:t>
      </w:r>
    </w:p>
    <w:p>
      <w:pPr>
        <w:pStyle w:val="MDPI31text"/>
        <w:spacing w:before="120" w:after="0"/>
        <w:rPr/>
      </w:pPr>
      <w:r>
        <w:rPr>
          <w:b/>
          <w:bCs/>
        </w:rPr>
        <w:t>General</w:t>
      </w:r>
      <w:r>
        <w:rPr/>
        <w:t xml:space="preserve">: Reference compounds linezolid, levofloxacin and metronidazole were purchased from ChemPacific or Sigma-Aldrich. Pretomanid (PA-824) and compound </w:t>
      </w:r>
      <w:r>
        <w:rPr>
          <w:b/>
          <w:bCs/>
        </w:rPr>
        <w:t>5</w:t>
      </w:r>
      <w:r>
        <w:rPr/>
        <w:t xml:space="preserve"> were prepared according to published procedures [</w:t>
      </w:r>
      <w:r>
        <w:rPr>
          <w:color w:val="0070C0"/>
        </w:rPr>
        <w:t>7</w:t>
      </w:r>
      <w:r>
        <w:rPr/>
        <w:t>]. All other compounds were synthesized by TenNor Therapeutics.</w:t>
      </w:r>
    </w:p>
    <w:p>
      <w:pPr>
        <w:pStyle w:val="MDPI31text"/>
        <w:spacing w:before="120" w:after="0"/>
        <w:rPr/>
      </w:pPr>
      <w:r>
        <w:rPr/>
        <w:t>All starting materials are either purchased from commercial sources or prepared according to published procedures. Operations involving moisture and/or oxygen sensitive materials are conducted under an atmosphere of nitrogen. Flash chromatography is performed using silica gel 60 as normal phase adsorbent or C18 silica gel as reverse phase adsorbent. Nuclear magnetic resonance (NMR) spectra are recorded on a Varian 400 MHz magnetic resonance spectrometer. 1H NMR chemical shift are given in parts per million (</w:t>
      </w:r>
      <w:r>
        <w:rPr>
          <w:i/>
          <w:iCs/>
        </w:rPr>
        <w:t>δ</w:t>
      </w:r>
      <w:r>
        <w:rPr/>
        <w:t xml:space="preserve">) downfield from TMS. </w:t>
      </w:r>
      <w:r>
        <w:rPr>
          <w:vertAlign w:val="superscript"/>
        </w:rPr>
        <w:t>1</w:t>
      </w:r>
      <w:r>
        <w:rPr/>
        <w:t>H NMR information is tabulated in the following format: number of protons, multiplicity (</w:t>
      </w:r>
      <w:r>
        <w:rPr>
          <w:i/>
          <w:iCs/>
        </w:rPr>
        <w:t>s</w:t>
      </w:r>
      <w:r>
        <w:rPr/>
        <w:t xml:space="preserve">, singlet; </w:t>
      </w:r>
      <w:r>
        <w:rPr>
          <w:i/>
          <w:iCs/>
        </w:rPr>
        <w:t>d</w:t>
      </w:r>
      <w:r>
        <w:rPr/>
        <w:t xml:space="preserve">, doublet; </w:t>
      </w:r>
      <w:r>
        <w:rPr>
          <w:i/>
          <w:iCs/>
        </w:rPr>
        <w:t>t</w:t>
      </w:r>
      <w:r>
        <w:rPr/>
        <w:t xml:space="preserve">, triplet; </w:t>
      </w:r>
      <w:r>
        <w:rPr>
          <w:i/>
          <w:iCs/>
        </w:rPr>
        <w:t>q</w:t>
      </w:r>
      <w:r>
        <w:rPr/>
        <w:t xml:space="preserve">, quartet; </w:t>
      </w:r>
      <w:r>
        <w:rPr>
          <w:i/>
          <w:iCs/>
        </w:rPr>
        <w:t>m</w:t>
      </w:r>
      <w:r>
        <w:rPr/>
        <w:t xml:space="preserve">, multiplet; </w:t>
      </w:r>
      <w:r>
        <w:rPr>
          <w:i/>
          <w:iCs/>
        </w:rPr>
        <w:t>td</w:t>
      </w:r>
      <w:r>
        <w:rPr/>
        <w:t xml:space="preserve">, triplet of doublet; </w:t>
      </w:r>
      <w:r>
        <w:rPr>
          <w:i/>
          <w:iCs/>
        </w:rPr>
        <w:t>dt</w:t>
      </w:r>
      <w:r>
        <w:rPr/>
        <w:t>, doublet of triplet), coupling constant(s) (</w:t>
      </w:r>
      <w:r>
        <w:rPr>
          <w:i/>
          <w:iCs/>
        </w:rPr>
        <w:t>J</w:t>
      </w:r>
      <w:r>
        <w:rPr/>
        <w:t xml:space="preserve">) in hertz. The prefix app is occasionally applied in cases where the true signal multiplicity is unresolved, and prefix </w:t>
      </w:r>
      <w:r>
        <w:rPr>
          <w:i/>
          <w:iCs/>
        </w:rPr>
        <w:t>br</w:t>
      </w:r>
      <w:r>
        <w:rPr/>
        <w:t xml:space="preserve"> indicates a broad signal. High performance liquid chromatography (HPLC) analysis for the final compound is performed on Agilent 1100 instrument using a Waters Xterra RP18 column (5 μm, 4.6 mm × 250 mm) and gradient elution (solvent A, 20 mM NaH</w:t>
      </w:r>
      <w:r>
        <w:rPr>
          <w:vertAlign w:val="subscript"/>
        </w:rPr>
        <w:t>2</w:t>
      </w:r>
      <w:r>
        <w:rPr/>
        <w:t xml:space="preserve">PO4/acetonitrile, 60:40 v/v; solvent B, acetonitrile). HPLC purities for the final compound are </w:t>
      </w:r>
      <w:r>
        <w:rPr>
          <w:rFonts w:cs="Times New Roman" w:ascii="Times New Roman" w:hAnsi="Times New Roman"/>
        </w:rPr>
        <w:t>≥</w:t>
      </w:r>
      <w:r>
        <w:rPr/>
        <w:t>95%.</w:t>
      </w:r>
    </w:p>
    <w:p>
      <w:pPr>
        <w:pStyle w:val="MDPI31text"/>
        <w:spacing w:before="120" w:after="0"/>
        <w:rPr>
          <w:szCs w:val="20"/>
        </w:rPr>
      </w:pPr>
      <w:r>
        <w:rPr>
          <w:b/>
          <w:bCs/>
        </w:rPr>
        <w:t>(</w:t>
      </w:r>
      <w:r>
        <w:rPr>
          <w:b/>
          <w:bCs/>
          <w:i/>
        </w:rPr>
        <w:t>R</w:t>
      </w:r>
      <w:r>
        <w:rPr>
          <w:b/>
          <w:bCs/>
        </w:rPr>
        <w:t>)-3-(3-fluoro-4-(6-(((</w:t>
      </w:r>
      <w:r>
        <w:rPr>
          <w:b/>
          <w:bCs/>
          <w:i/>
        </w:rPr>
        <w:t>S</w:t>
      </w:r>
      <w:r>
        <w:rPr>
          <w:b/>
          <w:bCs/>
        </w:rPr>
        <w:t>)-2-nitro-6,7-dihydro-5</w:t>
      </w:r>
      <w:r>
        <w:rPr>
          <w:b/>
          <w:bCs/>
          <w:i/>
        </w:rPr>
        <w:t>H</w:t>
      </w:r>
      <w:r>
        <w:rPr>
          <w:b/>
          <w:bCs/>
        </w:rPr>
        <w:t>-imidazo[2,1-</w:t>
      </w:r>
      <w:r>
        <w:rPr>
          <w:b/>
          <w:bCs/>
          <w:i/>
        </w:rPr>
        <w:t>b</w:t>
      </w:r>
      <w:r>
        <w:rPr>
          <w:b/>
          <w:bCs/>
        </w:rPr>
        <w:t>][1,3]oxazin-6-yl)oxy)pyridin-3-yl)phenyl)-5-(hydroxymethyl)oxazolidin-2-one (8a)</w:t>
      </w:r>
      <w:r>
        <w:rPr/>
        <w:t xml:space="preserve"> [</w:t>
      </w:r>
      <w:r>
        <w:rPr>
          <w:color w:val="0070C0"/>
        </w:rPr>
        <w:t>11</w:t>
      </w:r>
      <w:r>
        <w:rPr/>
        <w:t>]. To a solution of (</w:t>
      </w:r>
      <w:r>
        <w:rPr>
          <w:i/>
          <w:iCs/>
        </w:rPr>
        <w:t>S</w:t>
      </w:r>
      <w:r>
        <w:rPr/>
        <w:t>)-6-((5-bromopyridin-2-yl)oxy)-2-nitro-6,7-dihydro-5</w:t>
      </w:r>
      <w:r>
        <w:rPr>
          <w:i/>
          <w:iCs/>
        </w:rPr>
        <w:t>H</w:t>
      </w:r>
      <w:r>
        <w:rPr/>
        <w:t>-imidazo[2,1-</w:t>
      </w:r>
      <w:r>
        <w:rPr>
          <w:i/>
          <w:iCs/>
        </w:rPr>
        <w:t>b</w:t>
      </w:r>
      <w:r>
        <w:rPr/>
        <w:t>][1,3]oxazine (1.01g, 2.96 mmol) and (</w:t>
      </w:r>
      <w:r>
        <w:rPr>
          <w:i/>
          <w:iCs/>
        </w:rPr>
        <w:t>R</w:t>
      </w:r>
      <w:r>
        <w:rPr/>
        <w:t>)-3-(3-fluoro-4-(4,4,5,5-tetramethyl-1,3,2-dioxaborolan-2-yl)phenyl)-5-(hydroxymethyl) -oxazolidin-2-onein DMF (30 mL) was added a solution of K</w:t>
      </w:r>
      <w:r>
        <w:rPr>
          <w:vertAlign w:val="subscript"/>
        </w:rPr>
        <w:t>2</w:t>
      </w:r>
      <w:r>
        <w:rPr/>
        <w:t>CO</w:t>
      </w:r>
      <w:r>
        <w:rPr>
          <w:vertAlign w:val="subscript"/>
        </w:rPr>
        <w:t>3</w:t>
      </w:r>
      <w:r>
        <w:rPr/>
        <w:t xml:space="preserve"> (0.90 g, 6.51 mmol) in water (1 mL) and the mixture was purged with nitrogen. Pd(PPh</w:t>
      </w:r>
      <w:r>
        <w:rPr>
          <w:vertAlign w:val="subscript"/>
        </w:rPr>
        <w:t>3</w:t>
      </w:r>
      <w:r>
        <w:rPr/>
        <w:t>)</w:t>
      </w:r>
      <w:r>
        <w:rPr>
          <w:vertAlign w:val="subscript"/>
        </w:rPr>
        <w:t>4</w:t>
      </w:r>
      <w:r>
        <w:rPr/>
        <w:t xml:space="preserve"> (0.17 g, 0.15 mmol) was then added and the mixture was warmed with stirring under nitrogen at 80</w:t>
      </w:r>
      <w:r>
        <w:rPr>
          <w:rFonts w:cs="Times New Roman" w:ascii="Times New Roman" w:hAnsi="Times New Roman"/>
        </w:rPr>
        <w:t>℃</w:t>
      </w:r>
      <w:r>
        <w:rPr/>
        <w:t xml:space="preserve"> for 3 hours. The solvents were completely removed under reduced pressure and the residue was partitioned between EtOAc and water. The extract was worked up and chromatographed on silica. Elution with EtOAc gave fore fractions, then elution with (1:20) MeOH/DCM gave </w:t>
      </w:r>
      <w:r>
        <w:rPr>
          <w:b/>
          <w:bCs/>
        </w:rPr>
        <w:t>8a</w:t>
      </w:r>
      <w:r>
        <w:rPr/>
        <w:t xml:space="preserve"> as a yellow powder (460 mg, 33%). This general procedure of Suzuki coupling reaction was also applied for the synthesis of </w:t>
      </w:r>
      <w:r>
        <w:rPr>
          <w:b/>
          <w:bCs/>
        </w:rPr>
        <w:t>8b</w:t>
      </w:r>
      <w:r>
        <w:rPr/>
        <w:t xml:space="preserve">, </w:t>
      </w:r>
      <w:r>
        <w:rPr>
          <w:b/>
          <w:bCs/>
        </w:rPr>
        <w:t>11b</w:t>
      </w:r>
      <w:r>
        <w:rPr/>
        <w:t xml:space="preserve">, </w:t>
      </w:r>
      <w:r>
        <w:rPr>
          <w:b/>
          <w:bCs/>
        </w:rPr>
        <w:t>14a-d</w:t>
      </w:r>
      <w:r>
        <w:rPr/>
        <w:t xml:space="preserve">, and </w:t>
      </w:r>
      <w:r>
        <w:rPr>
          <w:b/>
          <w:bCs/>
        </w:rPr>
        <w:t>19a-c</w:t>
      </w:r>
      <w:r>
        <w:rPr/>
        <w:t xml:space="preserve">. </w:t>
      </w:r>
      <w:r>
        <w:rPr>
          <w:color w:val="000000"/>
          <w:szCs w:val="20"/>
          <w:vertAlign w:val="superscript"/>
          <w:lang w:eastAsia="en-US" w:bidi="ar-SA"/>
        </w:rPr>
        <w:t>1</w:t>
      </w:r>
      <w:r>
        <w:rPr>
          <w:color w:val="000000"/>
          <w:szCs w:val="20"/>
          <w:lang w:eastAsia="en-US" w:bidi="ar-SA"/>
        </w:rPr>
        <w:t>H NMR (400 MHz, DMS</w:t>
      </w:r>
      <w:r>
        <w:rPr>
          <w:rFonts w:eastAsia="SimSun;宋体"/>
          <w:color w:val="000000"/>
          <w:szCs w:val="20"/>
          <w:lang w:eastAsia="zh-CN" w:bidi="ar-SA"/>
        </w:rPr>
        <w:t xml:space="preserve">O) </w:t>
      </w:r>
      <w:r>
        <w:rPr>
          <w:rFonts w:eastAsia="SimSun;宋体"/>
          <w:i/>
          <w:iCs/>
          <w:color w:val="000000"/>
          <w:szCs w:val="20"/>
          <w:lang w:eastAsia="zh-CN" w:bidi="ar-SA"/>
        </w:rPr>
        <w:t>δ</w:t>
      </w:r>
      <w:r>
        <w:rPr>
          <w:rFonts w:eastAsia="SimSun;宋体"/>
          <w:color w:val="000000"/>
          <w:szCs w:val="20"/>
          <w:lang w:eastAsia="zh-CN" w:bidi="ar-SA"/>
        </w:rPr>
        <w:t xml:space="preserve"> 8.38 (s, 1H), 8.06(s, 1 H), 7.94-7.91 (m, 1 H), 7.63 (dt, </w:t>
      </w:r>
      <w:r>
        <w:rPr>
          <w:rFonts w:eastAsia="SimSun;宋体"/>
          <w:i/>
          <w:iCs/>
          <w:color w:val="000000"/>
          <w:szCs w:val="20"/>
          <w:lang w:eastAsia="zh-CN" w:bidi="ar-SA"/>
        </w:rPr>
        <w:t xml:space="preserve">J </w:t>
      </w:r>
      <w:r>
        <w:rPr>
          <w:rFonts w:eastAsia="SimSun;宋体"/>
          <w:color w:val="000000"/>
          <w:szCs w:val="20"/>
          <w:lang w:eastAsia="zh-CN" w:bidi="ar-SA"/>
        </w:rPr>
        <w:t xml:space="preserve">= 13.6, 2.4 Hz, 1 H), 7.57 (d, </w:t>
      </w:r>
      <w:r>
        <w:rPr>
          <w:rFonts w:eastAsia="SimSun;宋体"/>
          <w:i/>
          <w:iCs/>
          <w:color w:val="000000"/>
          <w:szCs w:val="20"/>
          <w:lang w:eastAsia="zh-CN" w:bidi="ar-SA"/>
        </w:rPr>
        <w:t xml:space="preserve">J </w:t>
      </w:r>
      <w:r>
        <w:rPr>
          <w:rFonts w:eastAsia="SimSun;宋体"/>
          <w:color w:val="000000"/>
          <w:szCs w:val="20"/>
          <w:lang w:eastAsia="zh-CN" w:bidi="ar-SA"/>
        </w:rPr>
        <w:t xml:space="preserve">= 8.8 Hz, 1 H), 7.46-7.43 (m, 1 H), 6.97 (d, </w:t>
      </w:r>
      <w:r>
        <w:rPr>
          <w:rFonts w:eastAsia="SimSun;宋体"/>
          <w:i/>
          <w:iCs/>
          <w:color w:val="000000"/>
          <w:szCs w:val="20"/>
          <w:lang w:eastAsia="zh-CN" w:bidi="ar-SA"/>
        </w:rPr>
        <w:t xml:space="preserve">J </w:t>
      </w:r>
      <w:r>
        <w:rPr>
          <w:rFonts w:eastAsia="SimSun;宋体"/>
          <w:color w:val="000000"/>
          <w:szCs w:val="20"/>
          <w:lang w:eastAsia="zh-CN" w:bidi="ar-SA"/>
        </w:rPr>
        <w:t xml:space="preserve">= 9.2 Hz, 1H), 5.76 (s, 1H), 5.24 (t, </w:t>
      </w:r>
      <w:r>
        <w:rPr>
          <w:rFonts w:eastAsia="SimSun;宋体"/>
          <w:i/>
          <w:iCs/>
          <w:color w:val="000000"/>
          <w:szCs w:val="20"/>
          <w:lang w:eastAsia="zh-CN" w:bidi="ar-SA"/>
        </w:rPr>
        <w:t xml:space="preserve">J </w:t>
      </w:r>
      <w:r>
        <w:rPr>
          <w:rFonts w:eastAsia="SimSun;宋体"/>
          <w:color w:val="000000"/>
          <w:szCs w:val="20"/>
          <w:lang w:eastAsia="zh-CN" w:bidi="ar-SA"/>
        </w:rPr>
        <w:t xml:space="preserve">= 5.6 Hz, 1H), 4.74-4.67 (m,2 H), 4.48-4.38 (m, 2 H), 4.13-4.09 (m, 1 H), 3.86 (dd, </w:t>
      </w:r>
      <w:r>
        <w:rPr>
          <w:rFonts w:eastAsia="SimSun;宋体"/>
          <w:i/>
          <w:iCs/>
          <w:color w:val="000000"/>
          <w:szCs w:val="20"/>
          <w:lang w:eastAsia="zh-CN" w:bidi="ar-SA"/>
        </w:rPr>
        <w:t xml:space="preserve">J </w:t>
      </w:r>
      <w:r>
        <w:rPr>
          <w:rFonts w:eastAsia="SimSun;宋体"/>
          <w:color w:val="000000"/>
          <w:szCs w:val="20"/>
          <w:lang w:eastAsia="zh-CN" w:bidi="ar-SA"/>
        </w:rPr>
        <w:t xml:space="preserve">= 8.8, 6.0 Hz, 1 H), 3.70-3.64 (m, 1H), 3.56-3.52 (m, 1 H), 3.14 (d, </w:t>
      </w:r>
      <w:r>
        <w:rPr>
          <w:rFonts w:eastAsia="SimSun;宋体"/>
          <w:i/>
          <w:iCs/>
          <w:color w:val="000000"/>
          <w:szCs w:val="20"/>
          <w:lang w:eastAsia="zh-CN" w:bidi="ar-SA"/>
        </w:rPr>
        <w:t xml:space="preserve">J </w:t>
      </w:r>
      <w:r>
        <w:rPr>
          <w:rFonts w:eastAsia="SimSun;宋体"/>
          <w:color w:val="000000"/>
          <w:szCs w:val="20"/>
          <w:lang w:eastAsia="zh-CN" w:bidi="ar-SA"/>
        </w:rPr>
        <w:t>= 5.2 Hz, 1 H).</w:t>
      </w:r>
      <w:r>
        <w:rPr>
          <w:rFonts w:eastAsia="SimSun;宋体" w:cs="Times-Roman;Times New Roman"/>
          <w:color w:val="000000"/>
          <w:szCs w:val="20"/>
          <w:lang w:eastAsia="zh-CN" w:bidi="ar-SA"/>
        </w:rPr>
        <w:t xml:space="preserve"> LC-MS (ESI): m/z = 472 (M+H)</w:t>
      </w:r>
      <w:r>
        <w:rPr>
          <w:rFonts w:eastAsia="SimSun;宋体" w:cs="Times-Roman;Times New Roman"/>
          <w:color w:val="000000"/>
          <w:szCs w:val="20"/>
          <w:vertAlign w:val="superscript"/>
          <w:lang w:eastAsia="zh-CN" w:bidi="ar-SA"/>
        </w:rPr>
        <w:t>+</w:t>
      </w:r>
      <w:r>
        <w:rPr>
          <w:rFonts w:eastAsia="SimSun;宋体" w:cs="Times-Roman;Times New Roman"/>
          <w:color w:val="000000"/>
          <w:szCs w:val="20"/>
          <w:lang w:eastAsia="zh-CN" w:bidi="ar-SA"/>
        </w:rPr>
        <w:t>.</w:t>
      </w:r>
    </w:p>
    <w:p>
      <w:pPr>
        <w:pStyle w:val="MDPI31text"/>
        <w:spacing w:before="120" w:after="0"/>
        <w:rPr>
          <w:szCs w:val="24"/>
          <w:vertAlign w:val="subscript"/>
        </w:rPr>
      </w:pPr>
      <w:r>
        <w:rPr>
          <w:b/>
          <w:bCs/>
          <w:szCs w:val="20"/>
        </w:rPr>
        <w:t>(</w:t>
      </w:r>
      <w:r>
        <w:rPr>
          <w:b/>
          <w:bCs/>
          <w:i/>
          <w:iCs/>
          <w:szCs w:val="20"/>
        </w:rPr>
        <w:t>R</w:t>
      </w:r>
      <w:r>
        <w:rPr>
          <w:b/>
          <w:bCs/>
          <w:szCs w:val="20"/>
        </w:rPr>
        <w:t>)-3-(3-fluoro-4-(2-(((</w:t>
      </w:r>
      <w:r>
        <w:rPr>
          <w:b/>
          <w:bCs/>
          <w:i/>
          <w:iCs/>
          <w:szCs w:val="20"/>
        </w:rPr>
        <w:t>S</w:t>
      </w:r>
      <w:r>
        <w:rPr>
          <w:b/>
          <w:bCs/>
          <w:szCs w:val="20"/>
        </w:rPr>
        <w:t>)-2-nitro-6,7-dihydro-5</w:t>
      </w:r>
      <w:r>
        <w:rPr>
          <w:b/>
          <w:bCs/>
          <w:i/>
          <w:iCs/>
          <w:szCs w:val="20"/>
        </w:rPr>
        <w:t>H</w:t>
      </w:r>
      <w:r>
        <w:rPr>
          <w:b/>
          <w:bCs/>
          <w:szCs w:val="20"/>
        </w:rPr>
        <w:t>-imidazo[2,1-</w:t>
      </w:r>
      <w:r>
        <w:rPr>
          <w:b/>
          <w:bCs/>
          <w:i/>
          <w:iCs/>
          <w:szCs w:val="20"/>
        </w:rPr>
        <w:t>b</w:t>
      </w:r>
      <w:r>
        <w:rPr>
          <w:b/>
          <w:bCs/>
          <w:szCs w:val="20"/>
        </w:rPr>
        <w:t>][1,3]oxazin-6-yl)oxy)pyrimidin-5-yl)phenyl)-5-(hydroxymethyl)oxazolidin-2-one (8b)</w:t>
      </w:r>
      <w:r>
        <w:rPr/>
        <w:t xml:space="preserve"> [</w:t>
      </w:r>
      <w:r>
        <w:rPr>
          <w:color w:val="0070C0"/>
        </w:rPr>
        <w:t>11</w:t>
      </w:r>
      <w:r>
        <w:rPr/>
        <w:t>]</w:t>
      </w:r>
      <w:r>
        <w:rPr>
          <w:b/>
          <w:bCs/>
          <w:szCs w:val="20"/>
        </w:rPr>
        <w:t xml:space="preserve">. </w:t>
      </w:r>
      <w:r>
        <w:rPr>
          <w:rFonts w:eastAsia="DengXian;等线"/>
          <w:szCs w:val="24"/>
          <w:lang w:eastAsia="zh-CN"/>
        </w:rPr>
        <w:t xml:space="preserve">The title compound was prepared by following the same procedure as described in preparation of </w:t>
      </w:r>
      <w:r>
        <w:rPr>
          <w:rFonts w:eastAsia="DengXian;等线"/>
          <w:b/>
          <w:bCs/>
          <w:szCs w:val="24"/>
          <w:lang w:eastAsia="zh-CN"/>
        </w:rPr>
        <w:t>8a</w:t>
      </w:r>
      <w:r>
        <w:rPr>
          <w:rFonts w:eastAsia="DengXian;等线"/>
          <w:szCs w:val="24"/>
          <w:lang w:eastAsia="zh-CN"/>
        </w:rPr>
        <w:t xml:space="preserve"> except (</w:t>
      </w:r>
      <w:r>
        <w:rPr>
          <w:rFonts w:eastAsia="DengXian;等线"/>
          <w:i/>
          <w:iCs/>
          <w:szCs w:val="24"/>
          <w:lang w:eastAsia="zh-CN"/>
        </w:rPr>
        <w:t>S</w:t>
      </w:r>
      <w:r>
        <w:rPr>
          <w:rFonts w:eastAsia="DengXian;等线"/>
          <w:szCs w:val="24"/>
          <w:lang w:eastAsia="zh-CN"/>
        </w:rPr>
        <w:t>)-6-((5-bromopyrimidin-2-yl)oxy)-2-nitro-6,7-dihydro-5</w:t>
      </w:r>
      <w:r>
        <w:rPr>
          <w:rFonts w:eastAsia="DengXian;等线"/>
          <w:i/>
          <w:iCs/>
          <w:szCs w:val="24"/>
          <w:lang w:eastAsia="zh-CN"/>
        </w:rPr>
        <w:t>H</w:t>
      </w:r>
      <w:r>
        <w:rPr>
          <w:rFonts w:eastAsia="DengXian;等线"/>
          <w:szCs w:val="24"/>
          <w:lang w:eastAsia="zh-CN"/>
        </w:rPr>
        <w:t>-imidazo[2,1-</w:t>
      </w:r>
      <w:r>
        <w:rPr>
          <w:rFonts w:eastAsia="DengXian;等线"/>
          <w:i/>
          <w:iCs/>
          <w:szCs w:val="24"/>
          <w:lang w:eastAsia="zh-CN"/>
        </w:rPr>
        <w:t>b</w:t>
      </w:r>
      <w:r>
        <w:rPr>
          <w:rFonts w:eastAsia="DengXian;等线"/>
          <w:szCs w:val="24"/>
          <w:lang w:eastAsia="zh-CN"/>
        </w:rPr>
        <w:t>][1,3]oxazine was used instead of (</w:t>
      </w:r>
      <w:r>
        <w:rPr>
          <w:rFonts w:eastAsia="DengXian;等线"/>
          <w:i/>
          <w:iCs/>
          <w:szCs w:val="24"/>
          <w:lang w:eastAsia="zh-CN"/>
        </w:rPr>
        <w:t>S</w:t>
      </w:r>
      <w:r>
        <w:rPr>
          <w:rFonts w:eastAsia="DengXian;等线"/>
          <w:szCs w:val="24"/>
          <w:lang w:eastAsia="zh-CN"/>
        </w:rPr>
        <w:t>)-6-((5-bromopyridin-2-yl)oxy)-2-nitro-6,7-dihydro-5</w:t>
      </w:r>
      <w:r>
        <w:rPr>
          <w:rFonts w:eastAsia="DengXian;等线"/>
          <w:i/>
          <w:iCs/>
          <w:szCs w:val="24"/>
          <w:lang w:eastAsia="zh-CN"/>
        </w:rPr>
        <w:t>H</w:t>
      </w:r>
      <w:r>
        <w:rPr>
          <w:rFonts w:eastAsia="DengXian;等线"/>
          <w:szCs w:val="24"/>
          <w:lang w:eastAsia="zh-CN"/>
        </w:rPr>
        <w:t>-imidazo[2,1-</w:t>
      </w:r>
      <w:r>
        <w:rPr>
          <w:rFonts w:eastAsia="DengXian;等线"/>
          <w:i/>
          <w:iCs/>
          <w:szCs w:val="24"/>
          <w:lang w:eastAsia="zh-CN"/>
        </w:rPr>
        <w:t>b</w:t>
      </w:r>
      <w:r>
        <w:rPr>
          <w:rFonts w:eastAsia="DengXian;等线"/>
          <w:szCs w:val="24"/>
          <w:lang w:eastAsia="zh-CN"/>
        </w:rPr>
        <w:t xml:space="preserve">][1,3]oxazine. </w:t>
      </w:r>
      <w:r>
        <w:rPr>
          <w:szCs w:val="24"/>
        </w:rPr>
        <w:t xml:space="preserve">(580 mg, 41%). </w:t>
      </w:r>
      <w:r>
        <w:rPr>
          <w:szCs w:val="24"/>
          <w:vertAlign w:val="superscript"/>
        </w:rPr>
        <w:t>1</w:t>
      </w:r>
      <w:r>
        <w:rPr>
          <w:szCs w:val="24"/>
        </w:rPr>
        <w:t xml:space="preserve">H NMR (400 MHz, DMSO) </w:t>
      </w:r>
      <w:r>
        <w:rPr>
          <w:rFonts w:eastAsia="SimSun;宋体"/>
          <w:iCs/>
          <w:color w:val="000000"/>
          <w:szCs w:val="20"/>
          <w:lang w:eastAsia="zh-CN" w:bidi="ar-SA"/>
        </w:rPr>
        <w:t>δ</w:t>
      </w:r>
      <w:r>
        <w:rPr>
          <w:szCs w:val="24"/>
        </w:rPr>
        <w:t xml:space="preserve"> 8.86 (s, 2 H), 8.06 (s, 1 H), 7.68 (d, </w:t>
      </w:r>
      <w:r>
        <w:rPr>
          <w:i/>
          <w:iCs/>
          <w:szCs w:val="24"/>
        </w:rPr>
        <w:t>J</w:t>
      </w:r>
      <w:r>
        <w:rPr>
          <w:iCs/>
          <w:szCs w:val="24"/>
        </w:rPr>
        <w:t xml:space="preserve"> </w:t>
      </w:r>
      <w:r>
        <w:rPr>
          <w:szCs w:val="24"/>
        </w:rPr>
        <w:t>= 8.8 Hz, 1</w:t>
      </w:r>
      <w:r>
        <w:rPr>
          <w:rFonts w:eastAsia="DengXian;等线"/>
          <w:szCs w:val="24"/>
          <w:lang w:eastAsia="zh-CN"/>
        </w:rPr>
        <w:t xml:space="preserve"> </w:t>
      </w:r>
      <w:r>
        <w:rPr>
          <w:szCs w:val="24"/>
        </w:rPr>
        <w:t xml:space="preserve">H), 7.66 (t, </w:t>
      </w:r>
      <w:r>
        <w:rPr>
          <w:i/>
          <w:iCs/>
          <w:szCs w:val="24"/>
        </w:rPr>
        <w:t>J</w:t>
      </w:r>
      <w:r>
        <w:rPr>
          <w:iCs/>
          <w:szCs w:val="24"/>
        </w:rPr>
        <w:t xml:space="preserve"> </w:t>
      </w:r>
      <w:r>
        <w:rPr>
          <w:szCs w:val="24"/>
        </w:rPr>
        <w:t xml:space="preserve">= 2.8 Hz, 1 H), 7.47 (dd, </w:t>
      </w:r>
      <w:r>
        <w:rPr>
          <w:i/>
          <w:iCs/>
          <w:szCs w:val="24"/>
        </w:rPr>
        <w:t>J</w:t>
      </w:r>
      <w:r>
        <w:rPr>
          <w:iCs/>
          <w:szCs w:val="24"/>
        </w:rPr>
        <w:t xml:space="preserve"> </w:t>
      </w:r>
      <w:r>
        <w:rPr>
          <w:szCs w:val="24"/>
        </w:rPr>
        <w:t xml:space="preserve">= 8.8, 2.4 Hz, 1H), 5.74 (s, 1 H), 5.23 (t, </w:t>
      </w:r>
      <w:r>
        <w:rPr>
          <w:i/>
          <w:szCs w:val="24"/>
        </w:rPr>
        <w:t>J</w:t>
      </w:r>
      <w:r>
        <w:rPr>
          <w:szCs w:val="24"/>
        </w:rPr>
        <w:t xml:space="preserve"> = 5.6 Hz,1 H), 4.77-4.70 (m, 2 H), 4.47 (s, 1 H), 4.1 1 (t, </w:t>
      </w:r>
      <w:r>
        <w:rPr>
          <w:i/>
          <w:iCs/>
          <w:szCs w:val="24"/>
        </w:rPr>
        <w:t>J</w:t>
      </w:r>
      <w:r>
        <w:rPr>
          <w:iCs/>
          <w:szCs w:val="24"/>
        </w:rPr>
        <w:t xml:space="preserve"> = </w:t>
      </w:r>
      <w:r>
        <w:rPr>
          <w:szCs w:val="24"/>
        </w:rPr>
        <w:t xml:space="preserve">9.0 Hz, 1 H), 3.86 (dd, </w:t>
      </w:r>
      <w:r>
        <w:rPr>
          <w:i/>
          <w:iCs/>
          <w:szCs w:val="24"/>
        </w:rPr>
        <w:t>J</w:t>
      </w:r>
      <w:r>
        <w:rPr>
          <w:iCs/>
          <w:szCs w:val="24"/>
        </w:rPr>
        <w:t xml:space="preserve"> </w:t>
      </w:r>
      <w:r>
        <w:rPr>
          <w:szCs w:val="24"/>
        </w:rPr>
        <w:t>= 8.8, 6.0 Hz, 1H), 3.71-3.65 (m, 1 H), 3.57-3.53 (m, 1 H), 3.38-3.35 (m, 1 H). LC-MS (ESI): m/z = 473 (M+H)</w:t>
      </w:r>
      <w:r>
        <w:rPr>
          <w:szCs w:val="24"/>
          <w:vertAlign w:val="superscript"/>
        </w:rPr>
        <w:t>+</w:t>
      </w:r>
      <w:r>
        <w:rPr>
          <w:szCs w:val="24"/>
        </w:rPr>
        <w:t>.</w:t>
      </w:r>
    </w:p>
    <w:p>
      <w:pPr>
        <w:pStyle w:val="MDPI31text"/>
        <w:spacing w:before="120" w:after="0"/>
        <w:rPr>
          <w:szCs w:val="20"/>
        </w:rPr>
      </w:pPr>
      <w:r>
        <w:rPr>
          <w:b/>
          <w:bCs/>
          <w:i/>
          <w:iCs/>
          <w:szCs w:val="20"/>
        </w:rPr>
        <w:t>N</w:t>
      </w:r>
      <w:r>
        <w:rPr>
          <w:b/>
          <w:bCs/>
          <w:szCs w:val="20"/>
        </w:rPr>
        <w:t>-(((</w:t>
      </w:r>
      <w:r>
        <w:rPr>
          <w:b/>
          <w:bCs/>
          <w:i/>
          <w:iCs/>
          <w:szCs w:val="20"/>
        </w:rPr>
        <w:t>S</w:t>
      </w:r>
      <w:r>
        <w:rPr>
          <w:b/>
          <w:bCs/>
          <w:szCs w:val="20"/>
        </w:rPr>
        <w:t>)-3-(2-fluoro-4'-((((</w:t>
      </w:r>
      <w:r>
        <w:rPr>
          <w:b/>
          <w:bCs/>
          <w:i/>
          <w:iCs/>
          <w:szCs w:val="20"/>
        </w:rPr>
        <w:t>S</w:t>
      </w:r>
      <w:r>
        <w:rPr>
          <w:b/>
          <w:bCs/>
          <w:szCs w:val="20"/>
        </w:rPr>
        <w:t>)-2-nitro-6,7-dihydro-5</w:t>
      </w:r>
      <w:r>
        <w:rPr>
          <w:b/>
          <w:bCs/>
          <w:i/>
          <w:iCs/>
          <w:szCs w:val="20"/>
        </w:rPr>
        <w:t>H</w:t>
      </w:r>
      <w:r>
        <w:rPr>
          <w:b/>
          <w:bCs/>
          <w:szCs w:val="20"/>
        </w:rPr>
        <w:t>-imidazo[2,1-</w:t>
      </w:r>
      <w:r>
        <w:rPr>
          <w:b/>
          <w:bCs/>
          <w:i/>
          <w:iCs/>
          <w:szCs w:val="20"/>
        </w:rPr>
        <w:t>b</w:t>
      </w:r>
      <w:r>
        <w:rPr>
          <w:b/>
          <w:bCs/>
          <w:szCs w:val="20"/>
        </w:rPr>
        <w:t>][1,3]oxazin-6-yl)oxy)methyl)-[1,1'-biphenyl]-4-yl)-2-oxooxazolidin-5-yl)methyl)acetamide (11a)</w:t>
      </w:r>
      <w:r>
        <w:rPr/>
        <w:t xml:space="preserve"> [</w:t>
      </w:r>
      <w:r>
        <w:rPr>
          <w:color w:val="0070C0"/>
        </w:rPr>
        <w:t>11</w:t>
      </w:r>
      <w:r>
        <w:rPr/>
        <w:t>]</w:t>
      </w:r>
      <w:r>
        <w:rPr>
          <w:b/>
          <w:bCs/>
          <w:szCs w:val="20"/>
        </w:rPr>
        <w:t>.</w:t>
      </w:r>
      <w:r>
        <w:rPr>
          <w:szCs w:val="20"/>
        </w:rPr>
        <w:t xml:space="preserve"> </w:t>
      </w:r>
      <w:r>
        <w:rPr>
          <w:rFonts w:eastAsia="SimSun;宋体"/>
          <w:color w:val="000000"/>
          <w:kern w:val="2"/>
          <w:szCs w:val="20"/>
          <w:lang w:eastAsia="zh-CN" w:bidi="ar-SA"/>
        </w:rPr>
        <w:t>To a solution of (</w:t>
      </w:r>
      <w:r>
        <w:rPr>
          <w:rFonts w:eastAsia="SimSun;宋体"/>
          <w:i/>
          <w:iCs/>
          <w:color w:val="000000"/>
          <w:kern w:val="2"/>
          <w:szCs w:val="20"/>
          <w:lang w:eastAsia="zh-CN" w:bidi="ar-SA"/>
        </w:rPr>
        <w:t>S</w:t>
      </w:r>
      <w:r>
        <w:rPr>
          <w:rFonts w:eastAsia="SimSun;宋体"/>
          <w:color w:val="000000"/>
          <w:kern w:val="2"/>
          <w:szCs w:val="20"/>
          <w:lang w:eastAsia="zh-CN" w:bidi="ar-SA"/>
        </w:rPr>
        <w:t>)-6-((4-bromobenzyl)oxy)-2-nitro-6,7-dihydro-5</w:t>
      </w:r>
      <w:r>
        <w:rPr>
          <w:rFonts w:eastAsia="SimSun;宋体"/>
          <w:i/>
          <w:iCs/>
          <w:color w:val="000000"/>
          <w:kern w:val="2"/>
          <w:szCs w:val="20"/>
          <w:lang w:eastAsia="zh-CN" w:bidi="ar-SA"/>
        </w:rPr>
        <w:t>H</w:t>
      </w:r>
      <w:r>
        <w:rPr>
          <w:rFonts w:eastAsia="SimSun;宋体"/>
          <w:color w:val="000000"/>
          <w:kern w:val="2"/>
          <w:szCs w:val="20"/>
          <w:lang w:eastAsia="zh-CN" w:bidi="ar-SA"/>
        </w:rPr>
        <w:t>-imidazo[2,1-</w:t>
      </w:r>
      <w:r>
        <w:rPr>
          <w:rFonts w:eastAsia="SimSun;宋体"/>
          <w:i/>
          <w:iCs/>
          <w:color w:val="000000"/>
          <w:kern w:val="2"/>
          <w:szCs w:val="20"/>
          <w:lang w:eastAsia="zh-CN" w:bidi="ar-SA"/>
        </w:rPr>
        <w:t>b</w:t>
      </w:r>
      <w:r>
        <w:rPr>
          <w:rFonts w:eastAsia="SimSun;宋体"/>
          <w:color w:val="000000"/>
          <w:kern w:val="2"/>
          <w:szCs w:val="20"/>
          <w:lang w:eastAsia="zh-CN" w:bidi="ar-SA"/>
        </w:rPr>
        <w:t>][1,3]oxazine (70.4 mg, 0.21 mmol) and (</w:t>
      </w:r>
      <w:r>
        <w:rPr>
          <w:rFonts w:eastAsia="SimSun;宋体"/>
          <w:i/>
          <w:color w:val="000000"/>
          <w:kern w:val="2"/>
          <w:szCs w:val="20"/>
          <w:lang w:eastAsia="zh-CN" w:bidi="ar-SA"/>
        </w:rPr>
        <w:t>S</w:t>
      </w:r>
      <w:r>
        <w:rPr>
          <w:rFonts w:eastAsia="SimSun;宋体"/>
          <w:color w:val="000000"/>
          <w:kern w:val="2"/>
          <w:szCs w:val="20"/>
          <w:lang w:eastAsia="zh-CN" w:bidi="ar-SA"/>
        </w:rPr>
        <w:t>)-</w:t>
      </w:r>
      <w:r>
        <w:rPr>
          <w:rFonts w:eastAsia="SimSun;宋体"/>
          <w:i/>
          <w:color w:val="000000"/>
          <w:kern w:val="2"/>
          <w:szCs w:val="20"/>
          <w:lang w:eastAsia="zh-CN" w:bidi="ar-SA"/>
        </w:rPr>
        <w:t>N</w:t>
      </w:r>
      <w:r>
        <w:rPr>
          <w:rFonts w:eastAsia="SimSun;宋体"/>
          <w:color w:val="000000"/>
          <w:kern w:val="2"/>
          <w:szCs w:val="20"/>
          <w:lang w:eastAsia="zh-CN" w:bidi="ar-SA"/>
        </w:rPr>
        <w:t>-((3-(3-fluoro-4-(4,4,5,5-tetramethyl-1,3,2-dioxaborolan-2-yl)phenyl)-2-oxooxazolidin-5-yl) methyl)acetamide (86.0 mg, 0.227 mmol) in DMF (8 mL) was added a solution of Na</w:t>
      </w:r>
      <w:r>
        <w:rPr>
          <w:rFonts w:eastAsia="SimSun;宋体"/>
          <w:color w:val="000000"/>
          <w:kern w:val="2"/>
          <w:szCs w:val="20"/>
          <w:vertAlign w:val="subscript"/>
          <w:lang w:eastAsia="zh-CN" w:bidi="ar-SA"/>
        </w:rPr>
        <w:t>2</w:t>
      </w:r>
      <w:r>
        <w:rPr>
          <w:rFonts w:eastAsia="SimSun;宋体"/>
          <w:color w:val="000000"/>
          <w:kern w:val="2"/>
          <w:szCs w:val="20"/>
          <w:lang w:eastAsia="zh-CN" w:bidi="ar-SA"/>
        </w:rPr>
        <w:t>CO</w:t>
      </w:r>
      <w:r>
        <w:rPr>
          <w:rFonts w:eastAsia="SimSun;宋体"/>
          <w:color w:val="000000"/>
          <w:kern w:val="2"/>
          <w:szCs w:val="20"/>
          <w:vertAlign w:val="subscript"/>
          <w:lang w:eastAsia="zh-CN" w:bidi="ar-SA"/>
        </w:rPr>
        <w:t xml:space="preserve">3 </w:t>
      </w:r>
      <w:r>
        <w:rPr>
          <w:rFonts w:eastAsia="SimSun;宋体"/>
          <w:color w:val="000000"/>
          <w:kern w:val="2"/>
          <w:szCs w:val="20"/>
          <w:lang w:eastAsia="zh-CN" w:bidi="ar-SA"/>
        </w:rPr>
        <w:t>57.0 mg, 0.538 mmol) in water (1 mL) and the mixture was purged with nitrogen. Pd(PPh</w:t>
      </w:r>
      <w:r>
        <w:rPr>
          <w:rFonts w:eastAsia="SimSun;宋体"/>
          <w:color w:val="000000"/>
          <w:kern w:val="2"/>
          <w:szCs w:val="20"/>
          <w:vertAlign w:val="subscript"/>
          <w:lang w:eastAsia="zh-CN" w:bidi="ar-SA"/>
        </w:rPr>
        <w:t>3</w:t>
      </w:r>
      <w:r>
        <w:rPr>
          <w:rFonts w:eastAsia="SimSun;宋体"/>
          <w:color w:val="000000"/>
          <w:kern w:val="2"/>
          <w:szCs w:val="20"/>
          <w:lang w:eastAsia="zh-CN" w:bidi="ar-SA"/>
        </w:rPr>
        <w:t>)</w:t>
      </w:r>
      <w:r>
        <w:rPr>
          <w:rFonts w:eastAsia="SimSun;宋体"/>
          <w:color w:val="000000"/>
          <w:kern w:val="2"/>
          <w:szCs w:val="20"/>
          <w:vertAlign w:val="subscript"/>
          <w:lang w:eastAsia="zh-CN" w:bidi="ar-SA"/>
        </w:rPr>
        <w:t>4</w:t>
      </w:r>
      <w:r>
        <w:rPr>
          <w:rFonts w:eastAsia="SimSun;宋体"/>
          <w:color w:val="000000"/>
          <w:kern w:val="2"/>
          <w:szCs w:val="20"/>
          <w:lang w:eastAsia="zh-CN" w:bidi="ar-SA"/>
        </w:rPr>
        <w:t xml:space="preserve"> (24.0 mg, 0.021 mmol) was then added and the mixture was warmed with stirring under nitrogen at 85</w:t>
      </w:r>
      <w:r>
        <w:rPr>
          <w:rFonts w:eastAsia="SimSun;宋体"/>
          <w:color w:val="000000"/>
          <w:kern w:val="2"/>
          <w:szCs w:val="20"/>
          <w:vertAlign w:val="superscript"/>
          <w:lang w:eastAsia="zh-CN" w:bidi="ar-SA"/>
        </w:rPr>
        <w:t>o</w:t>
      </w:r>
      <w:r>
        <w:rPr>
          <w:rFonts w:eastAsia="SimSun;宋体"/>
          <w:color w:val="000000"/>
          <w:kern w:val="2"/>
          <w:szCs w:val="20"/>
          <w:lang w:eastAsia="zh-CN" w:bidi="ar-SA"/>
        </w:rPr>
        <w:t>C for 90 min. The solvents were completely removed under reduced pressure</w:t>
      </w:r>
      <w:r>
        <w:rPr>
          <w:rFonts w:eastAsia="SimSun;宋体"/>
          <w:i/>
          <w:color w:val="000000"/>
          <w:kern w:val="2"/>
          <w:szCs w:val="20"/>
          <w:lang w:eastAsia="zh-CN" w:bidi="ar-SA"/>
        </w:rPr>
        <w:t xml:space="preserve"> </w:t>
      </w:r>
      <w:r>
        <w:rPr>
          <w:rFonts w:eastAsia="SimSun;宋体"/>
          <w:color w:val="000000"/>
          <w:kern w:val="2"/>
          <w:szCs w:val="20"/>
          <w:lang w:eastAsia="zh-CN" w:bidi="ar-SA"/>
        </w:rPr>
        <w:t xml:space="preserve">and the residue was partitioned between EtOAc and water. The extract was worked up and chromatographed on silica. Elution with EtOAc gave fore fractions, then elution with (1:9) MeOH/EtOAc gave </w:t>
      </w:r>
      <w:r>
        <w:rPr>
          <w:rFonts w:eastAsia="SimSun;宋体"/>
          <w:b/>
          <w:bCs/>
          <w:color w:val="000000"/>
          <w:kern w:val="2"/>
          <w:szCs w:val="20"/>
          <w:lang w:eastAsia="zh-CN" w:bidi="ar-SA"/>
        </w:rPr>
        <w:t>11a</w:t>
      </w:r>
      <w:r>
        <w:rPr>
          <w:rFonts w:eastAsia="SimSun;宋体"/>
          <w:color w:val="000000"/>
          <w:kern w:val="2"/>
          <w:szCs w:val="20"/>
          <w:lang w:eastAsia="zh-CN" w:bidi="ar-SA"/>
        </w:rPr>
        <w:t xml:space="preserve"> as an off-white powder. (59.4 mg, 44%). </w:t>
      </w:r>
      <w:r>
        <w:rPr>
          <w:rFonts w:eastAsia="SimSun;宋体"/>
          <w:color w:val="000000"/>
          <w:kern w:val="2"/>
          <w:szCs w:val="20"/>
          <w:vertAlign w:val="superscript"/>
          <w:lang w:eastAsia="zh-CN" w:bidi="ar-SA"/>
        </w:rPr>
        <w:t>1</w:t>
      </w:r>
      <w:r>
        <w:rPr>
          <w:rFonts w:eastAsia="SimSun;宋体"/>
          <w:color w:val="000000"/>
          <w:kern w:val="2"/>
          <w:szCs w:val="20"/>
          <w:lang w:eastAsia="zh-CN" w:bidi="ar-SA"/>
        </w:rPr>
        <w:t>H NMR (</w:t>
      </w:r>
      <w:r>
        <w:rPr>
          <w:rFonts w:eastAsia="SimSun;宋体"/>
          <w:caps/>
          <w:color w:val="000000"/>
          <w:kern w:val="2"/>
          <w:szCs w:val="20"/>
          <w:lang w:eastAsia="zh-CN" w:bidi="ar-SA"/>
        </w:rPr>
        <w:t>DMSO-d6</w:t>
      </w:r>
      <w:r>
        <w:rPr>
          <w:rFonts w:eastAsia="SimSun;宋体"/>
          <w:color w:val="000000"/>
          <w:kern w:val="2"/>
          <w:szCs w:val="20"/>
          <w:lang w:eastAsia="zh-CN" w:bidi="ar-SA"/>
        </w:rPr>
        <w:t xml:space="preserve">, 400 MHz) </w:t>
      </w:r>
      <w:r>
        <w:rPr>
          <w:rFonts w:eastAsia="SimSun;宋体"/>
          <w:iCs/>
          <w:color w:val="000000"/>
          <w:szCs w:val="20"/>
          <w:lang w:eastAsia="zh-CN" w:bidi="ar-SA"/>
        </w:rPr>
        <w:t>δ</w:t>
      </w:r>
      <w:r>
        <w:rPr>
          <w:rFonts w:eastAsia="SimSun;宋体"/>
          <w:color w:val="000000"/>
          <w:szCs w:val="20"/>
          <w:lang w:eastAsia="zh-CN" w:bidi="ar-SA"/>
        </w:rPr>
        <w:t xml:space="preserve"> 8.22 (</w:t>
      </w:r>
      <w:r>
        <w:rPr>
          <w:rFonts w:eastAsia="SimSun;宋体"/>
          <w:color w:val="000000"/>
          <w:kern w:val="2"/>
          <w:szCs w:val="20"/>
          <w:lang w:eastAsia="zh-CN" w:bidi="ar-SA"/>
        </w:rPr>
        <w:t xml:space="preserve">t, </w:t>
      </w:r>
      <w:r>
        <w:rPr>
          <w:rFonts w:eastAsia="SimSun;宋体"/>
          <w:i/>
          <w:color w:val="000000"/>
          <w:kern w:val="2"/>
          <w:szCs w:val="20"/>
          <w:lang w:eastAsia="zh-CN" w:bidi="ar-SA"/>
        </w:rPr>
        <w:t xml:space="preserve">J </w:t>
      </w:r>
      <w:r>
        <w:rPr>
          <w:rFonts w:eastAsia="SimSun;宋体"/>
          <w:color w:val="000000"/>
          <w:kern w:val="2"/>
          <w:szCs w:val="20"/>
          <w:lang w:eastAsia="zh-CN" w:bidi="ar-SA"/>
        </w:rPr>
        <w:t xml:space="preserve">=5.8 Hz, 1H), 8.07 (s, 1H), 7.60-7.50 (m, 4H), 7.39 (dd, </w:t>
      </w:r>
      <w:r>
        <w:rPr>
          <w:rFonts w:eastAsia="SimSun;宋体"/>
          <w:i/>
          <w:color w:val="000000"/>
          <w:kern w:val="2"/>
          <w:szCs w:val="20"/>
          <w:lang w:eastAsia="zh-CN" w:bidi="ar-SA"/>
        </w:rPr>
        <w:t>J</w:t>
      </w:r>
      <w:r>
        <w:rPr>
          <w:rFonts w:eastAsia="SimSun;宋体"/>
          <w:color w:val="000000"/>
          <w:kern w:val="2"/>
          <w:szCs w:val="20"/>
          <w:lang w:eastAsia="zh-CN" w:bidi="ar-SA"/>
        </w:rPr>
        <w:t xml:space="preserve"> =8.6, 2.2 Hz, 1H), 7.15 (d, </w:t>
      </w:r>
      <w:r>
        <w:rPr>
          <w:rFonts w:eastAsia="SimSun;宋体"/>
          <w:i/>
          <w:color w:val="000000"/>
          <w:kern w:val="2"/>
          <w:szCs w:val="20"/>
          <w:lang w:eastAsia="zh-CN" w:bidi="ar-SA"/>
        </w:rPr>
        <w:t>J</w:t>
      </w:r>
      <w:r>
        <w:rPr>
          <w:rFonts w:eastAsia="SimSun;宋体"/>
          <w:color w:val="000000"/>
          <w:kern w:val="2"/>
          <w:szCs w:val="20"/>
          <w:lang w:eastAsia="zh-CN" w:bidi="ar-SA"/>
        </w:rPr>
        <w:t xml:space="preserve"> =8.8 Hz, 2H), 5.29 (br s, 1H), 4.79-4.70 (m, </w:t>
      </w:r>
      <w:r>
        <w:rPr>
          <w:rFonts w:eastAsia="SimSun;宋体"/>
          <w:caps/>
          <w:color w:val="000000"/>
          <w:kern w:val="2"/>
          <w:szCs w:val="20"/>
          <w:lang w:eastAsia="zh-CN" w:bidi="ar-SA"/>
        </w:rPr>
        <w:t>2H), 4.70-</w:t>
      </w:r>
      <w:r>
        <w:rPr>
          <w:rFonts w:eastAsia="SimSun;宋体"/>
          <w:color w:val="000000"/>
          <w:kern w:val="2"/>
          <w:szCs w:val="20"/>
          <w:lang w:eastAsia="zh-CN" w:bidi="ar-SA"/>
        </w:rPr>
        <w:t xml:space="preserve">4.64 (m, 2H), 4.42 (dd, </w:t>
      </w:r>
      <w:r>
        <w:rPr>
          <w:rFonts w:eastAsia="SimSun;宋体"/>
          <w:i/>
          <w:color w:val="000000"/>
          <w:kern w:val="2"/>
          <w:szCs w:val="20"/>
          <w:lang w:eastAsia="zh-CN" w:bidi="ar-SA"/>
        </w:rPr>
        <w:t>J</w:t>
      </w:r>
      <w:r>
        <w:rPr>
          <w:rFonts w:eastAsia="SimSun;宋体"/>
          <w:color w:val="000000"/>
          <w:kern w:val="2"/>
          <w:szCs w:val="20"/>
          <w:lang w:eastAsia="zh-CN" w:bidi="ar-SA"/>
        </w:rPr>
        <w:t xml:space="preserve"> =13.8, 3.2 Hz, 1H), 4.35 (br d, </w:t>
      </w:r>
      <w:r>
        <w:rPr>
          <w:rFonts w:eastAsia="SimSun;宋体"/>
          <w:i/>
          <w:color w:val="000000"/>
          <w:kern w:val="2"/>
          <w:szCs w:val="20"/>
          <w:lang w:eastAsia="zh-CN" w:bidi="ar-SA"/>
        </w:rPr>
        <w:t xml:space="preserve">J </w:t>
      </w:r>
      <w:r>
        <w:rPr>
          <w:rFonts w:eastAsia="SimSun;宋体"/>
          <w:color w:val="000000"/>
          <w:kern w:val="2"/>
          <w:szCs w:val="20"/>
          <w:lang w:eastAsia="zh-CN" w:bidi="ar-SA"/>
        </w:rPr>
        <w:t xml:space="preserve">=13.8 Hz, 1H), 4.16 (t, </w:t>
      </w:r>
      <w:r>
        <w:rPr>
          <w:rFonts w:eastAsia="SimSun;宋体"/>
          <w:i/>
          <w:color w:val="000000"/>
          <w:kern w:val="2"/>
          <w:szCs w:val="20"/>
          <w:lang w:eastAsia="zh-CN" w:bidi="ar-SA"/>
        </w:rPr>
        <w:t>J</w:t>
      </w:r>
      <w:r>
        <w:rPr>
          <w:rFonts w:eastAsia="SimSun;宋体"/>
          <w:color w:val="000000"/>
          <w:kern w:val="2"/>
          <w:szCs w:val="20"/>
          <w:lang w:eastAsia="zh-CN" w:bidi="ar-SA"/>
        </w:rPr>
        <w:t xml:space="preserve"> =9.0 Hz, 1H), </w:t>
      </w:r>
      <w:r>
        <w:rPr>
          <w:rFonts w:eastAsia="SimSun;宋体"/>
          <w:caps/>
          <w:color w:val="000000"/>
          <w:kern w:val="2"/>
          <w:szCs w:val="20"/>
          <w:lang w:eastAsia="zh-CN" w:bidi="ar-SA"/>
        </w:rPr>
        <w:t xml:space="preserve">40.03 (m, 1H), </w:t>
      </w:r>
      <w:r>
        <w:rPr>
          <w:rFonts w:eastAsia="SimSun;宋体"/>
          <w:color w:val="000000"/>
          <w:kern w:val="2"/>
          <w:szCs w:val="20"/>
          <w:lang w:eastAsia="zh-CN" w:bidi="ar-SA"/>
        </w:rPr>
        <w:t xml:space="preserve">3.78 (dd, </w:t>
      </w:r>
      <w:r>
        <w:rPr>
          <w:rFonts w:eastAsia="SimSun;宋体"/>
          <w:i/>
          <w:color w:val="000000"/>
          <w:kern w:val="2"/>
          <w:szCs w:val="20"/>
          <w:lang w:eastAsia="zh-CN" w:bidi="ar-SA"/>
        </w:rPr>
        <w:t>J</w:t>
      </w:r>
      <w:r>
        <w:rPr>
          <w:rFonts w:eastAsia="SimSun;宋体"/>
          <w:color w:val="000000"/>
          <w:kern w:val="2"/>
          <w:szCs w:val="20"/>
          <w:lang w:eastAsia="zh-CN" w:bidi="ar-SA"/>
        </w:rPr>
        <w:t xml:space="preserve"> =9.2, 6.5 Hz, 1H), 3.43 (t, </w:t>
      </w:r>
      <w:r>
        <w:rPr>
          <w:rFonts w:eastAsia="SimSun;宋体"/>
          <w:i/>
          <w:color w:val="000000"/>
          <w:kern w:val="2"/>
          <w:szCs w:val="20"/>
          <w:lang w:eastAsia="zh-CN" w:bidi="ar-SA"/>
        </w:rPr>
        <w:t>J</w:t>
      </w:r>
      <w:r>
        <w:rPr>
          <w:rFonts w:eastAsia="SimSun;宋体"/>
          <w:color w:val="000000"/>
          <w:kern w:val="2"/>
          <w:szCs w:val="20"/>
          <w:lang w:eastAsia="zh-CN" w:bidi="ar-SA"/>
        </w:rPr>
        <w:t xml:space="preserve"> =5.5 Hz, 2H), 1.84 (s, 3H).</w:t>
      </w:r>
      <w:r>
        <w:rPr>
          <w:rFonts w:eastAsia="SimSun;宋体"/>
          <w:caps/>
          <w:color w:val="000000"/>
          <w:kern w:val="2"/>
          <w:szCs w:val="20"/>
          <w:lang w:eastAsia="zh-CN" w:bidi="ar-SA"/>
        </w:rPr>
        <w:t xml:space="preserve"> </w:t>
      </w:r>
      <w:r>
        <w:rPr>
          <w:rFonts w:eastAsia="SimSun;宋体" w:cs="Times-Roman;Times New Roman"/>
          <w:color w:val="000000"/>
          <w:szCs w:val="20"/>
          <w:lang w:eastAsia="zh-CN" w:bidi="ar-SA"/>
        </w:rPr>
        <w:t>LC-MS (ESI): m/z = 526 (M+H)</w:t>
      </w:r>
      <w:r>
        <w:rPr>
          <w:rFonts w:eastAsia="SimSun;宋体" w:cs="Times-Roman;Times New Roman"/>
          <w:color w:val="000000"/>
          <w:szCs w:val="20"/>
          <w:vertAlign w:val="superscript"/>
          <w:lang w:eastAsia="zh-CN" w:bidi="ar-SA"/>
        </w:rPr>
        <w:t>+</w:t>
      </w:r>
      <w:r>
        <w:rPr>
          <w:rFonts w:eastAsia="SimSun;宋体" w:cs="Times-Roman;Times New Roman"/>
          <w:color w:val="000000"/>
          <w:szCs w:val="20"/>
          <w:lang w:eastAsia="zh-CN" w:bidi="ar-SA"/>
        </w:rPr>
        <w:t>.</w:t>
      </w:r>
    </w:p>
    <w:p>
      <w:pPr>
        <w:pStyle w:val="MDPI31text"/>
        <w:spacing w:before="120" w:after="0"/>
        <w:rPr>
          <w:color w:val="000000"/>
          <w:szCs w:val="20"/>
          <w:lang w:eastAsia="en-US" w:bidi="ar-SA"/>
        </w:rPr>
      </w:pPr>
      <w:r>
        <w:rPr>
          <w:rFonts w:eastAsia="SimSun;宋体"/>
          <w:b/>
          <w:bCs/>
          <w:color w:val="000000"/>
          <w:kern w:val="2"/>
          <w:szCs w:val="20"/>
          <w:lang w:eastAsia="zh-CN" w:bidi="ar-SA"/>
        </w:rPr>
        <w:t>(</w:t>
      </w:r>
      <w:r>
        <w:rPr>
          <w:rFonts w:eastAsia="SimSun;宋体"/>
          <w:b/>
          <w:bCs/>
          <w:i/>
          <w:iCs/>
          <w:color w:val="000000"/>
          <w:kern w:val="2"/>
          <w:szCs w:val="20"/>
          <w:lang w:eastAsia="zh-CN" w:bidi="ar-SA"/>
        </w:rPr>
        <w:t>R</w:t>
      </w:r>
      <w:r>
        <w:rPr>
          <w:rFonts w:eastAsia="SimSun;宋体"/>
          <w:b/>
          <w:bCs/>
          <w:color w:val="000000"/>
          <w:kern w:val="2"/>
          <w:szCs w:val="20"/>
          <w:lang w:eastAsia="zh-CN" w:bidi="ar-SA"/>
        </w:rPr>
        <w:t>)-3-(3-fluoro-4-(6-((((</w:t>
      </w:r>
      <w:r>
        <w:rPr>
          <w:rFonts w:eastAsia="SimSun;宋体"/>
          <w:b/>
          <w:bCs/>
          <w:i/>
          <w:iCs/>
          <w:color w:val="000000"/>
          <w:kern w:val="2"/>
          <w:szCs w:val="20"/>
          <w:lang w:eastAsia="zh-CN" w:bidi="ar-SA"/>
        </w:rPr>
        <w:t>S</w:t>
      </w:r>
      <w:r>
        <w:rPr>
          <w:rFonts w:eastAsia="SimSun;宋体"/>
          <w:b/>
          <w:bCs/>
          <w:color w:val="000000"/>
          <w:kern w:val="2"/>
          <w:szCs w:val="20"/>
          <w:lang w:eastAsia="zh-CN" w:bidi="ar-SA"/>
        </w:rPr>
        <w:t>)-2-nitro-6,7-dihydro-5</w:t>
      </w:r>
      <w:r>
        <w:rPr>
          <w:rFonts w:eastAsia="SimSun;宋体"/>
          <w:b/>
          <w:bCs/>
          <w:i/>
          <w:iCs/>
          <w:color w:val="000000"/>
          <w:kern w:val="2"/>
          <w:szCs w:val="20"/>
          <w:lang w:eastAsia="zh-CN" w:bidi="ar-SA"/>
        </w:rPr>
        <w:t>H</w:t>
      </w:r>
      <w:r>
        <w:rPr>
          <w:rFonts w:eastAsia="SimSun;宋体"/>
          <w:b/>
          <w:bCs/>
          <w:color w:val="000000"/>
          <w:kern w:val="2"/>
          <w:szCs w:val="20"/>
          <w:lang w:eastAsia="zh-CN" w:bidi="ar-SA"/>
        </w:rPr>
        <w:t>-imidazo[2,1-</w:t>
      </w:r>
      <w:r>
        <w:rPr>
          <w:rFonts w:eastAsia="SimSun;宋体"/>
          <w:b/>
          <w:bCs/>
          <w:i/>
          <w:iCs/>
          <w:color w:val="000000"/>
          <w:kern w:val="2"/>
          <w:szCs w:val="20"/>
          <w:lang w:eastAsia="zh-CN" w:bidi="ar-SA"/>
        </w:rPr>
        <w:t>b</w:t>
      </w:r>
      <w:r>
        <w:rPr>
          <w:rFonts w:eastAsia="SimSun;宋体"/>
          <w:b/>
          <w:bCs/>
          <w:color w:val="000000"/>
          <w:kern w:val="2"/>
          <w:szCs w:val="20"/>
          <w:lang w:eastAsia="zh-CN" w:bidi="ar-SA"/>
        </w:rPr>
        <w:t>][1,3]oxazin-6-yl)oxy)methyl)pyridin-3-yl)phenyl)-5-(hydroxymethyl)oxazolidin-2-one (11b)</w:t>
      </w:r>
      <w:r>
        <w:rPr/>
        <w:t xml:space="preserve"> [</w:t>
      </w:r>
      <w:r>
        <w:rPr>
          <w:color w:val="0070C0"/>
        </w:rPr>
        <w:t>11</w:t>
      </w:r>
      <w:r>
        <w:rPr/>
        <w:t>]</w:t>
      </w:r>
      <w:r>
        <w:rPr>
          <w:rFonts w:eastAsia="SimSun;宋体"/>
          <w:color w:val="000000"/>
          <w:kern w:val="2"/>
          <w:szCs w:val="20"/>
          <w:lang w:eastAsia="zh-CN" w:bidi="ar-SA"/>
        </w:rPr>
        <w:t xml:space="preserve">. </w:t>
      </w:r>
      <w:r>
        <w:rPr>
          <w:color w:val="000000"/>
          <w:szCs w:val="20"/>
          <w:lang w:eastAsia="en-US" w:bidi="ar-SA"/>
        </w:rPr>
        <w:t xml:space="preserve">The title compound was prepared by following the same procedure as described in preparation of </w:t>
      </w:r>
      <w:r>
        <w:rPr>
          <w:b/>
          <w:color w:val="000000"/>
          <w:szCs w:val="20"/>
          <w:lang w:eastAsia="en-US" w:bidi="ar-SA"/>
        </w:rPr>
        <w:t>8a</w:t>
      </w:r>
      <w:r>
        <w:rPr>
          <w:color w:val="000000"/>
          <w:szCs w:val="20"/>
          <w:lang w:eastAsia="en-US" w:bidi="ar-SA"/>
        </w:rPr>
        <w:t xml:space="preserve"> except (</w:t>
      </w:r>
      <w:r>
        <w:rPr>
          <w:i/>
          <w:iCs/>
          <w:color w:val="000000"/>
          <w:szCs w:val="20"/>
          <w:lang w:eastAsia="en-US" w:bidi="ar-SA"/>
        </w:rPr>
        <w:t>S</w:t>
      </w:r>
      <w:r>
        <w:rPr>
          <w:color w:val="000000"/>
          <w:szCs w:val="20"/>
          <w:lang w:eastAsia="en-US" w:bidi="ar-SA"/>
        </w:rPr>
        <w:t>)-6-((5-bromopyridin-2-yl)methoxy)-2-nitro-6,7-dihydro-5</w:t>
      </w:r>
      <w:r>
        <w:rPr>
          <w:i/>
          <w:iCs/>
          <w:color w:val="000000"/>
          <w:szCs w:val="20"/>
          <w:lang w:eastAsia="en-US" w:bidi="ar-SA"/>
        </w:rPr>
        <w:t>H</w:t>
      </w:r>
      <w:r>
        <w:rPr>
          <w:color w:val="000000"/>
          <w:szCs w:val="20"/>
          <w:lang w:eastAsia="en-US" w:bidi="ar-SA"/>
        </w:rPr>
        <w:t>-imidazo[2,1-</w:t>
      </w:r>
      <w:r>
        <w:rPr>
          <w:i/>
          <w:iCs/>
          <w:color w:val="000000"/>
          <w:szCs w:val="20"/>
          <w:lang w:eastAsia="en-US" w:bidi="ar-SA"/>
        </w:rPr>
        <w:t>b</w:t>
      </w:r>
      <w:r>
        <w:rPr>
          <w:color w:val="000000"/>
          <w:szCs w:val="20"/>
          <w:lang w:eastAsia="en-US" w:bidi="ar-SA"/>
        </w:rPr>
        <w:t>][1,3]oxazine was used instead of (</w:t>
      </w:r>
      <w:r>
        <w:rPr>
          <w:i/>
          <w:iCs/>
          <w:color w:val="000000"/>
          <w:szCs w:val="20"/>
          <w:lang w:eastAsia="en-US" w:bidi="ar-SA"/>
        </w:rPr>
        <w:t>S</w:t>
      </w:r>
      <w:r>
        <w:rPr>
          <w:color w:val="000000"/>
          <w:szCs w:val="20"/>
          <w:lang w:eastAsia="en-US" w:bidi="ar-SA"/>
        </w:rPr>
        <w:t>)-6-((5-bromopyridin-2-yl)oxy)-2-nitro-6,7-dihydro-5</w:t>
      </w:r>
      <w:r>
        <w:rPr>
          <w:i/>
          <w:iCs/>
          <w:color w:val="000000"/>
          <w:szCs w:val="20"/>
          <w:lang w:eastAsia="en-US" w:bidi="ar-SA"/>
        </w:rPr>
        <w:t>H</w:t>
      </w:r>
      <w:r>
        <w:rPr>
          <w:color w:val="000000"/>
          <w:szCs w:val="20"/>
          <w:lang w:eastAsia="en-US" w:bidi="ar-SA"/>
        </w:rPr>
        <w:t>-imidazo[2,1-</w:t>
      </w:r>
      <w:r>
        <w:rPr>
          <w:i/>
          <w:iCs/>
          <w:color w:val="000000"/>
          <w:szCs w:val="20"/>
          <w:lang w:eastAsia="en-US" w:bidi="ar-SA"/>
        </w:rPr>
        <w:t>b</w:t>
      </w:r>
      <w:r>
        <w:rPr>
          <w:color w:val="000000"/>
          <w:szCs w:val="20"/>
          <w:lang w:eastAsia="en-US" w:bidi="ar-SA"/>
        </w:rPr>
        <w:t xml:space="preserve">][1,3]oxazine. (360 mg, 38%). </w:t>
      </w:r>
      <w:r>
        <w:rPr>
          <w:color w:val="000000"/>
          <w:szCs w:val="20"/>
          <w:vertAlign w:val="superscript"/>
          <w:lang w:eastAsia="en-US" w:bidi="ar-SA"/>
        </w:rPr>
        <w:t>1</w:t>
      </w:r>
      <w:r>
        <w:rPr>
          <w:color w:val="000000"/>
          <w:szCs w:val="20"/>
          <w:lang w:eastAsia="en-US" w:bidi="ar-SA"/>
        </w:rPr>
        <w:t xml:space="preserve">H NMR (400 MHz, DMSO) </w:t>
      </w:r>
      <w:r>
        <w:rPr>
          <w:rFonts w:eastAsia="SimSun;宋体"/>
          <w:i/>
          <w:iCs/>
          <w:color w:val="000000"/>
          <w:szCs w:val="20"/>
          <w:lang w:eastAsia="zh-CN" w:bidi="ar-SA"/>
        </w:rPr>
        <w:t>δ</w:t>
      </w:r>
      <w:r>
        <w:rPr>
          <w:color w:val="000000"/>
          <w:szCs w:val="20"/>
          <w:lang w:eastAsia="en-US" w:bidi="ar-SA"/>
        </w:rPr>
        <w:t xml:space="preserve"> 8.68 (s, 1 H), 8.04 (s, 1 H), 7.96 (dt, </w:t>
      </w:r>
      <w:r>
        <w:rPr>
          <w:i/>
          <w:color w:val="000000"/>
          <w:szCs w:val="20"/>
          <w:lang w:eastAsia="en-US" w:bidi="ar-SA"/>
        </w:rPr>
        <w:t>J</w:t>
      </w:r>
      <w:r>
        <w:rPr>
          <w:color w:val="000000"/>
          <w:szCs w:val="20"/>
          <w:lang w:eastAsia="en-US" w:bidi="ar-SA"/>
        </w:rPr>
        <w:t xml:space="preserve"> = 8.8, 1.6 Hz, 1 H),</w:t>
      </w:r>
      <w:r>
        <w:rPr>
          <w:rFonts w:eastAsia="DengXian;等线"/>
          <w:color w:val="000000"/>
          <w:szCs w:val="20"/>
          <w:lang w:eastAsia="zh-CN" w:bidi="ar-SA"/>
        </w:rPr>
        <w:t xml:space="preserve"> </w:t>
      </w:r>
      <w:r>
        <w:rPr>
          <w:color w:val="000000"/>
          <w:szCs w:val="20"/>
          <w:lang w:eastAsia="en-US" w:bidi="ar-SA"/>
        </w:rPr>
        <w:t xml:space="preserve">7.65 (dd, </w:t>
      </w:r>
      <w:r>
        <w:rPr>
          <w:i/>
          <w:color w:val="000000"/>
          <w:szCs w:val="20"/>
          <w:lang w:eastAsia="en-US" w:bidi="ar-SA"/>
        </w:rPr>
        <w:t>J</w:t>
      </w:r>
      <w:r>
        <w:rPr>
          <w:color w:val="000000"/>
          <w:szCs w:val="20"/>
          <w:lang w:eastAsia="en-US" w:bidi="ar-SA"/>
        </w:rPr>
        <w:t xml:space="preserve"> = 13.6, 2.4 Hz, 1 H), 7.60 (d, </w:t>
      </w:r>
      <w:r>
        <w:rPr>
          <w:i/>
          <w:color w:val="000000"/>
          <w:szCs w:val="20"/>
          <w:lang w:eastAsia="en-US" w:bidi="ar-SA"/>
        </w:rPr>
        <w:t>J</w:t>
      </w:r>
      <w:r>
        <w:rPr>
          <w:color w:val="000000"/>
          <w:szCs w:val="20"/>
          <w:lang w:eastAsia="en-US" w:bidi="ar-SA"/>
        </w:rPr>
        <w:t xml:space="preserve"> = 8.8 Hz, IH), 7.46 (dd, </w:t>
      </w:r>
      <w:r>
        <w:rPr>
          <w:i/>
          <w:color w:val="000000"/>
          <w:szCs w:val="20"/>
          <w:lang w:eastAsia="en-US" w:bidi="ar-SA"/>
        </w:rPr>
        <w:t xml:space="preserve">J </w:t>
      </w:r>
      <w:r>
        <w:rPr>
          <w:color w:val="000000"/>
          <w:szCs w:val="20"/>
          <w:lang w:eastAsia="en-US" w:bidi="ar-SA"/>
        </w:rPr>
        <w:t>= 8.4, 2.8 Hz, 2 H), 5.74</w:t>
      </w:r>
      <w:r>
        <w:rPr>
          <w:rFonts w:eastAsia="DengXian;等线"/>
          <w:color w:val="000000"/>
          <w:szCs w:val="20"/>
          <w:lang w:eastAsia="zh-CN" w:bidi="ar-SA"/>
        </w:rPr>
        <w:t xml:space="preserve"> </w:t>
      </w:r>
      <w:r>
        <w:rPr>
          <w:color w:val="000000"/>
          <w:szCs w:val="20"/>
          <w:lang w:eastAsia="en-US" w:bidi="ar-SA"/>
        </w:rPr>
        <w:t xml:space="preserve">(s, 1 H), 5.24 (t, </w:t>
      </w:r>
      <w:r>
        <w:rPr>
          <w:i/>
          <w:color w:val="000000"/>
          <w:szCs w:val="20"/>
          <w:lang w:eastAsia="en-US" w:bidi="ar-SA"/>
        </w:rPr>
        <w:t>J</w:t>
      </w:r>
      <w:r>
        <w:rPr>
          <w:color w:val="000000"/>
          <w:szCs w:val="20"/>
          <w:lang w:eastAsia="en-US" w:bidi="ar-SA"/>
        </w:rPr>
        <w:t xml:space="preserve"> = 5.6 Hz, 1 H), 4.77-4.69 (m, 3 H), 4.48 (d, </w:t>
      </w:r>
      <w:r>
        <w:rPr>
          <w:i/>
          <w:color w:val="000000"/>
          <w:szCs w:val="20"/>
          <w:lang w:eastAsia="en-US" w:bidi="ar-SA"/>
        </w:rPr>
        <w:t>J</w:t>
      </w:r>
      <w:r>
        <w:rPr>
          <w:color w:val="000000"/>
          <w:szCs w:val="20"/>
          <w:lang w:eastAsia="en-US" w:bidi="ar-SA"/>
        </w:rPr>
        <w:t xml:space="preserve"> = 12.0 Hz, 1 H), 4.35-4.22 (m, 3 H), 4.12 (t, </w:t>
      </w:r>
      <w:r>
        <w:rPr>
          <w:i/>
          <w:color w:val="000000"/>
          <w:szCs w:val="20"/>
          <w:lang w:eastAsia="en-US" w:bidi="ar-SA"/>
        </w:rPr>
        <w:t>J</w:t>
      </w:r>
      <w:r>
        <w:rPr>
          <w:color w:val="000000"/>
          <w:szCs w:val="20"/>
          <w:lang w:eastAsia="en-US" w:bidi="ar-SA"/>
        </w:rPr>
        <w:t xml:space="preserve"> = 9.2 Hz, 1 H), 3.86 (dd, </w:t>
      </w:r>
      <w:r>
        <w:rPr>
          <w:i/>
          <w:color w:val="000000"/>
          <w:szCs w:val="20"/>
          <w:lang w:eastAsia="en-US" w:bidi="ar-SA"/>
        </w:rPr>
        <w:t>J</w:t>
      </w:r>
      <w:r>
        <w:rPr>
          <w:color w:val="000000"/>
          <w:szCs w:val="20"/>
          <w:lang w:eastAsia="en-US" w:bidi="ar-SA"/>
        </w:rPr>
        <w:t xml:space="preserve"> = 8.8, 5.6 Hz, 1 H), 3.70-3.65 (m, 1 H), 3.58-3.52 (m, 1 H), 3.16-3.12 (m, 1 H). LC-MS (ESI): m/z = 486 (M+H)</w:t>
      </w:r>
      <w:r>
        <w:rPr>
          <w:color w:val="000000"/>
          <w:szCs w:val="20"/>
          <w:vertAlign w:val="superscript"/>
          <w:lang w:eastAsia="en-US" w:bidi="ar-SA"/>
        </w:rPr>
        <w:t>+</w:t>
      </w:r>
      <w:r>
        <w:rPr>
          <w:color w:val="000000"/>
          <w:szCs w:val="20"/>
          <w:lang w:eastAsia="en-US" w:bidi="ar-SA"/>
        </w:rPr>
        <w:t>.</w:t>
      </w:r>
    </w:p>
    <w:p>
      <w:pPr>
        <w:pStyle w:val="MDPI31text"/>
        <w:spacing w:before="120" w:after="0"/>
        <w:rPr>
          <w:color w:val="000000"/>
          <w:szCs w:val="20"/>
          <w:lang w:eastAsia="en-US" w:bidi="ar-SA"/>
        </w:rPr>
      </w:pPr>
      <w:r>
        <w:rPr>
          <w:b/>
          <w:bCs/>
          <w:szCs w:val="24"/>
        </w:rPr>
        <w:t>(5</w:t>
      </w:r>
      <w:r>
        <w:rPr>
          <w:b/>
          <w:bCs/>
          <w:i/>
          <w:iCs/>
          <w:szCs w:val="24"/>
        </w:rPr>
        <w:t>R</w:t>
      </w:r>
      <w:r>
        <w:rPr>
          <w:b/>
          <w:bCs/>
          <w:szCs w:val="24"/>
        </w:rPr>
        <w:t>)-3-(2-fluoro-4'-((2-methyl-6-nitro-2,3-dihydroimidazo[2,1-</w:t>
      </w:r>
      <w:r>
        <w:rPr>
          <w:b/>
          <w:bCs/>
          <w:i/>
          <w:iCs/>
          <w:szCs w:val="24"/>
        </w:rPr>
        <w:t>b</w:t>
      </w:r>
      <w:r>
        <w:rPr>
          <w:b/>
          <w:bCs/>
          <w:szCs w:val="24"/>
        </w:rPr>
        <w:t>]oxazol-2-yl)methoxy)-[1,1'-biphenyl]-4-yl)-5-(hydroxymethyl)oxazolidin-2-one (14a)</w:t>
      </w:r>
      <w:r>
        <w:rPr>
          <w:szCs w:val="24"/>
        </w:rPr>
        <w:t xml:space="preserve">. The title compound was prepared by following the same procedure as described in preparation of </w:t>
      </w:r>
      <w:r>
        <w:rPr>
          <w:b/>
          <w:bCs/>
          <w:szCs w:val="24"/>
        </w:rPr>
        <w:t>8a</w:t>
      </w:r>
      <w:r>
        <w:rPr>
          <w:szCs w:val="24"/>
        </w:rPr>
        <w:t xml:space="preserve"> except (</w:t>
      </w:r>
      <w:r>
        <w:rPr>
          <w:i/>
          <w:iCs/>
          <w:szCs w:val="24"/>
        </w:rPr>
        <w:t>S</w:t>
      </w:r>
      <w:r>
        <w:rPr>
          <w:szCs w:val="24"/>
        </w:rPr>
        <w:t>)-6-((5-bromopyridin-2-yl)methoxy)-2-nitro-6,7-dihydro-5</w:t>
      </w:r>
      <w:r>
        <w:rPr>
          <w:i/>
          <w:iCs/>
          <w:szCs w:val="24"/>
        </w:rPr>
        <w:t>H</w:t>
      </w:r>
      <w:r>
        <w:rPr>
          <w:szCs w:val="24"/>
        </w:rPr>
        <w:t>-imidazo[2,1-</w:t>
      </w:r>
      <w:r>
        <w:rPr>
          <w:i/>
          <w:iCs/>
          <w:szCs w:val="24"/>
        </w:rPr>
        <w:t>b</w:t>
      </w:r>
      <w:r>
        <w:rPr>
          <w:szCs w:val="24"/>
        </w:rPr>
        <w:t>][1,3]oxazine was used instead of (</w:t>
      </w:r>
      <w:r>
        <w:rPr>
          <w:i/>
          <w:iCs/>
          <w:szCs w:val="24"/>
        </w:rPr>
        <w:t>S</w:t>
      </w:r>
      <w:r>
        <w:rPr>
          <w:szCs w:val="24"/>
        </w:rPr>
        <w:t>)-6-((5-bromopyridin-2-yl)oxy)-2-nitro-6,7-dihydro-5</w:t>
      </w:r>
      <w:r>
        <w:rPr>
          <w:i/>
          <w:iCs/>
          <w:szCs w:val="24"/>
        </w:rPr>
        <w:t>H</w:t>
      </w:r>
      <w:r>
        <w:rPr>
          <w:szCs w:val="24"/>
        </w:rPr>
        <w:t>-imidazo[2,1-</w:t>
      </w:r>
      <w:r>
        <w:rPr>
          <w:i/>
          <w:iCs/>
          <w:szCs w:val="24"/>
        </w:rPr>
        <w:t>b</w:t>
      </w:r>
      <w:r>
        <w:rPr>
          <w:szCs w:val="24"/>
        </w:rPr>
        <w:t xml:space="preserve">][1,3]oxazine. </w:t>
      </w:r>
      <w:r>
        <w:rPr>
          <w:color w:val="000000"/>
          <w:szCs w:val="20"/>
          <w:vertAlign w:val="superscript"/>
          <w:lang w:eastAsia="en-US" w:bidi="ar-SA"/>
        </w:rPr>
        <w:t>1</w:t>
      </w:r>
      <w:r>
        <w:rPr>
          <w:color w:val="000000"/>
          <w:szCs w:val="20"/>
          <w:lang w:eastAsia="en-US" w:bidi="ar-SA"/>
        </w:rPr>
        <w:t xml:space="preserve">H NMR (400 MHz, DMSO) δ 8.14 (s, 1H), 7.67 – 7.26 (m, </w:t>
      </w:r>
      <w:r>
        <w:rPr>
          <w:color w:val="000000"/>
          <w:szCs w:val="20"/>
          <w:lang w:eastAsia="en-US" w:bidi="ar-SA"/>
        </w:rPr>
        <w:t>5</w:t>
      </w:r>
      <w:r>
        <w:rPr>
          <w:color w:val="000000"/>
          <w:szCs w:val="20"/>
          <w:lang w:eastAsia="en-US" w:bidi="ar-SA"/>
        </w:rPr>
        <w:t xml:space="preserve">H), 6.96 (d, </w:t>
      </w:r>
      <w:r>
        <w:rPr>
          <w:i/>
          <w:color w:val="000000"/>
          <w:szCs w:val="20"/>
          <w:lang w:eastAsia="en-US" w:bidi="ar-SA"/>
        </w:rPr>
        <w:t xml:space="preserve">J </w:t>
      </w:r>
      <w:r>
        <w:rPr>
          <w:color w:val="000000"/>
          <w:szCs w:val="20"/>
          <w:lang w:eastAsia="en-US" w:bidi="ar-SA"/>
        </w:rPr>
        <w:t xml:space="preserve">= 8.8 Hz, 2H), 5.20 (t, </w:t>
      </w:r>
      <w:r>
        <w:rPr>
          <w:i/>
          <w:color w:val="000000"/>
          <w:szCs w:val="20"/>
          <w:lang w:eastAsia="en-US" w:bidi="ar-SA"/>
        </w:rPr>
        <w:t>J</w:t>
      </w:r>
      <w:r>
        <w:rPr>
          <w:color w:val="000000"/>
          <w:szCs w:val="20"/>
          <w:lang w:eastAsia="en-US" w:bidi="ar-SA"/>
        </w:rPr>
        <w:t xml:space="preserve"> = 5.6 Hz, 1H), 4.69 (td, </w:t>
      </w:r>
      <w:r>
        <w:rPr>
          <w:i/>
          <w:color w:val="000000"/>
          <w:szCs w:val="20"/>
          <w:lang w:eastAsia="en-US" w:bidi="ar-SA"/>
        </w:rPr>
        <w:t>J</w:t>
      </w:r>
      <w:r>
        <w:rPr>
          <w:color w:val="000000"/>
          <w:szCs w:val="20"/>
          <w:lang w:eastAsia="en-US" w:bidi="ar-SA"/>
        </w:rPr>
        <w:t xml:space="preserve"> = 9.3, 3.6 Hz, 1H), 4.39 – 4.28 (m, 3H), 4.17 (d, </w:t>
      </w:r>
      <w:r>
        <w:rPr>
          <w:i/>
          <w:color w:val="000000"/>
          <w:szCs w:val="20"/>
          <w:lang w:eastAsia="en-US" w:bidi="ar-SA"/>
        </w:rPr>
        <w:t>J</w:t>
      </w:r>
      <w:r>
        <w:rPr>
          <w:color w:val="000000"/>
          <w:szCs w:val="20"/>
          <w:lang w:eastAsia="en-US" w:bidi="ar-SA"/>
        </w:rPr>
        <w:t xml:space="preserve"> = 11.0 Hz, 1H), 4.07 (t, </w:t>
      </w:r>
      <w:r>
        <w:rPr>
          <w:i/>
          <w:color w:val="000000"/>
          <w:szCs w:val="20"/>
          <w:lang w:eastAsia="en-US" w:bidi="ar-SA"/>
        </w:rPr>
        <w:t>J</w:t>
      </w:r>
      <w:r>
        <w:rPr>
          <w:color w:val="000000"/>
          <w:szCs w:val="20"/>
          <w:lang w:eastAsia="en-US" w:bidi="ar-SA"/>
        </w:rPr>
        <w:t xml:space="preserve"> = 9.0 Hz, 1H), 3.82 (dd, </w:t>
      </w:r>
      <w:r>
        <w:rPr>
          <w:i/>
          <w:color w:val="000000"/>
          <w:szCs w:val="20"/>
          <w:lang w:eastAsia="en-US" w:bidi="ar-SA"/>
        </w:rPr>
        <w:t>J</w:t>
      </w:r>
      <w:r>
        <w:rPr>
          <w:color w:val="000000"/>
          <w:szCs w:val="20"/>
          <w:lang w:eastAsia="en-US" w:bidi="ar-SA"/>
        </w:rPr>
        <w:t xml:space="preserve"> = 8.8, 6.3 Hz, 1H), 3.65 (ddd, </w:t>
      </w:r>
      <w:r>
        <w:rPr>
          <w:i/>
          <w:color w:val="000000"/>
          <w:szCs w:val="20"/>
          <w:lang w:eastAsia="en-US" w:bidi="ar-SA"/>
        </w:rPr>
        <w:t>J</w:t>
      </w:r>
      <w:r>
        <w:rPr>
          <w:color w:val="000000"/>
          <w:szCs w:val="20"/>
          <w:lang w:eastAsia="en-US" w:bidi="ar-SA"/>
        </w:rPr>
        <w:t xml:space="preserve"> = 12.2, 5.4, 3.2 Hz, 1H), 3.58 – 3.48 (m, 1H), 1.66 (s, 3H). </w:t>
      </w:r>
      <w:r>
        <w:rPr>
          <w:rFonts w:cs="Times-Roman;Times New Roman"/>
          <w:szCs w:val="24"/>
        </w:rPr>
        <w:t>LC-MS (ESI): m/z = 485 (M+H)</w:t>
      </w:r>
      <w:r>
        <w:rPr>
          <w:rFonts w:cs="Times-Roman;Times New Roman"/>
          <w:szCs w:val="24"/>
          <w:vertAlign w:val="superscript"/>
        </w:rPr>
        <w:t>+</w:t>
      </w:r>
      <w:r>
        <w:rPr>
          <w:rFonts w:cs="Times-Roman;Times New Roman"/>
          <w:szCs w:val="24"/>
        </w:rPr>
        <w:t>.</w:t>
      </w:r>
    </w:p>
    <w:p>
      <w:pPr>
        <w:pStyle w:val="MDPI31text"/>
        <w:spacing w:before="120" w:after="0"/>
        <w:rPr>
          <w:color w:val="000000"/>
          <w:szCs w:val="20"/>
          <w:lang w:eastAsia="en-US" w:bidi="ar-SA"/>
        </w:rPr>
      </w:pPr>
      <w:r>
        <w:rPr>
          <w:b/>
          <w:bCs/>
          <w:color w:val="000000"/>
          <w:szCs w:val="20"/>
          <w:lang w:eastAsia="en-US" w:bidi="ar-SA"/>
        </w:rPr>
        <w:t>(5</w:t>
      </w:r>
      <w:r>
        <w:rPr>
          <w:b/>
          <w:bCs/>
          <w:i/>
          <w:iCs/>
          <w:color w:val="000000"/>
          <w:szCs w:val="20"/>
          <w:lang w:eastAsia="en-US" w:bidi="ar-SA"/>
        </w:rPr>
        <w:t>R</w:t>
      </w:r>
      <w:r>
        <w:rPr>
          <w:b/>
          <w:bCs/>
          <w:color w:val="000000"/>
          <w:szCs w:val="20"/>
          <w:lang w:eastAsia="en-US" w:bidi="ar-SA"/>
        </w:rPr>
        <w:t>)-3-(2'-chloro-2-fluoro-4'-((2-methyl-6-nitro-2,3-dihydroimidazo[2,1-</w:t>
      </w:r>
      <w:r>
        <w:rPr>
          <w:b/>
          <w:bCs/>
          <w:i/>
          <w:iCs/>
          <w:color w:val="000000"/>
          <w:szCs w:val="20"/>
          <w:lang w:eastAsia="en-US" w:bidi="ar-SA"/>
        </w:rPr>
        <w:t>b</w:t>
      </w:r>
      <w:r>
        <w:rPr>
          <w:b/>
          <w:bCs/>
          <w:color w:val="000000"/>
          <w:szCs w:val="20"/>
          <w:lang w:eastAsia="en-US" w:bidi="ar-SA"/>
        </w:rPr>
        <w:t>]oxazol-2-yl)methoxy)-[1,1'-biphenyl]-4-yl)-5-(hydroxymethyl)oxazolidin-2-one (14b)</w:t>
      </w:r>
      <w:r>
        <w:rPr>
          <w:color w:val="000000"/>
          <w:szCs w:val="20"/>
          <w:lang w:eastAsia="en-US" w:bidi="ar-SA"/>
        </w:rPr>
        <w:t xml:space="preserve">. </w:t>
      </w:r>
      <w:r>
        <w:rPr>
          <w:szCs w:val="24"/>
        </w:rPr>
        <w:t xml:space="preserve">The title compound was prepared by following the same procedure as described in preparation of </w:t>
      </w:r>
      <w:r>
        <w:rPr>
          <w:b/>
          <w:bCs/>
          <w:szCs w:val="24"/>
        </w:rPr>
        <w:t>8a</w:t>
      </w:r>
      <w:r>
        <w:rPr>
          <w:szCs w:val="24"/>
        </w:rPr>
        <w:t xml:space="preserve"> except 2-((4-bromo-3-chlorophenoxy)methyl)-2-methyl-6-nitro-2,3-dihydroimidazo[2,1-</w:t>
      </w:r>
      <w:r>
        <w:rPr>
          <w:i/>
          <w:iCs/>
          <w:szCs w:val="24"/>
        </w:rPr>
        <w:t>b</w:t>
      </w:r>
      <w:r>
        <w:rPr>
          <w:szCs w:val="24"/>
        </w:rPr>
        <w:t>]oxazole was used instead of (</w:t>
      </w:r>
      <w:r>
        <w:rPr>
          <w:i/>
          <w:iCs/>
          <w:szCs w:val="24"/>
        </w:rPr>
        <w:t>S</w:t>
      </w:r>
      <w:r>
        <w:rPr>
          <w:szCs w:val="24"/>
        </w:rPr>
        <w:t>)-6-((5-bromopyridin-2-yl)oxy)-2-nitro-6,7-dihydro-5</w:t>
      </w:r>
      <w:r>
        <w:rPr>
          <w:i/>
          <w:iCs/>
          <w:szCs w:val="24"/>
        </w:rPr>
        <w:t>H</w:t>
      </w:r>
      <w:r>
        <w:rPr>
          <w:szCs w:val="24"/>
        </w:rPr>
        <w:t>-imidazo[2,1-</w:t>
      </w:r>
      <w:r>
        <w:rPr>
          <w:i/>
          <w:iCs/>
          <w:szCs w:val="24"/>
        </w:rPr>
        <w:t>b</w:t>
      </w:r>
      <w:r>
        <w:rPr>
          <w:szCs w:val="24"/>
        </w:rPr>
        <w:t xml:space="preserve">][1,3]oxazine. </w:t>
      </w:r>
      <w:r>
        <w:rPr>
          <w:szCs w:val="24"/>
          <w:vertAlign w:val="superscript"/>
        </w:rPr>
        <w:t>1</w:t>
      </w:r>
      <w:r>
        <w:rPr>
          <w:szCs w:val="24"/>
        </w:rPr>
        <w:t xml:space="preserve">H NMR (400 MHz, DMSO) δ 8.13 (s, 1H), 7.55 (dd, </w:t>
      </w:r>
      <w:r>
        <w:rPr>
          <w:i/>
          <w:szCs w:val="24"/>
        </w:rPr>
        <w:t>J</w:t>
      </w:r>
      <w:r>
        <w:rPr>
          <w:szCs w:val="24"/>
        </w:rPr>
        <w:t xml:space="preserve"> = 12.5, 2.0 Hz, 1H), 7.37 (dd, </w:t>
      </w:r>
      <w:r>
        <w:rPr>
          <w:i/>
          <w:szCs w:val="24"/>
        </w:rPr>
        <w:t>J</w:t>
      </w:r>
      <w:r>
        <w:rPr>
          <w:szCs w:val="24"/>
        </w:rPr>
        <w:t xml:space="preserve"> = 8.6, 2.0 Hz, 1H), 7.28 (dd, </w:t>
      </w:r>
      <w:r>
        <w:rPr>
          <w:i/>
          <w:szCs w:val="24"/>
        </w:rPr>
        <w:t>J</w:t>
      </w:r>
      <w:r>
        <w:rPr>
          <w:szCs w:val="24"/>
        </w:rPr>
        <w:t xml:space="preserve"> = 15.5, 8.5 Hz, 2H), 7.13 (d, </w:t>
      </w:r>
      <w:r>
        <w:rPr>
          <w:i/>
          <w:szCs w:val="24"/>
        </w:rPr>
        <w:t>J</w:t>
      </w:r>
      <w:r>
        <w:rPr>
          <w:szCs w:val="24"/>
        </w:rPr>
        <w:t xml:space="preserve"> = 2.5 Hz, 1H), 6.93 (dd, </w:t>
      </w:r>
      <w:r>
        <w:rPr>
          <w:i/>
          <w:szCs w:val="24"/>
        </w:rPr>
        <w:t>J</w:t>
      </w:r>
      <w:r>
        <w:rPr>
          <w:szCs w:val="24"/>
        </w:rPr>
        <w:t xml:space="preserve"> = 8.6, 2.5 Hz, 1H), 5.20 (t, </w:t>
      </w:r>
      <w:r>
        <w:rPr>
          <w:i/>
          <w:szCs w:val="24"/>
        </w:rPr>
        <w:t>J</w:t>
      </w:r>
      <w:r>
        <w:rPr>
          <w:szCs w:val="24"/>
        </w:rPr>
        <w:t xml:space="preserve"> = 5.6 Hz, 1H), 4.69 (dd, </w:t>
      </w:r>
      <w:r>
        <w:rPr>
          <w:i/>
          <w:szCs w:val="24"/>
        </w:rPr>
        <w:t>J</w:t>
      </w:r>
      <w:r>
        <w:rPr>
          <w:szCs w:val="24"/>
        </w:rPr>
        <w:t xml:space="preserve"> = 9.1, 5.6 Hz, 1H), 4.41 – 4.29 (m, 3H), 4.16 (d, </w:t>
      </w:r>
      <w:r>
        <w:rPr>
          <w:i/>
          <w:szCs w:val="24"/>
        </w:rPr>
        <w:t>J</w:t>
      </w:r>
      <w:r>
        <w:rPr>
          <w:szCs w:val="24"/>
        </w:rPr>
        <w:t xml:space="preserve"> = 11.0 Hz, 1H), 4.08 (t, </w:t>
      </w:r>
      <w:r>
        <w:rPr>
          <w:i/>
          <w:szCs w:val="24"/>
        </w:rPr>
        <w:t>J</w:t>
      </w:r>
      <w:r>
        <w:rPr>
          <w:szCs w:val="24"/>
        </w:rPr>
        <w:t xml:space="preserve"> = 9.0 Hz, 1H), 3.82 (dd, </w:t>
      </w:r>
      <w:r>
        <w:rPr>
          <w:i/>
          <w:szCs w:val="24"/>
        </w:rPr>
        <w:t>J</w:t>
      </w:r>
      <w:r>
        <w:rPr>
          <w:szCs w:val="24"/>
        </w:rPr>
        <w:t xml:space="preserve"> = 8.9, 6.1 Hz, 1H), 3.69 – 3.60 (m, 1H), 3.58 – 3.49 (m, 1H), 1.65 (s, 3H). </w:t>
      </w:r>
      <w:r>
        <w:rPr>
          <w:rFonts w:cs="Times-Roman;Times New Roman"/>
          <w:szCs w:val="24"/>
        </w:rPr>
        <w:t>LC-MS (ESI): m/z = 567 (M+H)</w:t>
      </w:r>
      <w:r>
        <w:rPr>
          <w:rFonts w:cs="Times-Roman;Times New Roman"/>
          <w:szCs w:val="24"/>
          <w:vertAlign w:val="superscript"/>
        </w:rPr>
        <w:t>+</w:t>
      </w:r>
      <w:r>
        <w:rPr>
          <w:rFonts w:cs="Times-Roman;Times New Roman"/>
          <w:szCs w:val="24"/>
        </w:rPr>
        <w:t>.</w:t>
      </w:r>
    </w:p>
    <w:p>
      <w:pPr>
        <w:pStyle w:val="MDPI31text"/>
        <w:spacing w:before="120" w:after="0"/>
        <w:rPr>
          <w:color w:val="000000"/>
          <w:szCs w:val="20"/>
          <w:lang w:eastAsia="en-US" w:bidi="ar-SA"/>
        </w:rPr>
      </w:pPr>
      <w:r>
        <w:rPr>
          <w:b/>
          <w:bCs/>
          <w:color w:val="000000"/>
          <w:szCs w:val="20"/>
          <w:lang w:eastAsia="en-US" w:bidi="ar-SA"/>
        </w:rPr>
        <w:t>(5</w:t>
      </w:r>
      <w:r>
        <w:rPr>
          <w:b/>
          <w:bCs/>
          <w:i/>
          <w:iCs/>
          <w:color w:val="000000"/>
          <w:szCs w:val="20"/>
          <w:lang w:eastAsia="en-US" w:bidi="ar-SA"/>
        </w:rPr>
        <w:t>R</w:t>
      </w:r>
      <w:r>
        <w:rPr>
          <w:b/>
          <w:bCs/>
          <w:color w:val="000000"/>
          <w:szCs w:val="20"/>
          <w:lang w:eastAsia="en-US" w:bidi="ar-SA"/>
        </w:rPr>
        <w:t>)-3-(3-fluoro-4-(6-((2-methyl-6-nitro-2,3-dihydroimidazo[2,1-</w:t>
      </w:r>
      <w:r>
        <w:rPr>
          <w:b/>
          <w:bCs/>
          <w:i/>
          <w:iCs/>
          <w:color w:val="000000"/>
          <w:szCs w:val="20"/>
          <w:lang w:eastAsia="en-US" w:bidi="ar-SA"/>
        </w:rPr>
        <w:t>b</w:t>
      </w:r>
      <w:r>
        <w:rPr>
          <w:b/>
          <w:bCs/>
          <w:color w:val="000000"/>
          <w:szCs w:val="20"/>
          <w:lang w:eastAsia="en-US" w:bidi="ar-SA"/>
        </w:rPr>
        <w:t>]oxazol-2-yl)methoxy)pyridin-3-yl)phenyl)-5-(hydroxymethyl)oxazolidin-2-one (14c)</w:t>
      </w:r>
      <w:r>
        <w:rPr>
          <w:rFonts w:eastAsia="DengXian;等线"/>
          <w:color w:val="000000"/>
          <w:szCs w:val="20"/>
          <w:lang w:eastAsia="zh-CN" w:bidi="ar-SA"/>
        </w:rPr>
        <w:t>.</w:t>
      </w:r>
      <w:r>
        <w:rPr>
          <w:rFonts w:eastAsia="DengXian;等线"/>
          <w:color w:val="000000"/>
          <w:szCs w:val="20"/>
          <w:lang w:eastAsia="zh-CN" w:bidi="ar-SA"/>
        </w:rPr>
        <w:t xml:space="preserve"> </w:t>
      </w:r>
      <w:r>
        <w:rPr>
          <w:color w:val="000000"/>
          <w:szCs w:val="20"/>
          <w:lang w:eastAsia="en-US" w:bidi="ar-SA"/>
        </w:rPr>
        <w:t xml:space="preserve">The title compound was prepared by following the same procedure as described in preparation of </w:t>
      </w:r>
      <w:r>
        <w:rPr>
          <w:b/>
          <w:bCs/>
          <w:color w:val="000000"/>
          <w:szCs w:val="20"/>
          <w:lang w:eastAsia="en-US" w:bidi="ar-SA"/>
        </w:rPr>
        <w:t>8a</w:t>
      </w:r>
      <w:r>
        <w:rPr>
          <w:color w:val="000000"/>
          <w:szCs w:val="20"/>
          <w:lang w:eastAsia="en-US" w:bidi="ar-SA"/>
        </w:rPr>
        <w:t xml:space="preserve"> except 2-(((5-bromopyridin-2-yl)oxy)methyl)-2-methyl-6-nitro-2,3-dihydroimidazo[2,1-</w:t>
      </w:r>
      <w:r>
        <w:rPr>
          <w:i/>
          <w:iCs/>
          <w:color w:val="000000"/>
          <w:szCs w:val="20"/>
          <w:lang w:eastAsia="en-US" w:bidi="ar-SA"/>
        </w:rPr>
        <w:t>b</w:t>
      </w:r>
      <w:r>
        <w:rPr>
          <w:color w:val="000000"/>
          <w:szCs w:val="20"/>
          <w:lang w:eastAsia="en-US" w:bidi="ar-SA"/>
        </w:rPr>
        <w:t>]oxazole was used instead of (</w:t>
      </w:r>
      <w:r>
        <w:rPr>
          <w:i/>
          <w:iCs/>
          <w:color w:val="000000"/>
          <w:szCs w:val="20"/>
          <w:lang w:eastAsia="en-US" w:bidi="ar-SA"/>
        </w:rPr>
        <w:t>S</w:t>
      </w:r>
      <w:r>
        <w:rPr>
          <w:color w:val="000000"/>
          <w:szCs w:val="20"/>
          <w:lang w:eastAsia="en-US" w:bidi="ar-SA"/>
        </w:rPr>
        <w:t>)-6-((5-bromopyridin-2-yl)oxy)-2-nitro-6,7-dihydro-5</w:t>
      </w:r>
      <w:r>
        <w:rPr>
          <w:i/>
          <w:iCs/>
          <w:color w:val="000000"/>
          <w:szCs w:val="20"/>
          <w:lang w:eastAsia="en-US" w:bidi="ar-SA"/>
        </w:rPr>
        <w:t>H</w:t>
      </w:r>
      <w:r>
        <w:rPr>
          <w:color w:val="000000"/>
          <w:szCs w:val="20"/>
          <w:lang w:eastAsia="en-US" w:bidi="ar-SA"/>
        </w:rPr>
        <w:t>-imidazo[2,1-</w:t>
      </w:r>
      <w:r>
        <w:rPr>
          <w:i/>
          <w:iCs/>
          <w:color w:val="000000"/>
          <w:szCs w:val="20"/>
          <w:lang w:eastAsia="en-US" w:bidi="ar-SA"/>
        </w:rPr>
        <w:t>b</w:t>
      </w:r>
      <w:r>
        <w:rPr>
          <w:color w:val="000000"/>
          <w:szCs w:val="20"/>
          <w:lang w:eastAsia="en-US" w:bidi="ar-SA"/>
        </w:rPr>
        <w:t xml:space="preserve">][1,3]oxazine. </w:t>
      </w:r>
      <w:r>
        <w:rPr>
          <w:color w:val="000000"/>
          <w:szCs w:val="20"/>
          <w:vertAlign w:val="superscript"/>
          <w:lang w:eastAsia="en-US" w:bidi="ar-SA"/>
        </w:rPr>
        <w:t>1</w:t>
      </w:r>
      <w:r>
        <w:rPr>
          <w:color w:val="000000"/>
          <w:szCs w:val="20"/>
          <w:lang w:eastAsia="en-US" w:bidi="ar-SA"/>
        </w:rPr>
        <w:t>H NMR (400 MHz, DMSO ) δ 8.34 (s, 1H), 8.15 (s, 1H), 7.94 – 7.87 (m, 1H), 7.68 – 7.55 (m, 2H), 7.45 (dd,</w:t>
      </w:r>
      <w:r>
        <w:rPr>
          <w:i/>
          <w:color w:val="000000"/>
          <w:szCs w:val="20"/>
          <w:lang w:eastAsia="en-US" w:bidi="ar-SA"/>
        </w:rPr>
        <w:t xml:space="preserve"> J</w:t>
      </w:r>
      <w:r>
        <w:rPr>
          <w:color w:val="000000"/>
          <w:szCs w:val="20"/>
          <w:lang w:eastAsia="en-US" w:bidi="ar-SA"/>
        </w:rPr>
        <w:t xml:space="preserve"> = 8.6, 2.1 Hz, 1H), 6.86 (d, </w:t>
      </w:r>
      <w:r>
        <w:rPr>
          <w:i/>
          <w:color w:val="000000"/>
          <w:szCs w:val="20"/>
          <w:lang w:eastAsia="en-US" w:bidi="ar-SA"/>
        </w:rPr>
        <w:t>J</w:t>
      </w:r>
      <w:r>
        <w:rPr>
          <w:color w:val="000000"/>
          <w:szCs w:val="20"/>
          <w:lang w:eastAsia="en-US" w:bidi="ar-SA"/>
        </w:rPr>
        <w:t xml:space="preserve"> = 8.6 Hz, 1H), 5.22 (t, </w:t>
      </w:r>
      <w:r>
        <w:rPr>
          <w:i/>
          <w:color w:val="000000"/>
          <w:szCs w:val="20"/>
          <w:lang w:eastAsia="en-US" w:bidi="ar-SA"/>
        </w:rPr>
        <w:t>J</w:t>
      </w:r>
      <w:r>
        <w:rPr>
          <w:color w:val="000000"/>
          <w:szCs w:val="20"/>
          <w:lang w:eastAsia="en-US" w:bidi="ar-SA"/>
        </w:rPr>
        <w:t xml:space="preserve"> = 5.6 Hz, 1H), 4.74 (td, </w:t>
      </w:r>
      <w:r>
        <w:rPr>
          <w:i/>
          <w:color w:val="000000"/>
          <w:szCs w:val="20"/>
          <w:lang w:eastAsia="en-US" w:bidi="ar-SA"/>
        </w:rPr>
        <w:t>J</w:t>
      </w:r>
      <w:r>
        <w:rPr>
          <w:color w:val="000000"/>
          <w:szCs w:val="20"/>
          <w:lang w:eastAsia="en-US" w:bidi="ar-SA"/>
        </w:rPr>
        <w:t xml:space="preserve"> = 5.8, 2.7 Hz, 1H), 4.63 (s, 2H), 4.41 (d, </w:t>
      </w:r>
      <w:r>
        <w:rPr>
          <w:i/>
          <w:color w:val="000000"/>
          <w:szCs w:val="20"/>
          <w:lang w:eastAsia="en-US" w:bidi="ar-SA"/>
        </w:rPr>
        <w:t>J</w:t>
      </w:r>
      <w:r>
        <w:rPr>
          <w:color w:val="000000"/>
          <w:szCs w:val="20"/>
          <w:lang w:eastAsia="en-US" w:bidi="ar-SA"/>
        </w:rPr>
        <w:t xml:space="preserve"> = 11.0 Hz, 1H), 4.25 – 4.09 (m, 2H), 3.88 (dd, </w:t>
      </w:r>
      <w:r>
        <w:rPr>
          <w:i/>
          <w:color w:val="000000"/>
          <w:szCs w:val="20"/>
          <w:lang w:eastAsia="en-US" w:bidi="ar-SA"/>
        </w:rPr>
        <w:t>J</w:t>
      </w:r>
      <w:r>
        <w:rPr>
          <w:color w:val="000000"/>
          <w:szCs w:val="20"/>
          <w:lang w:eastAsia="en-US" w:bidi="ar-SA"/>
        </w:rPr>
        <w:t xml:space="preserve"> = 8.9, 6.2 Hz, 1H), 3.70 (ddd, </w:t>
      </w:r>
      <w:r>
        <w:rPr>
          <w:i/>
          <w:color w:val="000000"/>
          <w:szCs w:val="20"/>
          <w:lang w:eastAsia="en-US" w:bidi="ar-SA"/>
        </w:rPr>
        <w:t>J</w:t>
      </w:r>
      <w:r>
        <w:rPr>
          <w:color w:val="000000"/>
          <w:szCs w:val="20"/>
          <w:lang w:eastAsia="en-US" w:bidi="ar-SA"/>
        </w:rPr>
        <w:t xml:space="preserve"> = 12.3, 5.5, 3.4 Hz, 1H), 3.58 (ddd, </w:t>
      </w:r>
      <w:r>
        <w:rPr>
          <w:i/>
          <w:color w:val="000000"/>
          <w:szCs w:val="20"/>
          <w:lang w:eastAsia="en-US" w:bidi="ar-SA"/>
        </w:rPr>
        <w:t>J</w:t>
      </w:r>
      <w:r>
        <w:rPr>
          <w:color w:val="000000"/>
          <w:szCs w:val="20"/>
          <w:lang w:eastAsia="en-US" w:bidi="ar-SA"/>
        </w:rPr>
        <w:t xml:space="preserve"> = 12.3, 5.7, 4.1 Hz, 1H), 1.71 (s, 3H). LC-MS (ESI): M/Z = 486 (M+H)</w:t>
      </w:r>
      <w:r>
        <w:rPr>
          <w:color w:val="000000"/>
          <w:szCs w:val="20"/>
          <w:vertAlign w:val="superscript"/>
          <w:lang w:eastAsia="en-US" w:bidi="ar-SA"/>
        </w:rPr>
        <w:t>+</w:t>
      </w:r>
      <w:r>
        <w:rPr>
          <w:color w:val="000000"/>
          <w:szCs w:val="20"/>
          <w:lang w:eastAsia="en-US" w:bidi="ar-SA"/>
        </w:rPr>
        <w:t>.</w:t>
      </w:r>
    </w:p>
    <w:p>
      <w:pPr>
        <w:pStyle w:val="MDPI31text"/>
        <w:spacing w:before="120" w:after="0"/>
        <w:rPr>
          <w:color w:val="000000"/>
          <w:szCs w:val="20"/>
          <w:lang w:eastAsia="en-US" w:bidi="ar-SA"/>
        </w:rPr>
      </w:pPr>
      <w:r>
        <w:rPr>
          <w:b/>
          <w:bCs/>
          <w:color w:val="000000"/>
          <w:szCs w:val="20"/>
          <w:lang w:eastAsia="en-US" w:bidi="ar-SA"/>
        </w:rPr>
        <w:t>(5</w:t>
      </w:r>
      <w:r>
        <w:rPr>
          <w:b/>
          <w:bCs/>
          <w:i/>
          <w:iCs/>
          <w:color w:val="000000"/>
          <w:szCs w:val="20"/>
          <w:lang w:eastAsia="en-US" w:bidi="ar-SA"/>
        </w:rPr>
        <w:t>R</w:t>
      </w:r>
      <w:r>
        <w:rPr>
          <w:b/>
          <w:bCs/>
          <w:color w:val="000000"/>
          <w:szCs w:val="20"/>
          <w:lang w:eastAsia="en-US" w:bidi="ar-SA"/>
        </w:rPr>
        <w:t>)-3-(3-fluoro-4-(5-((2-methyl-6-nitro-2,3-dihydroimidazo[2,1-</w:t>
      </w:r>
      <w:r>
        <w:rPr>
          <w:b/>
          <w:bCs/>
          <w:i/>
          <w:iCs/>
          <w:color w:val="000000"/>
          <w:szCs w:val="20"/>
          <w:lang w:eastAsia="en-US" w:bidi="ar-SA"/>
        </w:rPr>
        <w:t>b</w:t>
      </w:r>
      <w:r>
        <w:rPr>
          <w:b/>
          <w:bCs/>
          <w:color w:val="000000"/>
          <w:szCs w:val="20"/>
          <w:lang w:eastAsia="en-US" w:bidi="ar-SA"/>
        </w:rPr>
        <w:t>]oxazol-2-yl)methoxy)pyridin-2-yl)phenyl)-5-(hydroxymethyl)oxazolidin-2-one (14d)</w:t>
      </w:r>
      <w:r>
        <w:rPr>
          <w:rFonts w:eastAsia="DengXian;等线"/>
          <w:color w:val="000000"/>
          <w:szCs w:val="20"/>
          <w:lang w:eastAsia="zh-CN" w:bidi="ar-SA"/>
        </w:rPr>
        <w:t>.</w:t>
      </w:r>
      <w:r>
        <w:rPr>
          <w:rFonts w:eastAsia="DengXian;等线"/>
          <w:color w:val="000000"/>
          <w:szCs w:val="20"/>
          <w:lang w:eastAsia="zh-CN" w:bidi="ar-SA"/>
        </w:rPr>
        <w:t xml:space="preserve"> </w:t>
      </w:r>
      <w:r>
        <w:rPr>
          <w:color w:val="000000"/>
          <w:szCs w:val="20"/>
          <w:lang w:eastAsia="en-US" w:bidi="ar-SA"/>
        </w:rPr>
        <w:t xml:space="preserve">The title compound was prepared by following the same procedure as described in preparation of </w:t>
      </w:r>
      <w:r>
        <w:rPr>
          <w:b/>
          <w:bCs/>
          <w:color w:val="000000"/>
          <w:szCs w:val="20"/>
          <w:lang w:eastAsia="en-US" w:bidi="ar-SA"/>
        </w:rPr>
        <w:t>8a</w:t>
      </w:r>
      <w:r>
        <w:rPr>
          <w:color w:val="000000"/>
          <w:szCs w:val="20"/>
          <w:lang w:eastAsia="en-US" w:bidi="ar-SA"/>
        </w:rPr>
        <w:t xml:space="preserve"> except 2-(((6-bromopyridin-3-yl)oxy)methyl)-2-methyl-6-nitro-2,3-dihydroimidazo[2,1-</w:t>
      </w:r>
      <w:r>
        <w:rPr>
          <w:i/>
          <w:iCs/>
          <w:color w:val="000000"/>
          <w:szCs w:val="20"/>
          <w:lang w:eastAsia="en-US" w:bidi="ar-SA"/>
        </w:rPr>
        <w:t>b</w:t>
      </w:r>
      <w:r>
        <w:rPr>
          <w:color w:val="000000"/>
          <w:szCs w:val="20"/>
          <w:lang w:eastAsia="en-US" w:bidi="ar-SA"/>
        </w:rPr>
        <w:t>]oxazole was used instead of (</w:t>
      </w:r>
      <w:r>
        <w:rPr>
          <w:i/>
          <w:iCs/>
          <w:color w:val="000000"/>
          <w:szCs w:val="20"/>
          <w:lang w:eastAsia="en-US" w:bidi="ar-SA"/>
        </w:rPr>
        <w:t>S</w:t>
      </w:r>
      <w:r>
        <w:rPr>
          <w:color w:val="000000"/>
          <w:szCs w:val="20"/>
          <w:lang w:eastAsia="en-US" w:bidi="ar-SA"/>
        </w:rPr>
        <w:t>)-6-((5-bromopyridin-2-yl)oxy)-2-nitro-6,7-dihydro-5</w:t>
      </w:r>
      <w:r>
        <w:rPr>
          <w:i/>
          <w:iCs/>
          <w:color w:val="000000"/>
          <w:szCs w:val="20"/>
          <w:lang w:eastAsia="en-US" w:bidi="ar-SA"/>
        </w:rPr>
        <w:t>H</w:t>
      </w:r>
      <w:r>
        <w:rPr>
          <w:color w:val="000000"/>
          <w:szCs w:val="20"/>
          <w:lang w:eastAsia="en-US" w:bidi="ar-SA"/>
        </w:rPr>
        <w:t>-imidazo[2,1-</w:t>
      </w:r>
      <w:r>
        <w:rPr>
          <w:i/>
          <w:iCs/>
          <w:color w:val="000000"/>
          <w:szCs w:val="20"/>
          <w:lang w:eastAsia="en-US" w:bidi="ar-SA"/>
        </w:rPr>
        <w:t>b</w:t>
      </w:r>
      <w:r>
        <w:rPr>
          <w:color w:val="000000"/>
          <w:szCs w:val="20"/>
          <w:lang w:eastAsia="en-US" w:bidi="ar-SA"/>
        </w:rPr>
        <w:t xml:space="preserve">][1,3]oxazine. </w:t>
      </w:r>
      <w:r>
        <w:rPr>
          <w:color w:val="000000"/>
          <w:szCs w:val="20"/>
          <w:vertAlign w:val="superscript"/>
          <w:lang w:eastAsia="en-US" w:bidi="ar-SA"/>
        </w:rPr>
        <w:t>1</w:t>
      </w:r>
      <w:r>
        <w:rPr>
          <w:color w:val="000000"/>
          <w:szCs w:val="20"/>
          <w:lang w:eastAsia="en-US" w:bidi="ar-SA"/>
        </w:rPr>
        <w:t xml:space="preserve">H NMR (400 MHz, DMSO) δ 8.32 (d, </w:t>
      </w:r>
      <w:r>
        <w:rPr>
          <w:i/>
          <w:color w:val="000000"/>
          <w:szCs w:val="20"/>
          <w:lang w:eastAsia="en-US" w:bidi="ar-SA"/>
        </w:rPr>
        <w:t>J</w:t>
      </w:r>
      <w:r>
        <w:rPr>
          <w:color w:val="000000"/>
          <w:szCs w:val="20"/>
          <w:lang w:eastAsia="en-US" w:bidi="ar-SA"/>
        </w:rPr>
        <w:t xml:space="preserve"> = 2.9 Hz, 1H), 8.16 (d, </w:t>
      </w:r>
      <w:r>
        <w:rPr>
          <w:i/>
          <w:color w:val="000000"/>
          <w:szCs w:val="20"/>
          <w:lang w:eastAsia="en-US" w:bidi="ar-SA"/>
        </w:rPr>
        <w:t>J</w:t>
      </w:r>
      <w:r>
        <w:rPr>
          <w:color w:val="000000"/>
          <w:szCs w:val="20"/>
          <w:lang w:eastAsia="en-US" w:bidi="ar-SA"/>
        </w:rPr>
        <w:t xml:space="preserve"> = 17.1 Hz, 1H), 7.90 (t, </w:t>
      </w:r>
      <w:r>
        <w:rPr>
          <w:i/>
          <w:color w:val="000000"/>
          <w:szCs w:val="20"/>
          <w:lang w:eastAsia="en-US" w:bidi="ar-SA"/>
        </w:rPr>
        <w:t>J</w:t>
      </w:r>
      <w:r>
        <w:rPr>
          <w:color w:val="000000"/>
          <w:szCs w:val="20"/>
          <w:lang w:eastAsia="en-US" w:bidi="ar-SA"/>
        </w:rPr>
        <w:t xml:space="preserve"> = 9.0 Hz, 1H), 7.69 (d, </w:t>
      </w:r>
      <w:r>
        <w:rPr>
          <w:i/>
          <w:color w:val="000000"/>
          <w:szCs w:val="20"/>
          <w:lang w:eastAsia="en-US" w:bidi="ar-SA"/>
        </w:rPr>
        <w:t>J</w:t>
      </w:r>
      <w:r>
        <w:rPr>
          <w:color w:val="000000"/>
          <w:szCs w:val="20"/>
          <w:lang w:eastAsia="en-US" w:bidi="ar-SA"/>
        </w:rPr>
        <w:t xml:space="preserve"> = 7.6 Hz, 1H), 7.58 (dd, </w:t>
      </w:r>
      <w:r>
        <w:rPr>
          <w:i/>
          <w:color w:val="000000"/>
          <w:szCs w:val="20"/>
          <w:lang w:eastAsia="en-US" w:bidi="ar-SA"/>
        </w:rPr>
        <w:t>J</w:t>
      </w:r>
      <w:r>
        <w:rPr>
          <w:color w:val="000000"/>
          <w:szCs w:val="20"/>
          <w:lang w:eastAsia="en-US" w:bidi="ar-SA"/>
        </w:rPr>
        <w:t xml:space="preserve"> = 14.2, 1.9 Hz, 1H), 7.48 – 7.38 (m, </w:t>
      </w:r>
      <w:r>
        <w:rPr>
          <w:color w:val="000000"/>
          <w:szCs w:val="20"/>
          <w:lang w:eastAsia="en-US" w:bidi="ar-SA"/>
        </w:rPr>
        <w:t>2</w:t>
      </w:r>
      <w:r>
        <w:rPr>
          <w:color w:val="000000"/>
          <w:szCs w:val="20"/>
          <w:lang w:eastAsia="en-US" w:bidi="ar-SA"/>
        </w:rPr>
        <w:t xml:space="preserve">H), 5.21 (t, </w:t>
      </w:r>
      <w:r>
        <w:rPr>
          <w:i/>
          <w:color w:val="000000"/>
          <w:szCs w:val="20"/>
          <w:lang w:eastAsia="en-US" w:bidi="ar-SA"/>
        </w:rPr>
        <w:t>J</w:t>
      </w:r>
      <w:r>
        <w:rPr>
          <w:color w:val="000000"/>
          <w:szCs w:val="20"/>
          <w:lang w:eastAsia="en-US" w:bidi="ar-SA"/>
        </w:rPr>
        <w:t xml:space="preserve"> = 5.6 Hz, 1H), 4.70 (dd, </w:t>
      </w:r>
      <w:r>
        <w:rPr>
          <w:i/>
          <w:color w:val="000000"/>
          <w:szCs w:val="20"/>
          <w:lang w:eastAsia="en-US" w:bidi="ar-SA"/>
        </w:rPr>
        <w:t>J</w:t>
      </w:r>
      <w:r>
        <w:rPr>
          <w:color w:val="000000"/>
          <w:szCs w:val="20"/>
          <w:lang w:eastAsia="en-US" w:bidi="ar-SA"/>
        </w:rPr>
        <w:t xml:space="preserve"> = 9.0, 5.7 Hz, 1H), 4.40 (dt, </w:t>
      </w:r>
      <w:r>
        <w:rPr>
          <w:i/>
          <w:color w:val="000000"/>
          <w:szCs w:val="20"/>
          <w:lang w:eastAsia="en-US" w:bidi="ar-SA"/>
        </w:rPr>
        <w:t>J</w:t>
      </w:r>
      <w:r>
        <w:rPr>
          <w:color w:val="000000"/>
          <w:szCs w:val="20"/>
          <w:lang w:eastAsia="en-US" w:bidi="ar-SA"/>
        </w:rPr>
        <w:t xml:space="preserve"> = 11.0, 9.4 Hz, 3H), 4.17 (d, </w:t>
      </w:r>
      <w:r>
        <w:rPr>
          <w:i/>
          <w:color w:val="000000"/>
          <w:szCs w:val="20"/>
          <w:lang w:eastAsia="en-US" w:bidi="ar-SA"/>
        </w:rPr>
        <w:t>J</w:t>
      </w:r>
      <w:r>
        <w:rPr>
          <w:color w:val="000000"/>
          <w:szCs w:val="20"/>
          <w:lang w:eastAsia="en-US" w:bidi="ar-SA"/>
        </w:rPr>
        <w:t xml:space="preserve"> = 11.0 Hz, 1H), 4.08 (t, </w:t>
      </w:r>
      <w:r>
        <w:rPr>
          <w:i/>
          <w:color w:val="000000"/>
          <w:szCs w:val="20"/>
          <w:lang w:eastAsia="en-US" w:bidi="ar-SA"/>
        </w:rPr>
        <w:t>J</w:t>
      </w:r>
      <w:r>
        <w:rPr>
          <w:color w:val="000000"/>
          <w:szCs w:val="20"/>
          <w:lang w:eastAsia="en-US" w:bidi="ar-SA"/>
        </w:rPr>
        <w:t xml:space="preserve"> = 9.0 Hz, 1H), 3.83 (dd,</w:t>
      </w:r>
      <w:r>
        <w:rPr>
          <w:i/>
          <w:color w:val="000000"/>
          <w:szCs w:val="20"/>
          <w:lang w:eastAsia="en-US" w:bidi="ar-SA"/>
        </w:rPr>
        <w:t xml:space="preserve"> J</w:t>
      </w:r>
      <w:r>
        <w:rPr>
          <w:color w:val="000000"/>
          <w:szCs w:val="20"/>
          <w:lang w:eastAsia="en-US" w:bidi="ar-SA"/>
        </w:rPr>
        <w:t xml:space="preserve"> = 8.7, 6.3 Hz, 1H), 3.65 (ddd, </w:t>
      </w:r>
      <w:r>
        <w:rPr>
          <w:i/>
          <w:color w:val="000000"/>
          <w:szCs w:val="20"/>
          <w:lang w:eastAsia="en-US" w:bidi="ar-SA"/>
        </w:rPr>
        <w:t>J</w:t>
      </w:r>
      <w:r>
        <w:rPr>
          <w:color w:val="000000"/>
          <w:szCs w:val="20"/>
          <w:lang w:eastAsia="en-US" w:bidi="ar-SA"/>
        </w:rPr>
        <w:t xml:space="preserve"> = 12.2, 5.2, 3.4 Hz, 1H), 3.59 – 3.49 (m, 1H), 1.67 (s, 3H). LC-MS (ESI): M/Z = 486 (M+H)</w:t>
      </w:r>
      <w:r>
        <w:rPr>
          <w:color w:val="000000"/>
          <w:szCs w:val="20"/>
          <w:vertAlign w:val="superscript"/>
          <w:lang w:eastAsia="en-US" w:bidi="ar-SA"/>
        </w:rPr>
        <w:t>+</w:t>
      </w:r>
      <w:r>
        <w:rPr>
          <w:color w:val="000000"/>
          <w:szCs w:val="20"/>
          <w:lang w:eastAsia="en-US" w:bidi="ar-SA"/>
        </w:rPr>
        <w:t>.</w:t>
      </w:r>
    </w:p>
    <w:p>
      <w:pPr>
        <w:pStyle w:val="MDPI31text"/>
        <w:spacing w:before="120" w:after="0"/>
        <w:rPr/>
      </w:pPr>
      <w:r>
        <w:rPr>
          <w:b/>
          <w:bCs/>
          <w:szCs w:val="24"/>
        </w:rPr>
        <w:t>(5</w:t>
      </w:r>
      <w:r>
        <w:rPr>
          <w:b/>
          <w:bCs/>
          <w:i/>
          <w:iCs/>
          <w:szCs w:val="24"/>
        </w:rPr>
        <w:t>R</w:t>
      </w:r>
      <w:r>
        <w:rPr>
          <w:b/>
          <w:bCs/>
          <w:szCs w:val="24"/>
        </w:rPr>
        <w:t>)-3-(3-fluoro-4-((5-((2-methyl-6-nitro-2,3-dihydroimidazo[2,1-</w:t>
      </w:r>
      <w:r>
        <w:rPr>
          <w:b/>
          <w:bCs/>
          <w:i/>
          <w:iCs/>
          <w:szCs w:val="24"/>
        </w:rPr>
        <w:t>b</w:t>
      </w:r>
      <w:r>
        <w:rPr>
          <w:b/>
          <w:bCs/>
          <w:szCs w:val="24"/>
        </w:rPr>
        <w:t>]oxazol-2-yl)methoxy)pyridin-2-yl)oxy)phenyl)-5-(hydroxymethyl)oxazolidin-2-one (16)</w:t>
      </w:r>
      <w:r>
        <w:rPr>
          <w:szCs w:val="24"/>
        </w:rPr>
        <w:t xml:space="preserve">. </w:t>
      </w:r>
    </w:p>
    <w:p>
      <w:pPr>
        <w:pStyle w:val="Normal"/>
        <w:snapToGrid w:val="false"/>
        <w:rPr>
          <w:rFonts w:ascii="Palatino Linotype" w:hAnsi="Palatino Linotype" w:cs="Palatino Linotype"/>
          <w:color w:val="000000"/>
          <w:sz w:val="20"/>
          <w:lang w:eastAsia="en-US"/>
        </w:rPr>
      </w:pPr>
      <w:r>
        <w:rPr>
          <w:rFonts w:cs="Palatino Linotype" w:ascii="Palatino Linotype" w:hAnsi="Palatino Linotype"/>
          <w:color w:val="000000"/>
          <w:sz w:val="20"/>
          <w:lang w:eastAsia="en-US"/>
        </w:rPr>
        <w:t>2-(((5-bromopyridin-2-yl)oxy)methyl)-2-methyl-6-nitro-2,3-dihydroimidazo[2,1-b]oxazole (532 mg, 1.5 mmol), (R)-3-(3-fluoro-4-hydroxyphenyl)-5-(hydroxymethyl)oxazolidin-2-one (376 mg, 1.65 mmol ),  Potassium carbonate(622mg, 4.5mmol), Cuprous iodide(286 mg, 1.5 mmol) and N,N,N',N'-Tetramethylethylenediamine (TMEDA) (174 mg, 1.5 mmol) were added in N,N-dimethylformamide (5mL). The mixture was stirred at 90</w:t>
      </w:r>
      <w:r>
        <w:rPr>
          <w:rFonts w:eastAsia="SimSun;宋体" w:cs="SimSun;宋体" w:ascii="SimSun;宋体" w:hAnsi="SimSun;宋体"/>
          <w:color w:val="000000"/>
          <w:sz w:val="20"/>
          <w:lang w:eastAsia="en-US"/>
        </w:rPr>
        <w:t>℃</w:t>
      </w:r>
      <w:r>
        <w:rPr>
          <w:rFonts w:cs="Palatino Linotype" w:ascii="Palatino Linotype" w:hAnsi="Palatino Linotype"/>
          <w:color w:val="000000"/>
          <w:sz w:val="20"/>
          <w:lang w:eastAsia="en-US"/>
        </w:rPr>
        <w:t xml:space="preserve"> for 12h. The mixture was cooled to room temperature, then poured into water (50mL), the solvent was filtered and the filtered solid was pump dried. The crude product was further purified by silica chromatography column (DCM:MeOH = 100:2 ) to give (5</w:t>
      </w:r>
      <w:r>
        <w:rPr>
          <w:rFonts w:cs="Palatino Linotype" w:ascii="Palatino Linotype" w:hAnsi="Palatino Linotype"/>
          <w:i/>
          <w:color w:val="000000"/>
          <w:sz w:val="20"/>
          <w:lang w:eastAsia="en-US"/>
        </w:rPr>
        <w:t>R</w:t>
      </w:r>
      <w:r>
        <w:rPr>
          <w:rFonts w:cs="Palatino Linotype" w:ascii="Palatino Linotype" w:hAnsi="Palatino Linotype"/>
          <w:color w:val="000000"/>
          <w:sz w:val="20"/>
          <w:lang w:eastAsia="en-US"/>
        </w:rPr>
        <w:t xml:space="preserve">)-3-(3-fluoro-4-((5-((2-methyl-6-nitro-2,3-dihydroimidazo -[2,1-b]oxazol-2-yl)methoxy)pyridin-2-yl)oxy)phenyl)-5-(hydroxymethyl)oxazolidin-2-one(200mg,yield: 26.6%). </w:t>
      </w:r>
      <w:r>
        <w:rPr>
          <w:rFonts w:cs="Palatino Linotype" w:ascii="Palatino Linotype" w:hAnsi="Palatino Linotype"/>
          <w:color w:val="000000"/>
          <w:sz w:val="20"/>
          <w:vertAlign w:val="superscript"/>
          <w:lang w:eastAsia="en-US"/>
        </w:rPr>
        <w:t>1</w:t>
      </w:r>
      <w:r>
        <w:rPr>
          <w:rFonts w:cs="Palatino Linotype" w:ascii="Palatino Linotype" w:hAnsi="Palatino Linotype"/>
          <w:color w:val="000000"/>
          <w:sz w:val="20"/>
          <w:lang w:eastAsia="en-US"/>
        </w:rPr>
        <w:t xml:space="preserve">H NMR (500 MHz, DMSO) δ 8.29 (s, 1H), 8.05 (s, 1H), 7.88 (d, </w:t>
      </w:r>
      <w:r>
        <w:rPr>
          <w:rFonts w:cs="Palatino Linotype" w:ascii="Palatino Linotype" w:hAnsi="Palatino Linotype"/>
          <w:i/>
          <w:color w:val="000000"/>
          <w:sz w:val="20"/>
          <w:lang w:eastAsia="en-US"/>
        </w:rPr>
        <w:t>J</w:t>
      </w:r>
      <w:r>
        <w:rPr>
          <w:rFonts w:cs="Palatino Linotype" w:ascii="Palatino Linotype" w:hAnsi="Palatino Linotype"/>
          <w:color w:val="000000"/>
          <w:sz w:val="20"/>
          <w:lang w:eastAsia="en-US"/>
        </w:rPr>
        <w:t xml:space="preserve"> = 8.4 Hz, 1H), 7.64 – 7.50 (m, 2H), 7.41 (d, </w:t>
      </w:r>
      <w:r>
        <w:rPr>
          <w:rFonts w:cs="Palatino Linotype" w:ascii="Palatino Linotype" w:hAnsi="Palatino Linotype"/>
          <w:i/>
          <w:color w:val="000000"/>
          <w:sz w:val="20"/>
          <w:lang w:eastAsia="en-US"/>
        </w:rPr>
        <w:t>J</w:t>
      </w:r>
      <w:r>
        <w:rPr>
          <w:rFonts w:cs="Palatino Linotype" w:ascii="Palatino Linotype" w:hAnsi="Palatino Linotype"/>
          <w:color w:val="000000"/>
          <w:sz w:val="20"/>
          <w:lang w:eastAsia="en-US"/>
        </w:rPr>
        <w:t xml:space="preserve"> = 8.5 Hz, 1H), 6.92 (d, </w:t>
      </w:r>
      <w:r>
        <w:rPr>
          <w:rFonts w:cs="Palatino Linotype" w:ascii="Palatino Linotype" w:hAnsi="Palatino Linotype"/>
          <w:i/>
          <w:color w:val="000000"/>
          <w:sz w:val="20"/>
          <w:lang w:eastAsia="en-US"/>
        </w:rPr>
        <w:t>J</w:t>
      </w:r>
      <w:r>
        <w:rPr>
          <w:rFonts w:cs="Palatino Linotype" w:ascii="Palatino Linotype" w:hAnsi="Palatino Linotype"/>
          <w:color w:val="000000"/>
          <w:sz w:val="20"/>
          <w:lang w:eastAsia="en-US"/>
        </w:rPr>
        <w:t xml:space="preserve"> = 8.5 Hz, 1H), 4.70 (s, 1H), 4.48 (s, 2H), 4.23 – 4.01 (m, 3H), 3.83 (t, </w:t>
      </w:r>
      <w:r>
        <w:rPr>
          <w:rFonts w:cs="Palatino Linotype" w:ascii="Palatino Linotype" w:hAnsi="Palatino Linotype"/>
          <w:i/>
          <w:color w:val="000000"/>
          <w:sz w:val="20"/>
          <w:lang w:eastAsia="en-US"/>
        </w:rPr>
        <w:t>J</w:t>
      </w:r>
      <w:r>
        <w:rPr>
          <w:rFonts w:cs="Palatino Linotype" w:ascii="Palatino Linotype" w:hAnsi="Palatino Linotype"/>
          <w:color w:val="000000"/>
          <w:sz w:val="20"/>
          <w:lang w:eastAsia="en-US"/>
        </w:rPr>
        <w:t xml:space="preserve"> = 7.3 Hz, 1H), 3.65 (d, </w:t>
      </w:r>
      <w:r>
        <w:rPr>
          <w:rFonts w:cs="Palatino Linotype" w:ascii="Palatino Linotype" w:hAnsi="Palatino Linotype"/>
          <w:i/>
          <w:color w:val="000000"/>
          <w:sz w:val="20"/>
          <w:lang w:eastAsia="en-US"/>
        </w:rPr>
        <w:t>J</w:t>
      </w:r>
      <w:r>
        <w:rPr>
          <w:rFonts w:cs="Palatino Linotype" w:ascii="Palatino Linotype" w:hAnsi="Palatino Linotype"/>
          <w:color w:val="000000"/>
          <w:sz w:val="20"/>
          <w:lang w:eastAsia="en-US"/>
        </w:rPr>
        <w:t xml:space="preserve"> = 12.4 Hz, 1H), 3.53 (d, </w:t>
      </w:r>
      <w:r>
        <w:rPr>
          <w:rFonts w:cs="Palatino Linotype" w:ascii="Palatino Linotype" w:hAnsi="Palatino Linotype"/>
          <w:i/>
          <w:color w:val="000000"/>
          <w:sz w:val="20"/>
          <w:lang w:eastAsia="en-US"/>
        </w:rPr>
        <w:t>J</w:t>
      </w:r>
      <w:r>
        <w:rPr>
          <w:rFonts w:cs="Palatino Linotype" w:ascii="Palatino Linotype" w:hAnsi="Palatino Linotype"/>
          <w:color w:val="000000"/>
          <w:sz w:val="20"/>
          <w:lang w:eastAsia="en-US"/>
        </w:rPr>
        <w:t xml:space="preserve"> = 12.2 Hz, 1H), 2.40 – 2.29 (m, 1H), 2.22 – 2.09 (m, 1H), 1.46 (s, 3H). LC-MS (ESI): m/z = 502 (M+H)</w:t>
      </w:r>
      <w:r>
        <w:rPr>
          <w:rFonts w:cs="Palatino Linotype" w:ascii="Palatino Linotype" w:hAnsi="Palatino Linotype"/>
          <w:color w:val="000000"/>
          <w:sz w:val="20"/>
          <w:vertAlign w:val="superscript"/>
          <w:lang w:eastAsia="en-US"/>
        </w:rPr>
        <w:t>+</w:t>
      </w:r>
      <w:r>
        <w:rPr>
          <w:rFonts w:cs="Palatino Linotype" w:ascii="Palatino Linotype" w:hAnsi="Palatino Linotype"/>
          <w:color w:val="000000"/>
          <w:sz w:val="20"/>
          <w:lang w:eastAsia="en-US"/>
        </w:rPr>
        <w:t>.</w:t>
      </w:r>
    </w:p>
    <w:p>
      <w:pPr>
        <w:pStyle w:val="MDPI31text"/>
        <w:spacing w:before="120" w:after="0"/>
        <w:rPr>
          <w:color w:val="000000"/>
          <w:szCs w:val="20"/>
          <w:lang w:eastAsia="en-US" w:bidi="ar-SA"/>
        </w:rPr>
      </w:pPr>
      <w:r>
        <w:rPr>
          <w:b/>
          <w:bCs/>
          <w:color w:val="000000"/>
          <w:szCs w:val="20"/>
          <w:lang w:eastAsia="en-US" w:bidi="ar-SA"/>
        </w:rPr>
        <w:t>(5</w:t>
      </w:r>
      <w:r>
        <w:rPr>
          <w:b/>
          <w:bCs/>
          <w:i/>
          <w:iCs/>
          <w:color w:val="000000"/>
          <w:szCs w:val="20"/>
          <w:lang w:eastAsia="en-US" w:bidi="ar-SA"/>
        </w:rPr>
        <w:t>R</w:t>
      </w:r>
      <w:r>
        <w:rPr>
          <w:b/>
          <w:bCs/>
          <w:color w:val="000000"/>
          <w:szCs w:val="20"/>
          <w:lang w:eastAsia="en-US" w:bidi="ar-SA"/>
        </w:rPr>
        <w:t>)-3-(3-fluoro-4-(6-((2-nitro-6,7-dihydro-5</w:t>
      </w:r>
      <w:r>
        <w:rPr>
          <w:b/>
          <w:bCs/>
          <w:i/>
          <w:iCs/>
          <w:color w:val="000000"/>
          <w:szCs w:val="20"/>
          <w:lang w:eastAsia="en-US" w:bidi="ar-SA"/>
        </w:rPr>
        <w:t>H</w:t>
      </w:r>
      <w:r>
        <w:rPr>
          <w:b/>
          <w:bCs/>
          <w:color w:val="000000"/>
          <w:szCs w:val="20"/>
          <w:lang w:eastAsia="en-US" w:bidi="ar-SA"/>
        </w:rPr>
        <w:t>-imidazo[2,1-</w:t>
      </w:r>
      <w:r>
        <w:rPr>
          <w:b/>
          <w:bCs/>
          <w:i/>
          <w:iCs/>
          <w:color w:val="000000"/>
          <w:szCs w:val="20"/>
          <w:lang w:eastAsia="en-US" w:bidi="ar-SA"/>
        </w:rPr>
        <w:t>b</w:t>
      </w:r>
      <w:r>
        <w:rPr>
          <w:b/>
          <w:bCs/>
          <w:color w:val="000000"/>
          <w:szCs w:val="20"/>
          <w:lang w:eastAsia="en-US" w:bidi="ar-SA"/>
        </w:rPr>
        <w:t>][1,3]oxazin-7-yl)methoxy)pyridin-3-yl)phenyl)-5-(hydroxymethyl)oxazolidin-2-one (19a)</w:t>
      </w:r>
      <w:r>
        <w:rPr>
          <w:color w:val="000000"/>
          <w:szCs w:val="20"/>
          <w:lang w:eastAsia="en-US" w:bidi="ar-SA"/>
        </w:rPr>
        <w:t xml:space="preserve">. </w:t>
      </w:r>
      <w:r>
        <w:rPr>
          <w:szCs w:val="24"/>
        </w:rPr>
        <w:t xml:space="preserve">The title compound was prepared by following the same procedure as described in preparation of </w:t>
      </w:r>
      <w:r>
        <w:rPr>
          <w:b/>
          <w:bCs/>
          <w:szCs w:val="24"/>
        </w:rPr>
        <w:t>8a</w:t>
      </w:r>
      <w:r>
        <w:rPr>
          <w:szCs w:val="24"/>
        </w:rPr>
        <w:t xml:space="preserve"> except 7-(((5-bromopyridin-2-yl)oxy)methyl)-2-nitro-6,7-dihydro-5</w:t>
      </w:r>
      <w:r>
        <w:rPr>
          <w:i/>
          <w:iCs/>
          <w:szCs w:val="24"/>
        </w:rPr>
        <w:t>H</w:t>
      </w:r>
      <w:r>
        <w:rPr>
          <w:szCs w:val="24"/>
        </w:rPr>
        <w:t>-imidazo[2,1-</w:t>
      </w:r>
      <w:r>
        <w:rPr>
          <w:i/>
          <w:iCs/>
          <w:szCs w:val="24"/>
        </w:rPr>
        <w:t>b</w:t>
      </w:r>
      <w:r>
        <w:rPr>
          <w:szCs w:val="24"/>
        </w:rPr>
        <w:t>][1,3]oxazine was used instead of (</w:t>
      </w:r>
      <w:r>
        <w:rPr>
          <w:i/>
          <w:iCs/>
          <w:szCs w:val="24"/>
        </w:rPr>
        <w:t>S</w:t>
      </w:r>
      <w:r>
        <w:rPr>
          <w:szCs w:val="24"/>
        </w:rPr>
        <w:t>)-6-((5-bromopyridin-2-yl)oxy)-2-nitro-6,7-dihydro-5</w:t>
      </w:r>
      <w:r>
        <w:rPr>
          <w:i/>
          <w:iCs/>
          <w:szCs w:val="24"/>
        </w:rPr>
        <w:t>H</w:t>
      </w:r>
      <w:r>
        <w:rPr>
          <w:szCs w:val="24"/>
        </w:rPr>
        <w:t>-imidazo[2,1-</w:t>
      </w:r>
      <w:r>
        <w:rPr>
          <w:i/>
          <w:iCs/>
          <w:szCs w:val="24"/>
        </w:rPr>
        <w:t>b</w:t>
      </w:r>
      <w:r>
        <w:rPr>
          <w:szCs w:val="24"/>
        </w:rPr>
        <w:t xml:space="preserve">][1,3]oxazine. </w:t>
      </w:r>
      <w:r>
        <w:rPr>
          <w:szCs w:val="24"/>
          <w:vertAlign w:val="superscript"/>
        </w:rPr>
        <w:t>1</w:t>
      </w:r>
      <w:r>
        <w:rPr>
          <w:szCs w:val="24"/>
        </w:rPr>
        <w:t xml:space="preserve">H NMR (400 MHz, DMSO) δ 8.32 (s, 1H), 8.06 (s, 1H), 7.91 (d, </w:t>
      </w:r>
      <w:r>
        <w:rPr>
          <w:i/>
          <w:szCs w:val="24"/>
        </w:rPr>
        <w:t>J</w:t>
      </w:r>
      <w:r>
        <w:rPr>
          <w:szCs w:val="24"/>
        </w:rPr>
        <w:t xml:space="preserve"> = 8.2 Hz, 1H), 7.58 (dd, </w:t>
      </w:r>
      <w:r>
        <w:rPr>
          <w:i/>
          <w:szCs w:val="24"/>
        </w:rPr>
        <w:t>J</w:t>
      </w:r>
      <w:r>
        <w:rPr>
          <w:szCs w:val="24"/>
        </w:rPr>
        <w:t xml:space="preserve"> = 22.0, 11.8 Hz, 2H), 7.42 (d, </w:t>
      </w:r>
      <w:r>
        <w:rPr>
          <w:i/>
          <w:szCs w:val="24"/>
        </w:rPr>
        <w:t>J</w:t>
      </w:r>
      <w:r>
        <w:rPr>
          <w:szCs w:val="24"/>
        </w:rPr>
        <w:t xml:space="preserve"> = 8.0 Hz, 1H), 6.97 (d, </w:t>
      </w:r>
      <w:r>
        <w:rPr>
          <w:i/>
          <w:szCs w:val="24"/>
        </w:rPr>
        <w:t>J</w:t>
      </w:r>
      <w:r>
        <w:rPr>
          <w:szCs w:val="24"/>
        </w:rPr>
        <w:t xml:space="preserve"> = 8.5 Hz, 1H), 5.21 (t, </w:t>
      </w:r>
      <w:r>
        <w:rPr>
          <w:i/>
          <w:szCs w:val="24"/>
        </w:rPr>
        <w:t>J</w:t>
      </w:r>
      <w:r>
        <w:rPr>
          <w:szCs w:val="24"/>
        </w:rPr>
        <w:t xml:space="preserve"> = 5.4 Hz, 1H), 4.91 (s, 1H), 4.71 (d, </w:t>
      </w:r>
      <w:r>
        <w:rPr>
          <w:i/>
          <w:szCs w:val="24"/>
        </w:rPr>
        <w:t>J</w:t>
      </w:r>
      <w:r>
        <w:rPr>
          <w:szCs w:val="24"/>
        </w:rPr>
        <w:t xml:space="preserve"> = 2.9 Hz, 1H), 4.57 (dt, </w:t>
      </w:r>
      <w:r>
        <w:rPr>
          <w:i/>
          <w:szCs w:val="24"/>
        </w:rPr>
        <w:t>J</w:t>
      </w:r>
      <w:r>
        <w:rPr>
          <w:szCs w:val="24"/>
        </w:rPr>
        <w:t xml:space="preserve"> = 12.1, 7.7 Hz, 2H), 4.21 – 4.01 (m, 3H), 3.89 – 3.80 (m, 1H), 3.66 (d, </w:t>
      </w:r>
      <w:r>
        <w:rPr>
          <w:i/>
          <w:szCs w:val="24"/>
        </w:rPr>
        <w:t xml:space="preserve">J </w:t>
      </w:r>
      <w:r>
        <w:rPr>
          <w:szCs w:val="24"/>
        </w:rPr>
        <w:t xml:space="preserve">= 11.5 Hz, 1H), 3.60 – 3.49 (m, 1H), 2.29 (d, </w:t>
      </w:r>
      <w:r>
        <w:rPr>
          <w:i/>
          <w:szCs w:val="24"/>
        </w:rPr>
        <w:t>J</w:t>
      </w:r>
      <w:r>
        <w:rPr>
          <w:szCs w:val="24"/>
        </w:rPr>
        <w:t xml:space="preserve"> = 13.4 Hz, 1H), 2.18 (dd, </w:t>
      </w:r>
      <w:r>
        <w:rPr>
          <w:i/>
          <w:szCs w:val="24"/>
        </w:rPr>
        <w:t>J</w:t>
      </w:r>
      <w:r>
        <w:rPr>
          <w:szCs w:val="24"/>
        </w:rPr>
        <w:t xml:space="preserve"> = 15.1, 9.6 Hz, 1H).</w:t>
      </w:r>
      <w:r>
        <w:rPr>
          <w:rFonts w:cs="Times New Roman" w:ascii="Times New Roman" w:hAnsi="Times New Roman"/>
          <w:szCs w:val="24"/>
        </w:rPr>
        <w:t xml:space="preserve"> </w:t>
      </w:r>
      <w:r>
        <w:rPr>
          <w:rFonts w:cs="Times-Roman;Times New Roman"/>
          <w:szCs w:val="24"/>
        </w:rPr>
        <w:t>LC-MS (ESI): m/z = 486 (M+H)</w:t>
      </w:r>
      <w:r>
        <w:rPr>
          <w:rFonts w:cs="Times-Roman;Times New Roman"/>
          <w:szCs w:val="24"/>
          <w:vertAlign w:val="superscript"/>
        </w:rPr>
        <w:t>+</w:t>
      </w:r>
      <w:r>
        <w:rPr>
          <w:rFonts w:cs="Times-Roman;Times New Roman"/>
          <w:szCs w:val="24"/>
        </w:rPr>
        <w:t>.</w:t>
      </w:r>
    </w:p>
    <w:p>
      <w:pPr>
        <w:pStyle w:val="MDPI31text"/>
        <w:spacing w:before="120" w:after="0"/>
        <w:rPr>
          <w:color w:val="000000"/>
          <w:szCs w:val="20"/>
          <w:lang w:eastAsia="en-US" w:bidi="ar-SA"/>
        </w:rPr>
      </w:pPr>
      <w:r>
        <w:rPr>
          <w:b/>
          <w:bCs/>
          <w:color w:val="000000"/>
          <w:szCs w:val="20"/>
          <w:lang w:eastAsia="en-US" w:bidi="ar-SA"/>
        </w:rPr>
        <w:t>(5</w:t>
      </w:r>
      <w:r>
        <w:rPr>
          <w:b/>
          <w:bCs/>
          <w:i/>
          <w:iCs/>
          <w:color w:val="000000"/>
          <w:szCs w:val="20"/>
          <w:lang w:eastAsia="en-US" w:bidi="ar-SA"/>
        </w:rPr>
        <w:t>R</w:t>
      </w:r>
      <w:r>
        <w:rPr>
          <w:b/>
          <w:bCs/>
          <w:color w:val="000000"/>
          <w:szCs w:val="20"/>
          <w:lang w:eastAsia="en-US" w:bidi="ar-SA"/>
        </w:rPr>
        <w:t>)-3-(3-fluoro-4-(2-((2-nitro-6,7-dihydro-5</w:t>
      </w:r>
      <w:r>
        <w:rPr>
          <w:b/>
          <w:bCs/>
          <w:i/>
          <w:iCs/>
          <w:color w:val="000000"/>
          <w:szCs w:val="20"/>
          <w:lang w:eastAsia="en-US" w:bidi="ar-SA"/>
        </w:rPr>
        <w:t>H</w:t>
      </w:r>
      <w:r>
        <w:rPr>
          <w:b/>
          <w:bCs/>
          <w:color w:val="000000"/>
          <w:szCs w:val="20"/>
          <w:lang w:eastAsia="en-US" w:bidi="ar-SA"/>
        </w:rPr>
        <w:t>-imidazo[2,1-</w:t>
      </w:r>
      <w:r>
        <w:rPr>
          <w:b/>
          <w:bCs/>
          <w:i/>
          <w:iCs/>
          <w:color w:val="000000"/>
          <w:szCs w:val="20"/>
          <w:lang w:eastAsia="en-US" w:bidi="ar-SA"/>
        </w:rPr>
        <w:t>b</w:t>
      </w:r>
      <w:r>
        <w:rPr>
          <w:b/>
          <w:bCs/>
          <w:color w:val="000000"/>
          <w:szCs w:val="20"/>
          <w:lang w:eastAsia="en-US" w:bidi="ar-SA"/>
        </w:rPr>
        <w:t>][1,3]oxazin-7-yl)methoxy)pyrimidin-5-yl)phenyl)-5-(hydroxymethyl)oxazolidin-2-one (19b)</w:t>
      </w:r>
      <w:r>
        <w:rPr>
          <w:color w:val="000000"/>
          <w:szCs w:val="20"/>
          <w:lang w:eastAsia="en-US" w:bidi="ar-SA"/>
        </w:rPr>
        <w:t xml:space="preserve">. </w:t>
      </w:r>
      <w:r>
        <w:rPr>
          <w:szCs w:val="24"/>
        </w:rPr>
        <w:t xml:space="preserve">The title compound was prepared by following the same procedure as described in preparation of </w:t>
      </w:r>
      <w:r>
        <w:rPr>
          <w:b/>
          <w:bCs/>
          <w:szCs w:val="24"/>
        </w:rPr>
        <w:t>8a</w:t>
      </w:r>
      <w:r>
        <w:rPr>
          <w:szCs w:val="24"/>
        </w:rPr>
        <w:t xml:space="preserve"> except 7-(((5-bromopyrimidin-2-yl)oxy)methyl)-2-nitro-6,7-dihydro-5</w:t>
      </w:r>
      <w:r>
        <w:rPr>
          <w:i/>
          <w:iCs/>
          <w:szCs w:val="24"/>
        </w:rPr>
        <w:t>H</w:t>
      </w:r>
      <w:r>
        <w:rPr>
          <w:szCs w:val="24"/>
        </w:rPr>
        <w:t>-imidazo[2,1-</w:t>
      </w:r>
      <w:r>
        <w:rPr>
          <w:i/>
          <w:iCs/>
          <w:szCs w:val="24"/>
        </w:rPr>
        <w:t>b</w:t>
      </w:r>
      <w:r>
        <w:rPr>
          <w:szCs w:val="24"/>
        </w:rPr>
        <w:t>][1,3]oxazine was used instead of (</w:t>
      </w:r>
      <w:r>
        <w:rPr>
          <w:i/>
          <w:iCs/>
          <w:szCs w:val="24"/>
        </w:rPr>
        <w:t>S</w:t>
      </w:r>
      <w:r>
        <w:rPr>
          <w:szCs w:val="24"/>
        </w:rPr>
        <w:t>)-6-((5-bromopyridin-2-yl)oxy)-2-nitro-6,7-dihydro-5</w:t>
      </w:r>
      <w:r>
        <w:rPr>
          <w:i/>
          <w:iCs/>
          <w:szCs w:val="24"/>
        </w:rPr>
        <w:t>H</w:t>
      </w:r>
      <w:r>
        <w:rPr>
          <w:szCs w:val="24"/>
        </w:rPr>
        <w:t>-imidazo[2,1-</w:t>
      </w:r>
      <w:r>
        <w:rPr>
          <w:i/>
          <w:iCs/>
          <w:szCs w:val="24"/>
        </w:rPr>
        <w:t>b</w:t>
      </w:r>
      <w:r>
        <w:rPr>
          <w:szCs w:val="24"/>
        </w:rPr>
        <w:t xml:space="preserve">][1,3]oxazine. </w:t>
      </w:r>
      <w:r>
        <w:rPr>
          <w:szCs w:val="24"/>
          <w:vertAlign w:val="superscript"/>
        </w:rPr>
        <w:t>1</w:t>
      </w:r>
      <w:r>
        <w:rPr>
          <w:szCs w:val="24"/>
        </w:rPr>
        <w:t xml:space="preserve">H NMR (400 MHz, DMSO) δ 8.81 (d, </w:t>
      </w:r>
      <w:r>
        <w:rPr>
          <w:i/>
          <w:szCs w:val="24"/>
        </w:rPr>
        <w:t>J</w:t>
      </w:r>
      <w:r>
        <w:rPr>
          <w:szCs w:val="24"/>
        </w:rPr>
        <w:t xml:space="preserve"> = 0.9 Hz, 2H), 8.07 (s, 1H), 7.70 – 7.62 (m, 2H), 7.48 – 7.41 (m, 1H), 5.22 (t, </w:t>
      </w:r>
      <w:r>
        <w:rPr>
          <w:i/>
          <w:szCs w:val="24"/>
        </w:rPr>
        <w:t>J</w:t>
      </w:r>
      <w:r>
        <w:rPr>
          <w:szCs w:val="24"/>
        </w:rPr>
        <w:t xml:space="preserve"> = 5.6 Hz, 1H), 5.01 – 4.90 (m, 1H), 4.76 – 4.61 (m, </w:t>
      </w:r>
      <w:r>
        <w:rPr>
          <w:szCs w:val="24"/>
        </w:rPr>
        <w:t>3</w:t>
      </w:r>
      <w:r>
        <w:rPr>
          <w:szCs w:val="24"/>
        </w:rPr>
        <w:t xml:space="preserve">H), 4.20 – 4.06 (m, </w:t>
      </w:r>
      <w:r>
        <w:rPr>
          <w:szCs w:val="24"/>
        </w:rPr>
        <w:t>3</w:t>
      </w:r>
      <w:r>
        <w:rPr>
          <w:szCs w:val="24"/>
        </w:rPr>
        <w:t xml:space="preserve">H), 3.85 (dd, </w:t>
      </w:r>
      <w:r>
        <w:rPr>
          <w:i/>
          <w:szCs w:val="24"/>
        </w:rPr>
        <w:t>J</w:t>
      </w:r>
      <w:r>
        <w:rPr>
          <w:szCs w:val="24"/>
        </w:rPr>
        <w:t xml:space="preserve"> = 8.8, 6.3 Hz, 1H), 3.66 (ddd, </w:t>
      </w:r>
      <w:r>
        <w:rPr>
          <w:i/>
          <w:szCs w:val="24"/>
        </w:rPr>
        <w:t>J</w:t>
      </w:r>
      <w:r>
        <w:rPr>
          <w:szCs w:val="24"/>
        </w:rPr>
        <w:t xml:space="preserve"> = 12.3, 5.2, 3.4 Hz, 1H), 3.54 (ddd, </w:t>
      </w:r>
      <w:r>
        <w:rPr>
          <w:i/>
          <w:szCs w:val="24"/>
        </w:rPr>
        <w:t>J</w:t>
      </w:r>
      <w:r>
        <w:rPr>
          <w:szCs w:val="24"/>
        </w:rPr>
        <w:t xml:space="preserve"> = 12.4, 5.6, 4.1 Hz, 1H), 2.30 (dd, </w:t>
      </w:r>
      <w:r>
        <w:rPr>
          <w:i/>
          <w:szCs w:val="24"/>
        </w:rPr>
        <w:t>J</w:t>
      </w:r>
      <w:r>
        <w:rPr>
          <w:szCs w:val="24"/>
        </w:rPr>
        <w:t xml:space="preserve"> = 11.9, 2.4 Hz, 1H), 2.24 – 2.10 (m, 1H).</w:t>
      </w:r>
      <w:r>
        <w:rPr>
          <w:rFonts w:cs="Times New Roman" w:ascii="Times New Roman" w:hAnsi="Times New Roman"/>
          <w:szCs w:val="24"/>
        </w:rPr>
        <w:t xml:space="preserve"> </w:t>
      </w:r>
      <w:r>
        <w:rPr>
          <w:rFonts w:cs="Times-Roman;Times New Roman"/>
          <w:szCs w:val="24"/>
        </w:rPr>
        <w:t>LC-MS (ESI): m/z = 487 (M+H)</w:t>
      </w:r>
      <w:r>
        <w:rPr>
          <w:rFonts w:cs="Times-Roman;Times New Roman"/>
          <w:szCs w:val="24"/>
          <w:vertAlign w:val="superscript"/>
        </w:rPr>
        <w:t>+</w:t>
      </w:r>
      <w:r>
        <w:rPr>
          <w:rFonts w:cs="Times-Roman;Times New Roman"/>
          <w:szCs w:val="24"/>
        </w:rPr>
        <w:t>.</w:t>
      </w:r>
    </w:p>
    <w:p>
      <w:pPr>
        <w:pStyle w:val="MDPI31text"/>
        <w:spacing w:before="120" w:after="0"/>
        <w:rPr>
          <w:rFonts w:eastAsia="SimSun;宋体"/>
          <w:color w:val="000000"/>
          <w:kern w:val="2"/>
          <w:szCs w:val="20"/>
          <w:lang w:eastAsia="zh-CN" w:bidi="ar-SA"/>
        </w:rPr>
      </w:pPr>
      <w:r>
        <w:rPr>
          <w:rFonts w:eastAsia="SimSun;宋体"/>
          <w:b/>
          <w:bCs/>
          <w:color w:val="000000"/>
          <w:kern w:val="2"/>
          <w:szCs w:val="20"/>
          <w:lang w:eastAsia="zh-CN" w:bidi="ar-SA"/>
        </w:rPr>
        <w:t>(5</w:t>
      </w:r>
      <w:r>
        <w:rPr>
          <w:rFonts w:eastAsia="SimSun;宋体"/>
          <w:b/>
          <w:bCs/>
          <w:i/>
          <w:iCs/>
          <w:color w:val="000000"/>
          <w:kern w:val="2"/>
          <w:szCs w:val="20"/>
          <w:lang w:eastAsia="zh-CN" w:bidi="ar-SA"/>
        </w:rPr>
        <w:t>R</w:t>
      </w:r>
      <w:r>
        <w:rPr>
          <w:rFonts w:eastAsia="SimSun;宋体"/>
          <w:b/>
          <w:bCs/>
          <w:color w:val="000000"/>
          <w:kern w:val="2"/>
          <w:szCs w:val="20"/>
          <w:lang w:eastAsia="zh-CN" w:bidi="ar-SA"/>
        </w:rPr>
        <w:t>)-3-(3-fluoro-4-(6-((7-methyl-2-nitro-6,7-dihydro-5</w:t>
      </w:r>
      <w:r>
        <w:rPr>
          <w:rFonts w:eastAsia="SimSun;宋体"/>
          <w:b/>
          <w:bCs/>
          <w:i/>
          <w:iCs/>
          <w:color w:val="000000"/>
          <w:kern w:val="2"/>
          <w:szCs w:val="20"/>
          <w:lang w:eastAsia="zh-CN" w:bidi="ar-SA"/>
        </w:rPr>
        <w:t>H</w:t>
      </w:r>
      <w:r>
        <w:rPr>
          <w:rFonts w:eastAsia="SimSun;宋体"/>
          <w:b/>
          <w:bCs/>
          <w:color w:val="000000"/>
          <w:kern w:val="2"/>
          <w:szCs w:val="20"/>
          <w:lang w:eastAsia="zh-CN" w:bidi="ar-SA"/>
        </w:rPr>
        <w:t>-imidazo[2,1-</w:t>
      </w:r>
      <w:r>
        <w:rPr>
          <w:rFonts w:eastAsia="SimSun;宋体"/>
          <w:b/>
          <w:bCs/>
          <w:i/>
          <w:iCs/>
          <w:color w:val="000000"/>
          <w:kern w:val="2"/>
          <w:szCs w:val="20"/>
          <w:lang w:eastAsia="zh-CN" w:bidi="ar-SA"/>
        </w:rPr>
        <w:t>b</w:t>
      </w:r>
      <w:r>
        <w:rPr>
          <w:rFonts w:eastAsia="SimSun;宋体"/>
          <w:b/>
          <w:bCs/>
          <w:color w:val="000000"/>
          <w:kern w:val="2"/>
          <w:szCs w:val="20"/>
          <w:lang w:eastAsia="zh-CN" w:bidi="ar-SA"/>
        </w:rPr>
        <w:t>][1,3]oxazin-7-yl)methoxy)pyridin-3-yl)phenyl)-5-(hydroxymethyl)oxazolidin-2-one (19c)</w:t>
      </w:r>
      <w:r>
        <w:rPr>
          <w:rFonts w:eastAsia="SimSun;宋体"/>
          <w:color w:val="000000"/>
          <w:kern w:val="2"/>
          <w:szCs w:val="20"/>
          <w:lang w:eastAsia="zh-CN" w:bidi="ar-SA"/>
        </w:rPr>
        <w:t xml:space="preserve">. </w:t>
      </w:r>
      <w:r>
        <w:rPr>
          <w:szCs w:val="24"/>
        </w:rPr>
        <w:t xml:space="preserve">The title compound was prepared by following the same procedure as described in preparation of </w:t>
      </w:r>
      <w:r>
        <w:rPr>
          <w:b/>
          <w:bCs/>
          <w:szCs w:val="24"/>
        </w:rPr>
        <w:t>8a</w:t>
      </w:r>
      <w:r>
        <w:rPr>
          <w:szCs w:val="24"/>
        </w:rPr>
        <w:t xml:space="preserve"> except 7-(((5-bromopyridin-2-yl)oxy)methyl)-7-methyl-2-nitro-6,7-dihydro-5</w:t>
      </w:r>
      <w:r>
        <w:rPr>
          <w:i/>
          <w:iCs/>
          <w:szCs w:val="24"/>
        </w:rPr>
        <w:t>H</w:t>
      </w:r>
      <w:r>
        <w:rPr>
          <w:szCs w:val="24"/>
        </w:rPr>
        <w:t>-imidazo[2,1-</w:t>
      </w:r>
      <w:r>
        <w:rPr>
          <w:i/>
          <w:iCs/>
          <w:szCs w:val="24"/>
        </w:rPr>
        <w:t>b</w:t>
      </w:r>
      <w:r>
        <w:rPr>
          <w:szCs w:val="24"/>
        </w:rPr>
        <w:t>][1,3]oxazine was used instead of (</w:t>
      </w:r>
      <w:r>
        <w:rPr>
          <w:i/>
          <w:iCs/>
          <w:szCs w:val="24"/>
        </w:rPr>
        <w:t>S</w:t>
      </w:r>
      <w:r>
        <w:rPr>
          <w:szCs w:val="24"/>
        </w:rPr>
        <w:t>)-6-((5-bromopyridin-2-yl)oxy)-2-nitro-6,7-dihydro-5</w:t>
      </w:r>
      <w:r>
        <w:rPr>
          <w:i/>
          <w:iCs/>
          <w:szCs w:val="24"/>
        </w:rPr>
        <w:t>H</w:t>
      </w:r>
      <w:r>
        <w:rPr>
          <w:szCs w:val="24"/>
        </w:rPr>
        <w:t>-imidazo[2,1-</w:t>
      </w:r>
      <w:r>
        <w:rPr>
          <w:i/>
          <w:iCs/>
          <w:szCs w:val="24"/>
        </w:rPr>
        <w:t>b</w:t>
      </w:r>
      <w:r>
        <w:rPr>
          <w:szCs w:val="24"/>
        </w:rPr>
        <w:t xml:space="preserve">][1,3]oxazine. </w:t>
      </w:r>
      <w:r>
        <w:rPr>
          <w:szCs w:val="24"/>
          <w:vertAlign w:val="superscript"/>
        </w:rPr>
        <w:t>1</w:t>
      </w:r>
      <w:r>
        <w:rPr>
          <w:szCs w:val="24"/>
        </w:rPr>
        <w:t xml:space="preserve">H NMR (500 MHz, DMSO) δ 8.29 (s, 1H), 8.05 (s, 1H), 7.88 (d, </w:t>
      </w:r>
      <w:r>
        <w:rPr>
          <w:i/>
          <w:szCs w:val="24"/>
        </w:rPr>
        <w:t>J</w:t>
      </w:r>
      <w:r>
        <w:rPr>
          <w:szCs w:val="24"/>
        </w:rPr>
        <w:t xml:space="preserve"> = 8.4 Hz, 1H), 7.64 – 7.50 (m, 2H), 7.41 (d, </w:t>
      </w:r>
      <w:r>
        <w:rPr>
          <w:i/>
          <w:szCs w:val="24"/>
        </w:rPr>
        <w:t>J</w:t>
      </w:r>
      <w:r>
        <w:rPr>
          <w:szCs w:val="24"/>
        </w:rPr>
        <w:t xml:space="preserve"> = 8.5 Hz, 1H), 6.92 (d, </w:t>
      </w:r>
      <w:r>
        <w:rPr>
          <w:i/>
          <w:szCs w:val="24"/>
        </w:rPr>
        <w:t>J</w:t>
      </w:r>
      <w:r>
        <w:rPr>
          <w:szCs w:val="24"/>
        </w:rPr>
        <w:t xml:space="preserve"> = 8.5 Hz, 1H), 4.70 (s, 1H), 4.48 (s, 2H), 4.11 (dt, </w:t>
      </w:r>
      <w:r>
        <w:rPr>
          <w:i/>
          <w:szCs w:val="24"/>
        </w:rPr>
        <w:t>J</w:t>
      </w:r>
      <w:r>
        <w:rPr>
          <w:szCs w:val="24"/>
        </w:rPr>
        <w:t xml:space="preserve"> = 17.0, 7.2 Hz, 3H), 3.83 (t, </w:t>
      </w:r>
      <w:r>
        <w:rPr>
          <w:i/>
          <w:szCs w:val="24"/>
        </w:rPr>
        <w:t>J</w:t>
      </w:r>
      <w:r>
        <w:rPr>
          <w:szCs w:val="24"/>
        </w:rPr>
        <w:t xml:space="preserve"> = 7.3 Hz, 1H), 3.65 (d, </w:t>
      </w:r>
      <w:r>
        <w:rPr>
          <w:i/>
          <w:szCs w:val="24"/>
        </w:rPr>
        <w:t>J</w:t>
      </w:r>
      <w:r>
        <w:rPr>
          <w:szCs w:val="24"/>
        </w:rPr>
        <w:t xml:space="preserve"> = 12.4 Hz, 1H), 3.53 (d, </w:t>
      </w:r>
      <w:r>
        <w:rPr>
          <w:i/>
          <w:szCs w:val="24"/>
        </w:rPr>
        <w:t>J</w:t>
      </w:r>
      <w:r>
        <w:rPr>
          <w:szCs w:val="24"/>
        </w:rPr>
        <w:t xml:space="preserve"> = 12.2 Hz, 1H), 2.40 – 2.29 (m, 1H), 2.22 – 2.09 (m, 1H), 1.46 (s, 3H)</w:t>
      </w:r>
      <w:r>
        <w:rPr>
          <w:rFonts w:cs="Times New Roman" w:ascii="Times New Roman" w:hAnsi="Times New Roman"/>
          <w:szCs w:val="24"/>
        </w:rPr>
        <w:t>.</w:t>
      </w:r>
      <w:r>
        <w:rPr>
          <w:szCs w:val="24"/>
        </w:rPr>
        <w:t xml:space="preserve"> </w:t>
      </w:r>
      <w:r>
        <w:rPr>
          <w:rFonts w:cs="Times-Roman;Times New Roman"/>
          <w:szCs w:val="24"/>
        </w:rPr>
        <w:t>LC-MS (ESI): m/z = 500 (M +H)</w:t>
      </w:r>
      <w:r>
        <w:rPr>
          <w:rFonts w:cs="Times-Roman;Times New Roman"/>
          <w:szCs w:val="24"/>
          <w:vertAlign w:val="superscript"/>
        </w:rPr>
        <w:t>+</w:t>
      </w:r>
      <w:r>
        <w:rPr>
          <w:rFonts w:cs="Times-Roman;Times New Roman"/>
          <w:szCs w:val="24"/>
          <w:vertAlign w:val="subscript"/>
        </w:rPr>
        <w:t>.</w:t>
      </w:r>
    </w:p>
    <w:p>
      <w:pPr>
        <w:pStyle w:val="MDPI22heading2"/>
        <w:rPr>
          <w:lang w:val="en-US" w:eastAsia="de-DE"/>
        </w:rPr>
      </w:pPr>
      <w:r>
        <w:rPr>
          <w:rFonts w:eastAsia="DengXian;等线"/>
          <w:lang w:val="en-US" w:eastAsia="zh-CN"/>
        </w:rPr>
        <w:t>3.</w:t>
      </w:r>
      <w:r>
        <w:rPr>
          <w:rFonts w:eastAsia="DengXian;等线"/>
          <w:lang w:val="en-US" w:eastAsia="zh-CN"/>
        </w:rPr>
        <w:t>2</w:t>
      </w:r>
      <w:r>
        <w:rPr>
          <w:rFonts w:eastAsia="DengXian;等线"/>
          <w:lang w:val="en-US" w:eastAsia="zh-CN"/>
        </w:rPr>
        <w:t>. Biology</w:t>
      </w:r>
    </w:p>
    <w:p>
      <w:pPr>
        <w:pStyle w:val="MDPI31text"/>
        <w:spacing w:before="120" w:after="0"/>
        <w:rPr/>
      </w:pPr>
      <w:r>
        <w:rPr>
          <w:b/>
          <w:bCs/>
        </w:rPr>
        <w:t>Bacterial Strains</w:t>
      </w:r>
      <w:r>
        <w:rPr/>
        <w:t>: Bacterial strains used in the current study are listed in Table</w:t>
      </w:r>
      <w:r>
        <w:rPr>
          <w:color w:val="000000"/>
        </w:rPr>
        <w:t xml:space="preserve"> 4.</w:t>
      </w:r>
      <w:r>
        <w:rPr/>
        <w:t xml:space="preserve"> Strains in the </w:t>
      </w:r>
      <w:r>
        <w:rPr>
          <w:i/>
          <w:iCs/>
        </w:rPr>
        <w:t>Mycobacterium tuberculosis</w:t>
      </w:r>
      <w:r>
        <w:rPr/>
        <w:t xml:space="preserve"> isogenic resistant mutant panel used for the mechanism of action study were generated and tested at Beijing Tuberculosis and Thoracic Tumor Research Institute (BTTTRI, Bejing, China). Strains of the spectrum panel were all ATCC stains and the testing was conducted at HD Biosciences (Shanghai, China). Strains of the anaerobic bacterial panel were ATCC strains and the test was conducted at Micomyx Inc. (Kalamazoe, Michigan, USA).</w:t>
      </w:r>
      <w:r>
        <w:br w:type="page"/>
      </w:r>
    </w:p>
    <w:p>
      <w:pPr>
        <w:pStyle w:val="MDPI41tablecaption"/>
        <w:jc w:val="center"/>
        <w:rPr/>
      </w:pPr>
      <w:r>
        <w:rPr>
          <w:b/>
        </w:rPr>
        <w:t xml:space="preserve">Table 4. </w:t>
      </w:r>
      <w:r>
        <w:rPr/>
        <w:t>List of bacterial strains used in the current study</w:t>
      </w:r>
      <w:r>
        <w:rPr>
          <w:rFonts w:eastAsia="DengXian;等线" w:cs="DengXian;等线" w:ascii="DengXian;等线" w:hAnsi="DengXian;等线"/>
          <w:lang w:eastAsia="zh-CN"/>
        </w:rPr>
        <w:t>.</w:t>
      </w:r>
    </w:p>
    <w:tbl>
      <w:tblPr>
        <w:tblW w:w="5000" w:type="pct"/>
        <w:jc w:val="center"/>
        <w:tblInd w:w="0" w:type="dxa"/>
        <w:tblLayout w:type="fixed"/>
        <w:tblCellMar>
          <w:top w:w="0" w:type="dxa"/>
          <w:start w:w="108" w:type="dxa"/>
          <w:bottom w:w="0" w:type="dxa"/>
          <w:end w:w="108" w:type="dxa"/>
        </w:tblCellMar>
      </w:tblPr>
      <w:tblGrid>
        <w:gridCol w:w="1904"/>
        <w:gridCol w:w="3459"/>
        <w:gridCol w:w="1660"/>
        <w:gridCol w:w="1821"/>
      </w:tblGrid>
      <w:tr>
        <w:trPr/>
        <w:tc>
          <w:tcPr>
            <w:tcW w:w="1904" w:type="dxa"/>
            <w:tcBorders>
              <w:top w:val="single" w:sz="8" w:space="0" w:color="000000"/>
              <w:bottom w:val="single" w:sz="8" w:space="0" w:color="000000"/>
            </w:tcBorders>
            <w:vAlign w:val="center"/>
          </w:tcPr>
          <w:p>
            <w:pPr>
              <w:pStyle w:val="MDPI42tablebody"/>
              <w:spacing w:lineRule="auto" w:line="240"/>
              <w:rPr>
                <w:b/>
                <w:b/>
                <w:bCs/>
                <w:sz w:val="18"/>
                <w:szCs w:val="18"/>
              </w:rPr>
            </w:pPr>
            <w:r>
              <w:rPr>
                <w:sz w:val="18"/>
                <w:szCs w:val="18"/>
              </w:rPr>
              <w:t>Panel</w:t>
            </w:r>
          </w:p>
        </w:tc>
        <w:tc>
          <w:tcPr>
            <w:tcW w:w="3459" w:type="dxa"/>
            <w:tcBorders>
              <w:top w:val="single" w:sz="8" w:space="0" w:color="000000"/>
              <w:bottom w:val="single" w:sz="8" w:space="0" w:color="000000"/>
            </w:tcBorders>
            <w:vAlign w:val="center"/>
          </w:tcPr>
          <w:p>
            <w:pPr>
              <w:pStyle w:val="MDPI42tablebody"/>
              <w:spacing w:lineRule="auto" w:line="240"/>
              <w:rPr>
                <w:b/>
                <w:b/>
                <w:bCs/>
                <w:sz w:val="18"/>
                <w:szCs w:val="18"/>
              </w:rPr>
            </w:pPr>
            <w:r>
              <w:rPr>
                <w:sz w:val="18"/>
                <w:szCs w:val="18"/>
              </w:rPr>
              <w:t>Organism</w:t>
            </w:r>
          </w:p>
        </w:tc>
        <w:tc>
          <w:tcPr>
            <w:tcW w:w="1660" w:type="dxa"/>
            <w:tcBorders>
              <w:top w:val="single" w:sz="8" w:space="0" w:color="000000"/>
              <w:bottom w:val="single" w:sz="8" w:space="0" w:color="000000"/>
            </w:tcBorders>
            <w:vAlign w:val="center"/>
          </w:tcPr>
          <w:p>
            <w:pPr>
              <w:pStyle w:val="MDPI42tablebody"/>
              <w:spacing w:lineRule="auto" w:line="240"/>
              <w:rPr>
                <w:b/>
                <w:b/>
                <w:bCs/>
                <w:sz w:val="18"/>
                <w:szCs w:val="18"/>
              </w:rPr>
            </w:pPr>
            <w:r>
              <w:rPr>
                <w:sz w:val="18"/>
                <w:szCs w:val="18"/>
              </w:rPr>
              <w:t>ATCC No.</w:t>
            </w:r>
          </w:p>
        </w:tc>
        <w:tc>
          <w:tcPr>
            <w:tcW w:w="1821" w:type="dxa"/>
            <w:tcBorders>
              <w:top w:val="single" w:sz="8" w:space="0" w:color="000000"/>
              <w:bottom w:val="single" w:sz="8" w:space="0" w:color="000000"/>
            </w:tcBorders>
            <w:vAlign w:val="center"/>
          </w:tcPr>
          <w:p>
            <w:pPr>
              <w:pStyle w:val="MDPI42tablebody"/>
              <w:spacing w:lineRule="auto" w:line="240"/>
              <w:rPr>
                <w:b/>
                <w:b/>
                <w:bCs/>
                <w:sz w:val="18"/>
                <w:szCs w:val="18"/>
              </w:rPr>
            </w:pPr>
            <w:r>
              <w:rPr>
                <w:sz w:val="18"/>
                <w:szCs w:val="18"/>
              </w:rPr>
              <w:t>Testing Facility</w:t>
            </w:r>
          </w:p>
        </w:tc>
      </w:tr>
      <w:tr>
        <w:trPr/>
        <w:tc>
          <w:tcPr>
            <w:tcW w:w="1904" w:type="dxa"/>
            <w:vMerge w:val="restart"/>
            <w:tcBorders>
              <w:top w:val="single" w:sz="8" w:space="0" w:color="000000"/>
            </w:tcBorders>
            <w:vAlign w:val="center"/>
          </w:tcPr>
          <w:p>
            <w:pPr>
              <w:pStyle w:val="MDPI42tablebody"/>
              <w:spacing w:lineRule="auto" w:line="240"/>
              <w:rPr>
                <w:b/>
                <w:b/>
                <w:bCs/>
                <w:sz w:val="18"/>
                <w:szCs w:val="18"/>
              </w:rPr>
            </w:pPr>
            <w:r>
              <w:rPr>
                <w:sz w:val="18"/>
                <w:szCs w:val="18"/>
              </w:rPr>
              <w:t>Spectrum Panel</w:t>
            </w:r>
          </w:p>
        </w:tc>
        <w:tc>
          <w:tcPr>
            <w:tcW w:w="3459" w:type="dxa"/>
            <w:tcBorders>
              <w:top w:val="single" w:sz="8" w:space="0" w:color="000000"/>
            </w:tcBorders>
            <w:vAlign w:val="center"/>
          </w:tcPr>
          <w:p>
            <w:pPr>
              <w:pStyle w:val="MDPI42tablebody"/>
              <w:spacing w:lineRule="auto" w:line="240"/>
              <w:jc w:val="both"/>
              <w:rPr>
                <w:b/>
                <w:b/>
                <w:bCs/>
                <w:sz w:val="18"/>
                <w:szCs w:val="18"/>
              </w:rPr>
            </w:pPr>
            <w:r>
              <w:rPr>
                <w:i/>
                <w:iCs/>
                <w:sz w:val="18"/>
                <w:szCs w:val="18"/>
              </w:rPr>
              <w:t>Enterococcus faecalis</w:t>
            </w:r>
            <w:r>
              <w:rPr>
                <w:sz w:val="18"/>
                <w:szCs w:val="18"/>
              </w:rPr>
              <w:t xml:space="preserve"> (Ef)</w:t>
            </w:r>
          </w:p>
        </w:tc>
        <w:tc>
          <w:tcPr>
            <w:tcW w:w="1660" w:type="dxa"/>
            <w:tcBorders>
              <w:top w:val="single" w:sz="8" w:space="0" w:color="000000"/>
            </w:tcBorders>
            <w:vAlign w:val="center"/>
          </w:tcPr>
          <w:p>
            <w:pPr>
              <w:pStyle w:val="MDPI42tablebody"/>
              <w:spacing w:lineRule="auto" w:line="240"/>
              <w:rPr>
                <w:b/>
                <w:b/>
                <w:bCs/>
                <w:sz w:val="18"/>
                <w:szCs w:val="18"/>
              </w:rPr>
            </w:pPr>
            <w:r>
              <w:rPr>
                <w:sz w:val="18"/>
                <w:szCs w:val="18"/>
              </w:rPr>
              <w:t>700221</w:t>
            </w:r>
          </w:p>
        </w:tc>
        <w:tc>
          <w:tcPr>
            <w:tcW w:w="1821" w:type="dxa"/>
            <w:vMerge w:val="restart"/>
            <w:tcBorders>
              <w:top w:val="single" w:sz="8" w:space="0" w:color="000000"/>
              <w:bottom w:val="single" w:sz="4" w:space="0" w:color="000000"/>
            </w:tcBorders>
            <w:vAlign w:val="center"/>
          </w:tcPr>
          <w:p>
            <w:pPr>
              <w:pStyle w:val="MDPI42tablebody"/>
              <w:spacing w:lineRule="auto" w:line="240"/>
              <w:rPr/>
            </w:pPr>
            <w:r>
              <w:rPr>
                <w:sz w:val="18"/>
                <w:szCs w:val="18"/>
              </w:rPr>
              <w:t>HD</w:t>
            </w:r>
            <w:r>
              <w:rPr>
                <w:rFonts w:eastAsia="DengXian;等线"/>
                <w:sz w:val="18"/>
                <w:szCs w:val="18"/>
                <w:lang w:eastAsia="zh-CN"/>
              </w:rPr>
              <w:t xml:space="preserve"> </w:t>
            </w:r>
            <w:r>
              <w:rPr>
                <w:sz w:val="18"/>
                <w:szCs w:val="18"/>
              </w:rPr>
              <w:t>Biosciences</w:t>
            </w:r>
          </w:p>
        </w:tc>
      </w:tr>
      <w:tr>
        <w:trPr/>
        <w:tc>
          <w:tcPr>
            <w:tcW w:w="1904" w:type="dxa"/>
            <w:vMerge w:val="continue"/>
            <w:tcBorders>
              <w:top w:val="single" w:sz="8" w:space="0" w:color="000000"/>
            </w:tcBorders>
            <w:vAlign w:val="center"/>
          </w:tcPr>
          <w:p>
            <w:pPr>
              <w:pStyle w:val="MDPI42tablebody"/>
              <w:snapToGrid w:val="false"/>
              <w:spacing w:lineRule="auto" w:line="240"/>
              <w:rPr>
                <w:rFonts w:ascii="Palatino Linotype" w:hAnsi="Palatino Linotype" w:cs="Palatino Linotype"/>
                <w:b/>
                <w:b/>
                <w:bCs/>
                <w:sz w:val="18"/>
                <w:szCs w:val="18"/>
                <w:lang w:bidi="en-US"/>
              </w:rPr>
            </w:pPr>
            <w:r>
              <w:rPr>
                <w:rFonts w:cs="Palatino Linotype"/>
                <w:b/>
                <w:bCs/>
                <w:sz w:val="18"/>
                <w:szCs w:val="18"/>
                <w:lang w:bidi="en-US"/>
              </w:rPr>
            </w:r>
          </w:p>
        </w:tc>
        <w:tc>
          <w:tcPr>
            <w:tcW w:w="3459" w:type="dxa"/>
            <w:tcBorders/>
            <w:vAlign w:val="center"/>
          </w:tcPr>
          <w:p>
            <w:pPr>
              <w:pStyle w:val="MDPI42tablebody"/>
              <w:spacing w:lineRule="auto" w:line="240"/>
              <w:jc w:val="both"/>
              <w:rPr>
                <w:b/>
                <w:b/>
                <w:bCs/>
                <w:sz w:val="18"/>
                <w:szCs w:val="18"/>
              </w:rPr>
            </w:pPr>
            <w:r>
              <w:rPr>
                <w:i/>
                <w:iCs/>
                <w:sz w:val="18"/>
                <w:szCs w:val="18"/>
              </w:rPr>
              <w:t>Staphylococcus aureus</w:t>
            </w:r>
            <w:r>
              <w:rPr>
                <w:sz w:val="18"/>
                <w:szCs w:val="18"/>
              </w:rPr>
              <w:t xml:space="preserve"> (Sa)</w:t>
            </w:r>
          </w:p>
        </w:tc>
        <w:tc>
          <w:tcPr>
            <w:tcW w:w="1660" w:type="dxa"/>
            <w:tcBorders/>
            <w:vAlign w:val="center"/>
          </w:tcPr>
          <w:p>
            <w:pPr>
              <w:pStyle w:val="MDPI42tablebody"/>
              <w:spacing w:lineRule="auto" w:line="240"/>
              <w:rPr>
                <w:b/>
                <w:b/>
                <w:bCs/>
                <w:sz w:val="18"/>
                <w:szCs w:val="18"/>
              </w:rPr>
            </w:pPr>
            <w:r>
              <w:rPr>
                <w:sz w:val="18"/>
                <w:szCs w:val="18"/>
              </w:rPr>
              <w:t>292213</w:t>
            </w:r>
          </w:p>
        </w:tc>
        <w:tc>
          <w:tcPr>
            <w:tcW w:w="1821" w:type="dxa"/>
            <w:vMerge w:val="continue"/>
            <w:tcBorders>
              <w:top w:val="single" w:sz="8"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8" w:space="0" w:color="000000"/>
            </w:tcBorders>
            <w:vAlign w:val="center"/>
          </w:tcPr>
          <w:p>
            <w:pPr>
              <w:pStyle w:val="MDPI42tablebody"/>
              <w:snapToGrid w:val="false"/>
              <w:spacing w:lineRule="auto" w:line="240"/>
              <w:rPr>
                <w:rFonts w:ascii="Palatino Linotype" w:hAnsi="Palatino Linotype" w:cs="Palatino Linotype"/>
                <w:b/>
                <w:b/>
                <w:bCs/>
                <w:sz w:val="18"/>
                <w:szCs w:val="18"/>
                <w:lang w:bidi="en-US"/>
              </w:rPr>
            </w:pPr>
            <w:r>
              <w:rPr>
                <w:rFonts w:cs="Palatino Linotype"/>
                <w:b/>
                <w:bCs/>
                <w:sz w:val="18"/>
                <w:szCs w:val="18"/>
                <w:lang w:bidi="en-US"/>
              </w:rPr>
            </w:r>
          </w:p>
        </w:tc>
        <w:tc>
          <w:tcPr>
            <w:tcW w:w="3459" w:type="dxa"/>
            <w:tcBorders/>
            <w:vAlign w:val="center"/>
          </w:tcPr>
          <w:p>
            <w:pPr>
              <w:pStyle w:val="MDPI42tablebody"/>
              <w:spacing w:lineRule="auto" w:line="240"/>
              <w:jc w:val="both"/>
              <w:rPr>
                <w:b/>
                <w:b/>
                <w:bCs/>
                <w:sz w:val="18"/>
                <w:szCs w:val="18"/>
              </w:rPr>
            </w:pPr>
            <w:r>
              <w:rPr>
                <w:i/>
                <w:iCs/>
                <w:sz w:val="18"/>
                <w:szCs w:val="18"/>
              </w:rPr>
              <w:t>Klebciella pneumonia</w:t>
            </w:r>
            <w:r>
              <w:rPr>
                <w:sz w:val="18"/>
                <w:szCs w:val="18"/>
              </w:rPr>
              <w:t xml:space="preserve"> (Kp)</w:t>
            </w:r>
          </w:p>
        </w:tc>
        <w:tc>
          <w:tcPr>
            <w:tcW w:w="1660" w:type="dxa"/>
            <w:tcBorders/>
            <w:vAlign w:val="center"/>
          </w:tcPr>
          <w:p>
            <w:pPr>
              <w:pStyle w:val="MDPI42tablebody"/>
              <w:spacing w:lineRule="auto" w:line="240"/>
              <w:rPr>
                <w:b/>
                <w:b/>
                <w:bCs/>
                <w:sz w:val="18"/>
                <w:szCs w:val="18"/>
              </w:rPr>
            </w:pPr>
            <w:r>
              <w:rPr>
                <w:sz w:val="18"/>
                <w:szCs w:val="18"/>
              </w:rPr>
              <w:t>43816</w:t>
            </w:r>
          </w:p>
        </w:tc>
        <w:tc>
          <w:tcPr>
            <w:tcW w:w="1821" w:type="dxa"/>
            <w:vMerge w:val="continue"/>
            <w:tcBorders>
              <w:top w:val="single" w:sz="8"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8" w:space="0" w:color="000000"/>
            </w:tcBorders>
            <w:vAlign w:val="center"/>
          </w:tcPr>
          <w:p>
            <w:pPr>
              <w:pStyle w:val="MDPI42tablebody"/>
              <w:snapToGrid w:val="false"/>
              <w:spacing w:lineRule="auto" w:line="240"/>
              <w:rPr>
                <w:rFonts w:ascii="Palatino Linotype" w:hAnsi="Palatino Linotype" w:cs="Palatino Linotype"/>
                <w:b/>
                <w:b/>
                <w:bCs/>
                <w:sz w:val="18"/>
                <w:szCs w:val="18"/>
                <w:lang w:bidi="en-US"/>
              </w:rPr>
            </w:pPr>
            <w:r>
              <w:rPr>
                <w:rFonts w:cs="Palatino Linotype"/>
                <w:b/>
                <w:bCs/>
                <w:sz w:val="18"/>
                <w:szCs w:val="18"/>
                <w:lang w:bidi="en-US"/>
              </w:rPr>
            </w:r>
          </w:p>
        </w:tc>
        <w:tc>
          <w:tcPr>
            <w:tcW w:w="3459" w:type="dxa"/>
            <w:tcBorders/>
            <w:vAlign w:val="center"/>
          </w:tcPr>
          <w:p>
            <w:pPr>
              <w:pStyle w:val="MDPI42tablebody"/>
              <w:spacing w:lineRule="auto" w:line="240"/>
              <w:jc w:val="both"/>
              <w:rPr>
                <w:b/>
                <w:b/>
                <w:bCs/>
                <w:sz w:val="18"/>
                <w:szCs w:val="18"/>
              </w:rPr>
            </w:pPr>
            <w:r>
              <w:rPr>
                <w:i/>
                <w:iCs/>
                <w:sz w:val="18"/>
                <w:szCs w:val="18"/>
              </w:rPr>
              <w:t>Acinetobacter baumannii</w:t>
            </w:r>
            <w:r>
              <w:rPr>
                <w:sz w:val="18"/>
                <w:szCs w:val="18"/>
              </w:rPr>
              <w:t xml:space="preserve"> (Ab)</w:t>
            </w:r>
          </w:p>
        </w:tc>
        <w:tc>
          <w:tcPr>
            <w:tcW w:w="1660" w:type="dxa"/>
            <w:tcBorders/>
            <w:vAlign w:val="center"/>
          </w:tcPr>
          <w:p>
            <w:pPr>
              <w:pStyle w:val="MDPI42tablebody"/>
              <w:spacing w:lineRule="auto" w:line="240"/>
              <w:rPr>
                <w:b/>
                <w:b/>
                <w:bCs/>
                <w:sz w:val="18"/>
                <w:szCs w:val="18"/>
              </w:rPr>
            </w:pPr>
            <w:r>
              <w:rPr>
                <w:sz w:val="18"/>
                <w:szCs w:val="18"/>
              </w:rPr>
              <w:t>19606</w:t>
            </w:r>
          </w:p>
        </w:tc>
        <w:tc>
          <w:tcPr>
            <w:tcW w:w="1821" w:type="dxa"/>
            <w:vMerge w:val="continue"/>
            <w:tcBorders>
              <w:top w:val="single" w:sz="8"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8" w:space="0" w:color="000000"/>
            </w:tcBorders>
            <w:vAlign w:val="center"/>
          </w:tcPr>
          <w:p>
            <w:pPr>
              <w:pStyle w:val="MDPI42tablebody"/>
              <w:snapToGrid w:val="false"/>
              <w:spacing w:lineRule="auto" w:line="240"/>
              <w:rPr>
                <w:rFonts w:ascii="Palatino Linotype" w:hAnsi="Palatino Linotype" w:cs="Palatino Linotype"/>
                <w:b/>
                <w:b/>
                <w:bCs/>
                <w:sz w:val="18"/>
                <w:szCs w:val="18"/>
                <w:lang w:bidi="en-US"/>
              </w:rPr>
            </w:pPr>
            <w:r>
              <w:rPr>
                <w:rFonts w:cs="Palatino Linotype"/>
                <w:b/>
                <w:bCs/>
                <w:sz w:val="18"/>
                <w:szCs w:val="18"/>
                <w:lang w:bidi="en-US"/>
              </w:rPr>
            </w:r>
          </w:p>
        </w:tc>
        <w:tc>
          <w:tcPr>
            <w:tcW w:w="3459" w:type="dxa"/>
            <w:tcBorders/>
            <w:vAlign w:val="center"/>
          </w:tcPr>
          <w:p>
            <w:pPr>
              <w:pStyle w:val="MDPI42tablebody"/>
              <w:spacing w:lineRule="auto" w:line="240"/>
              <w:jc w:val="both"/>
              <w:rPr>
                <w:b/>
                <w:b/>
                <w:bCs/>
                <w:sz w:val="18"/>
                <w:szCs w:val="18"/>
              </w:rPr>
            </w:pPr>
            <w:r>
              <w:rPr>
                <w:i/>
                <w:iCs/>
                <w:sz w:val="18"/>
                <w:szCs w:val="18"/>
              </w:rPr>
              <w:t>Pseudomonas aeruginosa</w:t>
            </w:r>
            <w:r>
              <w:rPr>
                <w:sz w:val="18"/>
                <w:szCs w:val="18"/>
              </w:rPr>
              <w:t xml:space="preserve"> (Pa)</w:t>
            </w:r>
          </w:p>
        </w:tc>
        <w:tc>
          <w:tcPr>
            <w:tcW w:w="1660" w:type="dxa"/>
            <w:tcBorders/>
            <w:vAlign w:val="center"/>
          </w:tcPr>
          <w:p>
            <w:pPr>
              <w:pStyle w:val="MDPI42tablebody"/>
              <w:spacing w:lineRule="auto" w:line="240"/>
              <w:rPr>
                <w:b/>
                <w:b/>
                <w:bCs/>
                <w:sz w:val="18"/>
                <w:szCs w:val="18"/>
              </w:rPr>
            </w:pPr>
            <w:r>
              <w:rPr>
                <w:sz w:val="18"/>
                <w:szCs w:val="18"/>
              </w:rPr>
              <w:t>27853</w:t>
            </w:r>
          </w:p>
        </w:tc>
        <w:tc>
          <w:tcPr>
            <w:tcW w:w="1821" w:type="dxa"/>
            <w:vMerge w:val="continue"/>
            <w:tcBorders>
              <w:top w:val="single" w:sz="8"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8" w:space="0" w:color="000000"/>
            </w:tcBorders>
            <w:vAlign w:val="center"/>
          </w:tcPr>
          <w:p>
            <w:pPr>
              <w:pStyle w:val="MDPI42tablebody"/>
              <w:snapToGrid w:val="false"/>
              <w:spacing w:lineRule="auto" w:line="240"/>
              <w:rPr>
                <w:rFonts w:ascii="Palatino Linotype" w:hAnsi="Palatino Linotype" w:cs="Palatino Linotype"/>
                <w:b/>
                <w:b/>
                <w:bCs/>
                <w:sz w:val="18"/>
                <w:szCs w:val="18"/>
                <w:lang w:bidi="en-US"/>
              </w:rPr>
            </w:pPr>
            <w:r>
              <w:rPr>
                <w:rFonts w:cs="Palatino Linotype"/>
                <w:b/>
                <w:bCs/>
                <w:sz w:val="18"/>
                <w:szCs w:val="18"/>
                <w:lang w:bidi="en-US"/>
              </w:rPr>
            </w:r>
          </w:p>
        </w:tc>
        <w:tc>
          <w:tcPr>
            <w:tcW w:w="3459" w:type="dxa"/>
            <w:tcBorders/>
            <w:vAlign w:val="center"/>
          </w:tcPr>
          <w:p>
            <w:pPr>
              <w:pStyle w:val="MDPI42tablebody"/>
              <w:spacing w:lineRule="auto" w:line="240"/>
              <w:jc w:val="both"/>
              <w:rPr>
                <w:b/>
                <w:b/>
                <w:bCs/>
                <w:sz w:val="18"/>
                <w:szCs w:val="18"/>
              </w:rPr>
            </w:pPr>
            <w:r>
              <w:rPr>
                <w:i/>
                <w:iCs/>
                <w:sz w:val="18"/>
                <w:szCs w:val="18"/>
              </w:rPr>
              <w:t>Escherichia coli</w:t>
            </w:r>
            <w:r>
              <w:rPr>
                <w:sz w:val="18"/>
                <w:szCs w:val="18"/>
              </w:rPr>
              <w:t xml:space="preserve"> (Ec)</w:t>
            </w:r>
          </w:p>
        </w:tc>
        <w:tc>
          <w:tcPr>
            <w:tcW w:w="1660" w:type="dxa"/>
            <w:tcBorders/>
            <w:vAlign w:val="center"/>
          </w:tcPr>
          <w:p>
            <w:pPr>
              <w:pStyle w:val="MDPI42tablebody"/>
              <w:spacing w:lineRule="auto" w:line="240"/>
              <w:rPr>
                <w:b/>
                <w:b/>
                <w:bCs/>
                <w:sz w:val="18"/>
                <w:szCs w:val="18"/>
              </w:rPr>
            </w:pPr>
            <w:r>
              <w:rPr>
                <w:sz w:val="18"/>
                <w:szCs w:val="18"/>
              </w:rPr>
              <w:t>25922</w:t>
            </w:r>
          </w:p>
        </w:tc>
        <w:tc>
          <w:tcPr>
            <w:tcW w:w="1821" w:type="dxa"/>
            <w:vMerge w:val="continue"/>
            <w:tcBorders>
              <w:top w:val="single" w:sz="8"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8" w:space="0" w:color="000000"/>
            </w:tcBorders>
            <w:vAlign w:val="center"/>
          </w:tcPr>
          <w:p>
            <w:pPr>
              <w:pStyle w:val="MDPI42tablebody"/>
              <w:snapToGrid w:val="false"/>
              <w:spacing w:lineRule="auto" w:line="240"/>
              <w:rPr>
                <w:rFonts w:ascii="Palatino Linotype" w:hAnsi="Palatino Linotype" w:cs="Palatino Linotype"/>
                <w:b/>
                <w:b/>
                <w:bCs/>
                <w:sz w:val="18"/>
                <w:szCs w:val="18"/>
                <w:lang w:bidi="en-US"/>
              </w:rPr>
            </w:pPr>
            <w:r>
              <w:rPr>
                <w:rFonts w:cs="Palatino Linotype"/>
                <w:b/>
                <w:bCs/>
                <w:sz w:val="18"/>
                <w:szCs w:val="18"/>
                <w:lang w:bidi="en-US"/>
              </w:rPr>
            </w:r>
          </w:p>
        </w:tc>
        <w:tc>
          <w:tcPr>
            <w:tcW w:w="3459" w:type="dxa"/>
            <w:tcBorders>
              <w:bottom w:val="single" w:sz="4" w:space="0" w:color="000000"/>
            </w:tcBorders>
            <w:vAlign w:val="center"/>
          </w:tcPr>
          <w:p>
            <w:pPr>
              <w:pStyle w:val="MDPI42tablebody"/>
              <w:spacing w:lineRule="auto" w:line="240"/>
              <w:jc w:val="both"/>
              <w:rPr>
                <w:b/>
                <w:b/>
                <w:bCs/>
                <w:sz w:val="18"/>
                <w:szCs w:val="18"/>
              </w:rPr>
            </w:pPr>
            <w:r>
              <w:rPr>
                <w:i/>
                <w:iCs/>
                <w:sz w:val="18"/>
                <w:szCs w:val="18"/>
              </w:rPr>
              <w:t>Clostrium difficile</w:t>
            </w:r>
            <w:r>
              <w:rPr>
                <w:sz w:val="18"/>
                <w:szCs w:val="18"/>
              </w:rPr>
              <w:t xml:space="preserve"> (Cd)</w:t>
            </w:r>
          </w:p>
        </w:tc>
        <w:tc>
          <w:tcPr>
            <w:tcW w:w="1660" w:type="dxa"/>
            <w:tcBorders>
              <w:bottom w:val="single" w:sz="4" w:space="0" w:color="000000"/>
            </w:tcBorders>
            <w:vAlign w:val="center"/>
          </w:tcPr>
          <w:p>
            <w:pPr>
              <w:pStyle w:val="MDPI42tablebody"/>
              <w:spacing w:lineRule="auto" w:line="240"/>
              <w:rPr>
                <w:b/>
                <w:b/>
                <w:bCs/>
                <w:sz w:val="18"/>
                <w:szCs w:val="18"/>
              </w:rPr>
            </w:pPr>
            <w:r>
              <w:rPr>
                <w:sz w:val="18"/>
                <w:szCs w:val="18"/>
              </w:rPr>
              <w:t>43255</w:t>
            </w:r>
          </w:p>
        </w:tc>
        <w:tc>
          <w:tcPr>
            <w:tcW w:w="1821" w:type="dxa"/>
            <w:vMerge w:val="continue"/>
            <w:tcBorders>
              <w:top w:val="single" w:sz="8"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restart"/>
            <w:tcBorders>
              <w:top w:val="single" w:sz="4" w:space="0" w:color="000000"/>
              <w:bottom w:val="single" w:sz="4" w:space="0" w:color="000000"/>
            </w:tcBorders>
            <w:vAlign w:val="center"/>
          </w:tcPr>
          <w:p>
            <w:pPr>
              <w:pStyle w:val="MDPI42tablebody"/>
              <w:spacing w:lineRule="auto" w:line="240"/>
              <w:rPr>
                <w:b/>
                <w:b/>
                <w:bCs/>
                <w:sz w:val="18"/>
                <w:szCs w:val="18"/>
              </w:rPr>
            </w:pPr>
            <w:r>
              <w:rPr>
                <w:i/>
                <w:iCs/>
                <w:sz w:val="18"/>
                <w:szCs w:val="18"/>
              </w:rPr>
              <w:t>M. tuberculosis</w:t>
            </w:r>
            <w:r>
              <w:rPr>
                <w:sz w:val="18"/>
                <w:szCs w:val="18"/>
              </w:rPr>
              <w:t xml:space="preserve"> Isogenic Resistant Mutant Panel</w:t>
            </w:r>
          </w:p>
        </w:tc>
        <w:tc>
          <w:tcPr>
            <w:tcW w:w="3459" w:type="dxa"/>
            <w:tcBorders>
              <w:top w:val="single" w:sz="4" w:space="0" w:color="000000"/>
            </w:tcBorders>
            <w:vAlign w:val="center"/>
          </w:tcPr>
          <w:p>
            <w:pPr>
              <w:pStyle w:val="MDPI42tablebody"/>
              <w:spacing w:lineRule="auto" w:line="240"/>
              <w:jc w:val="both"/>
              <w:rPr>
                <w:b/>
                <w:b/>
                <w:bCs/>
                <w:sz w:val="18"/>
                <w:szCs w:val="18"/>
              </w:rPr>
            </w:pPr>
            <w:r>
              <w:rPr>
                <w:i/>
                <w:iCs/>
                <w:sz w:val="18"/>
                <w:szCs w:val="18"/>
              </w:rPr>
              <w:t>M. tuberculosis</w:t>
            </w:r>
            <w:r>
              <w:rPr>
                <w:sz w:val="18"/>
                <w:szCs w:val="18"/>
              </w:rPr>
              <w:t xml:space="preserve"> H37Rv (Wild-Type)</w:t>
            </w:r>
          </w:p>
        </w:tc>
        <w:tc>
          <w:tcPr>
            <w:tcW w:w="1660" w:type="dxa"/>
            <w:tcBorders>
              <w:top w:val="single" w:sz="4" w:space="0" w:color="000000"/>
            </w:tcBorders>
            <w:vAlign w:val="center"/>
          </w:tcPr>
          <w:p>
            <w:pPr>
              <w:pStyle w:val="MDPI42tablebody"/>
              <w:spacing w:lineRule="auto" w:line="240"/>
              <w:rPr>
                <w:b/>
                <w:b/>
                <w:bCs/>
                <w:sz w:val="18"/>
                <w:szCs w:val="18"/>
              </w:rPr>
            </w:pPr>
            <w:r>
              <w:rPr>
                <w:sz w:val="18"/>
                <w:szCs w:val="18"/>
              </w:rPr>
              <w:t>27294</w:t>
            </w:r>
          </w:p>
        </w:tc>
        <w:tc>
          <w:tcPr>
            <w:tcW w:w="1821" w:type="dxa"/>
            <w:vMerge w:val="restart"/>
            <w:tcBorders>
              <w:top w:val="single" w:sz="4" w:space="0" w:color="000000"/>
              <w:bottom w:val="single" w:sz="4" w:space="0" w:color="000000"/>
            </w:tcBorders>
            <w:vAlign w:val="center"/>
          </w:tcPr>
          <w:p>
            <w:pPr>
              <w:pStyle w:val="MDPI42tablebody"/>
              <w:spacing w:lineRule="auto" w:line="240"/>
              <w:rPr>
                <w:sz w:val="18"/>
                <w:szCs w:val="18"/>
              </w:rPr>
            </w:pPr>
            <w:r>
              <w:rPr>
                <w:sz w:val="18"/>
                <w:szCs w:val="18"/>
              </w:rPr>
              <w:t>BTTTRI</w:t>
            </w:r>
          </w:p>
        </w:tc>
      </w:tr>
      <w:tr>
        <w:trPr/>
        <w:tc>
          <w:tcPr>
            <w:tcW w:w="1904" w:type="dxa"/>
            <w:vMerge w:val="continue"/>
            <w:tcBorders>
              <w:top w:val="single" w:sz="4" w:space="0" w:color="000000"/>
              <w:bottom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lang w:bidi="en-US"/>
              </w:rPr>
            </w:pPr>
            <w:r>
              <w:rPr>
                <w:rFonts w:cs="Palatino Linotype"/>
                <w:b/>
                <w:bCs/>
                <w:sz w:val="18"/>
                <w:szCs w:val="18"/>
                <w:lang w:bidi="en-US"/>
              </w:rPr>
            </w:r>
          </w:p>
        </w:tc>
        <w:tc>
          <w:tcPr>
            <w:tcW w:w="3459" w:type="dxa"/>
            <w:tcBorders/>
            <w:vAlign w:val="center"/>
          </w:tcPr>
          <w:p>
            <w:pPr>
              <w:pStyle w:val="MDPI42tablebody"/>
              <w:spacing w:lineRule="auto" w:line="240"/>
              <w:jc w:val="both"/>
              <w:rPr>
                <w:b/>
                <w:b/>
                <w:bCs/>
                <w:sz w:val="18"/>
                <w:szCs w:val="18"/>
              </w:rPr>
            </w:pPr>
            <w:r>
              <w:rPr>
                <w:i/>
                <w:iCs/>
                <w:sz w:val="18"/>
                <w:szCs w:val="18"/>
              </w:rPr>
              <w:t>M. tuberculosis</w:t>
            </w:r>
            <w:r>
              <w:rPr>
                <w:sz w:val="18"/>
                <w:szCs w:val="18"/>
              </w:rPr>
              <w:t xml:space="preserve"> P1 (Pretomanid-R)</w:t>
            </w:r>
          </w:p>
        </w:tc>
        <w:tc>
          <w:tcPr>
            <w:tcW w:w="1660" w:type="dxa"/>
            <w:tcBorders/>
            <w:vAlign w:val="center"/>
          </w:tcPr>
          <w:p>
            <w:pPr>
              <w:pStyle w:val="MDPI42tablebody"/>
              <w:spacing w:lineRule="auto" w:line="240"/>
              <w:rPr>
                <w:b/>
                <w:b/>
                <w:bCs/>
                <w:sz w:val="18"/>
                <w:szCs w:val="18"/>
              </w:rPr>
            </w:pPr>
            <w:r>
              <w:rPr>
                <w:sz w:val="18"/>
                <w:szCs w:val="18"/>
              </w:rPr>
              <w:t>Isogenic</w:t>
            </w:r>
          </w:p>
        </w:tc>
        <w:tc>
          <w:tcPr>
            <w:tcW w:w="1821" w:type="dxa"/>
            <w:vMerge w:val="continue"/>
            <w:tcBorders>
              <w:top w:val="single" w:sz="4"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bottom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M. tuberculosis</w:t>
            </w:r>
            <w:r>
              <w:rPr>
                <w:sz w:val="18"/>
                <w:szCs w:val="18"/>
              </w:rPr>
              <w:t xml:space="preserve"> P3 (Pretomanis-R)</w:t>
            </w:r>
          </w:p>
        </w:tc>
        <w:tc>
          <w:tcPr>
            <w:tcW w:w="1660" w:type="dxa"/>
            <w:tcBorders/>
            <w:vAlign w:val="center"/>
          </w:tcPr>
          <w:p>
            <w:pPr>
              <w:pStyle w:val="MDPI42tablebody"/>
              <w:spacing w:lineRule="auto" w:line="240"/>
              <w:rPr>
                <w:b/>
                <w:b/>
                <w:bCs/>
                <w:sz w:val="18"/>
                <w:szCs w:val="18"/>
              </w:rPr>
            </w:pPr>
            <w:r>
              <w:rPr>
                <w:sz w:val="18"/>
                <w:szCs w:val="18"/>
              </w:rPr>
              <w:t>Isogenic</w:t>
            </w:r>
          </w:p>
        </w:tc>
        <w:tc>
          <w:tcPr>
            <w:tcW w:w="1821" w:type="dxa"/>
            <w:vMerge w:val="continue"/>
            <w:tcBorders>
              <w:top w:val="single" w:sz="4"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bottom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M. tuberculosis</w:t>
            </w:r>
            <w:r>
              <w:rPr>
                <w:sz w:val="18"/>
                <w:szCs w:val="18"/>
              </w:rPr>
              <w:t xml:space="preserve"> L1 (Linezolid-R)</w:t>
            </w:r>
          </w:p>
        </w:tc>
        <w:tc>
          <w:tcPr>
            <w:tcW w:w="1660" w:type="dxa"/>
            <w:tcBorders/>
            <w:vAlign w:val="center"/>
          </w:tcPr>
          <w:p>
            <w:pPr>
              <w:pStyle w:val="MDPI42tablebody"/>
              <w:spacing w:lineRule="auto" w:line="240"/>
              <w:rPr>
                <w:b/>
                <w:b/>
                <w:bCs/>
                <w:sz w:val="18"/>
                <w:szCs w:val="18"/>
              </w:rPr>
            </w:pPr>
            <w:r>
              <w:rPr>
                <w:sz w:val="18"/>
                <w:szCs w:val="18"/>
              </w:rPr>
              <w:t>Isogenic</w:t>
            </w:r>
          </w:p>
        </w:tc>
        <w:tc>
          <w:tcPr>
            <w:tcW w:w="1821" w:type="dxa"/>
            <w:vMerge w:val="continue"/>
            <w:tcBorders>
              <w:top w:val="single" w:sz="4"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bottom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bottom w:val="single" w:sz="4" w:space="0" w:color="000000"/>
            </w:tcBorders>
            <w:vAlign w:val="center"/>
          </w:tcPr>
          <w:p>
            <w:pPr>
              <w:pStyle w:val="MDPI42tablebody"/>
              <w:spacing w:lineRule="auto" w:line="240"/>
              <w:jc w:val="both"/>
              <w:rPr>
                <w:b/>
                <w:b/>
                <w:bCs/>
                <w:sz w:val="18"/>
                <w:szCs w:val="18"/>
              </w:rPr>
            </w:pPr>
            <w:r>
              <w:rPr>
                <w:i/>
                <w:iCs/>
                <w:sz w:val="18"/>
                <w:szCs w:val="18"/>
              </w:rPr>
              <w:t>M. tuberculosis</w:t>
            </w:r>
            <w:r>
              <w:rPr>
                <w:sz w:val="18"/>
                <w:szCs w:val="18"/>
              </w:rPr>
              <w:t xml:space="preserve"> L3 (Linezolid-R)</w:t>
            </w:r>
          </w:p>
        </w:tc>
        <w:tc>
          <w:tcPr>
            <w:tcW w:w="1660" w:type="dxa"/>
            <w:tcBorders>
              <w:bottom w:val="single" w:sz="4" w:space="0" w:color="000000"/>
            </w:tcBorders>
            <w:vAlign w:val="center"/>
          </w:tcPr>
          <w:p>
            <w:pPr>
              <w:pStyle w:val="MDPI42tablebody"/>
              <w:spacing w:lineRule="auto" w:line="240"/>
              <w:rPr>
                <w:b/>
                <w:b/>
                <w:bCs/>
                <w:sz w:val="18"/>
                <w:szCs w:val="18"/>
              </w:rPr>
            </w:pPr>
            <w:r>
              <w:rPr>
                <w:sz w:val="18"/>
                <w:szCs w:val="18"/>
              </w:rPr>
              <w:t>Isogenic</w:t>
            </w:r>
          </w:p>
        </w:tc>
        <w:tc>
          <w:tcPr>
            <w:tcW w:w="1821" w:type="dxa"/>
            <w:vMerge w:val="continue"/>
            <w:tcBorders>
              <w:top w:val="single" w:sz="4" w:space="0" w:color="000000"/>
              <w:bottom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restart"/>
            <w:tcBorders>
              <w:top w:val="single" w:sz="4" w:space="0" w:color="000000"/>
            </w:tcBorders>
            <w:vAlign w:val="center"/>
          </w:tcPr>
          <w:p>
            <w:pPr>
              <w:pStyle w:val="MDPI42tablebody"/>
              <w:spacing w:lineRule="auto" w:line="240"/>
              <w:rPr>
                <w:sz w:val="18"/>
                <w:szCs w:val="18"/>
              </w:rPr>
            </w:pPr>
            <w:r>
              <w:rPr>
                <w:sz w:val="18"/>
                <w:szCs w:val="18"/>
              </w:rPr>
              <w:t>Anaerobic Bacterial Panel</w:t>
            </w:r>
          </w:p>
        </w:tc>
        <w:tc>
          <w:tcPr>
            <w:tcW w:w="3459" w:type="dxa"/>
            <w:tcBorders>
              <w:top w:val="single" w:sz="4" w:space="0" w:color="000000"/>
            </w:tcBorders>
            <w:vAlign w:val="center"/>
          </w:tcPr>
          <w:p>
            <w:pPr>
              <w:pStyle w:val="MDPI42tablebody"/>
              <w:spacing w:lineRule="auto" w:line="240"/>
              <w:jc w:val="both"/>
              <w:rPr>
                <w:b/>
                <w:b/>
                <w:bCs/>
                <w:sz w:val="18"/>
                <w:szCs w:val="18"/>
              </w:rPr>
            </w:pPr>
            <w:r>
              <w:rPr>
                <w:i/>
                <w:iCs/>
                <w:sz w:val="18"/>
                <w:szCs w:val="18"/>
              </w:rPr>
              <w:t>Clostridium difficile</w:t>
            </w:r>
            <w:r>
              <w:rPr>
                <w:sz w:val="18"/>
                <w:szCs w:val="18"/>
              </w:rPr>
              <w:t xml:space="preserve"> (Cd)</w:t>
            </w:r>
          </w:p>
        </w:tc>
        <w:tc>
          <w:tcPr>
            <w:tcW w:w="1660" w:type="dxa"/>
            <w:tcBorders>
              <w:top w:val="single" w:sz="4" w:space="0" w:color="000000"/>
            </w:tcBorders>
            <w:vAlign w:val="center"/>
          </w:tcPr>
          <w:p>
            <w:pPr>
              <w:pStyle w:val="MDPI42tablebody"/>
              <w:spacing w:lineRule="auto" w:line="240"/>
              <w:rPr>
                <w:b/>
                <w:b/>
                <w:bCs/>
                <w:sz w:val="18"/>
                <w:szCs w:val="18"/>
              </w:rPr>
            </w:pPr>
            <w:r>
              <w:rPr>
                <w:sz w:val="18"/>
                <w:szCs w:val="18"/>
              </w:rPr>
              <w:t>700057</w:t>
            </w:r>
          </w:p>
        </w:tc>
        <w:tc>
          <w:tcPr>
            <w:tcW w:w="1821" w:type="dxa"/>
            <w:vMerge w:val="restart"/>
            <w:tcBorders>
              <w:top w:val="single" w:sz="4" w:space="0" w:color="000000"/>
            </w:tcBorders>
            <w:vAlign w:val="center"/>
          </w:tcPr>
          <w:p>
            <w:pPr>
              <w:pStyle w:val="MDPI42tablebody"/>
              <w:spacing w:lineRule="auto" w:line="240"/>
              <w:rPr>
                <w:sz w:val="18"/>
                <w:szCs w:val="18"/>
              </w:rPr>
            </w:pPr>
            <w:r>
              <w:rPr>
                <w:sz w:val="18"/>
                <w:szCs w:val="18"/>
              </w:rPr>
              <w:t>Micromyx</w:t>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Lactobacillus acidophilus</w:t>
            </w:r>
            <w:r>
              <w:rPr>
                <w:sz w:val="18"/>
                <w:szCs w:val="18"/>
              </w:rPr>
              <w:t xml:space="preserve"> (Lc)</w:t>
            </w:r>
          </w:p>
        </w:tc>
        <w:tc>
          <w:tcPr>
            <w:tcW w:w="1660" w:type="dxa"/>
            <w:tcBorders/>
            <w:vAlign w:val="center"/>
          </w:tcPr>
          <w:p>
            <w:pPr>
              <w:pStyle w:val="MDPI42tablebody"/>
              <w:spacing w:lineRule="auto" w:line="240"/>
              <w:rPr>
                <w:b/>
                <w:b/>
                <w:bCs/>
                <w:sz w:val="18"/>
                <w:szCs w:val="18"/>
              </w:rPr>
            </w:pPr>
            <w:r>
              <w:rPr>
                <w:sz w:val="18"/>
                <w:szCs w:val="18"/>
              </w:rPr>
              <w:t>4356</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Eggerthella lenta</w:t>
            </w:r>
            <w:r>
              <w:rPr>
                <w:sz w:val="18"/>
                <w:szCs w:val="18"/>
              </w:rPr>
              <w:t xml:space="preserve"> (El)</w:t>
            </w:r>
          </w:p>
        </w:tc>
        <w:tc>
          <w:tcPr>
            <w:tcW w:w="1660" w:type="dxa"/>
            <w:tcBorders/>
            <w:vAlign w:val="center"/>
          </w:tcPr>
          <w:p>
            <w:pPr>
              <w:pStyle w:val="MDPI42tablebody"/>
              <w:spacing w:lineRule="auto" w:line="240"/>
              <w:rPr>
                <w:b/>
                <w:b/>
                <w:bCs/>
                <w:sz w:val="18"/>
                <w:szCs w:val="18"/>
              </w:rPr>
            </w:pPr>
            <w:r>
              <w:rPr>
                <w:sz w:val="18"/>
                <w:szCs w:val="18"/>
              </w:rPr>
              <w:t>43055</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Gardnerella vaginalis</w:t>
            </w:r>
            <w:r>
              <w:rPr>
                <w:sz w:val="18"/>
                <w:szCs w:val="18"/>
              </w:rPr>
              <w:t xml:space="preserve"> (Gv)</w:t>
            </w:r>
          </w:p>
        </w:tc>
        <w:tc>
          <w:tcPr>
            <w:tcW w:w="1660" w:type="dxa"/>
            <w:tcBorders/>
            <w:vAlign w:val="center"/>
          </w:tcPr>
          <w:p>
            <w:pPr>
              <w:pStyle w:val="MDPI42tablebody"/>
              <w:spacing w:lineRule="auto" w:line="240"/>
              <w:rPr>
                <w:b/>
                <w:b/>
                <w:bCs/>
                <w:sz w:val="18"/>
                <w:szCs w:val="18"/>
              </w:rPr>
            </w:pPr>
            <w:r>
              <w:rPr>
                <w:sz w:val="18"/>
                <w:szCs w:val="18"/>
              </w:rPr>
              <w:t>14018</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Peptostreptococcus micros</w:t>
            </w:r>
            <w:r>
              <w:rPr>
                <w:sz w:val="18"/>
                <w:szCs w:val="18"/>
              </w:rPr>
              <w:t xml:space="preserve"> (Pm)</w:t>
            </w:r>
          </w:p>
        </w:tc>
        <w:tc>
          <w:tcPr>
            <w:tcW w:w="1660" w:type="dxa"/>
            <w:tcBorders/>
            <w:vAlign w:val="center"/>
          </w:tcPr>
          <w:p>
            <w:pPr>
              <w:pStyle w:val="MDPI42tablebody"/>
              <w:spacing w:lineRule="auto" w:line="240"/>
              <w:rPr>
                <w:b/>
                <w:b/>
                <w:bCs/>
                <w:sz w:val="18"/>
                <w:szCs w:val="18"/>
              </w:rPr>
            </w:pPr>
            <w:r>
              <w:rPr>
                <w:sz w:val="18"/>
                <w:szCs w:val="18"/>
              </w:rPr>
              <w:t>23195</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Porphyromonas asaccharolytica</w:t>
            </w:r>
            <w:r>
              <w:rPr>
                <w:sz w:val="18"/>
                <w:szCs w:val="18"/>
              </w:rPr>
              <w:t xml:space="preserve"> (Pas)</w:t>
            </w:r>
          </w:p>
        </w:tc>
        <w:tc>
          <w:tcPr>
            <w:tcW w:w="1660" w:type="dxa"/>
            <w:tcBorders/>
            <w:vAlign w:val="center"/>
          </w:tcPr>
          <w:p>
            <w:pPr>
              <w:pStyle w:val="MDPI42tablebody"/>
              <w:spacing w:lineRule="auto" w:line="240"/>
              <w:rPr>
                <w:b/>
                <w:b/>
                <w:bCs/>
                <w:sz w:val="18"/>
                <w:szCs w:val="18"/>
              </w:rPr>
            </w:pPr>
            <w:r>
              <w:rPr>
                <w:sz w:val="18"/>
                <w:szCs w:val="18"/>
              </w:rPr>
              <w:t>M3553</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Propionibacterium acnes</w:t>
            </w:r>
            <w:r>
              <w:rPr>
                <w:sz w:val="18"/>
                <w:szCs w:val="18"/>
              </w:rPr>
              <w:t xml:space="preserve"> (Pac)</w:t>
            </w:r>
          </w:p>
        </w:tc>
        <w:tc>
          <w:tcPr>
            <w:tcW w:w="1660" w:type="dxa"/>
            <w:tcBorders/>
            <w:vAlign w:val="center"/>
          </w:tcPr>
          <w:p>
            <w:pPr>
              <w:pStyle w:val="MDPI42tablebody"/>
              <w:spacing w:lineRule="auto" w:line="240"/>
              <w:rPr>
                <w:b/>
                <w:b/>
                <w:bCs/>
                <w:sz w:val="18"/>
                <w:szCs w:val="18"/>
              </w:rPr>
            </w:pPr>
            <w:r>
              <w:rPr>
                <w:sz w:val="18"/>
                <w:szCs w:val="18"/>
              </w:rPr>
              <w:t>11892</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Bacteroides fragilis</w:t>
            </w:r>
            <w:r>
              <w:rPr>
                <w:sz w:val="18"/>
                <w:szCs w:val="18"/>
              </w:rPr>
              <w:t xml:space="preserve"> (Bf)</w:t>
            </w:r>
          </w:p>
        </w:tc>
        <w:tc>
          <w:tcPr>
            <w:tcW w:w="1660" w:type="dxa"/>
            <w:tcBorders/>
            <w:vAlign w:val="center"/>
          </w:tcPr>
          <w:p>
            <w:pPr>
              <w:pStyle w:val="MDPI42tablebody"/>
              <w:spacing w:lineRule="auto" w:line="240"/>
              <w:rPr>
                <w:b/>
                <w:b/>
                <w:bCs/>
                <w:sz w:val="18"/>
                <w:szCs w:val="18"/>
              </w:rPr>
            </w:pPr>
            <w:r>
              <w:rPr>
                <w:sz w:val="18"/>
                <w:szCs w:val="18"/>
              </w:rPr>
              <w:t>25285</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Bifidobacterium longum</w:t>
            </w:r>
            <w:r>
              <w:rPr>
                <w:sz w:val="18"/>
                <w:szCs w:val="18"/>
              </w:rPr>
              <w:t xml:space="preserve"> (Bl)</w:t>
            </w:r>
          </w:p>
        </w:tc>
        <w:tc>
          <w:tcPr>
            <w:tcW w:w="1660" w:type="dxa"/>
            <w:tcBorders/>
            <w:vAlign w:val="center"/>
          </w:tcPr>
          <w:p>
            <w:pPr>
              <w:pStyle w:val="MDPI42tablebody"/>
              <w:spacing w:lineRule="auto" w:line="240"/>
              <w:rPr>
                <w:b/>
                <w:b/>
                <w:bCs/>
                <w:sz w:val="18"/>
                <w:szCs w:val="18"/>
              </w:rPr>
            </w:pPr>
            <w:r>
              <w:rPr>
                <w:sz w:val="18"/>
                <w:szCs w:val="18"/>
              </w:rPr>
              <w:t>15707</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Fusobacterium nucleatum</w:t>
            </w:r>
            <w:r>
              <w:rPr>
                <w:sz w:val="18"/>
                <w:szCs w:val="18"/>
              </w:rPr>
              <w:t xml:space="preserve"> (Fn)</w:t>
            </w:r>
          </w:p>
        </w:tc>
        <w:tc>
          <w:tcPr>
            <w:tcW w:w="1660" w:type="dxa"/>
            <w:tcBorders/>
            <w:vAlign w:val="center"/>
          </w:tcPr>
          <w:p>
            <w:pPr>
              <w:pStyle w:val="MDPI42tablebody"/>
              <w:spacing w:lineRule="auto" w:line="240"/>
              <w:rPr>
                <w:b/>
                <w:b/>
                <w:bCs/>
                <w:sz w:val="18"/>
                <w:szCs w:val="18"/>
              </w:rPr>
            </w:pPr>
            <w:r>
              <w:rPr>
                <w:sz w:val="18"/>
                <w:szCs w:val="18"/>
              </w:rPr>
              <w:t>10953</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Mobiluncus mulieris</w:t>
            </w:r>
            <w:r>
              <w:rPr>
                <w:sz w:val="18"/>
                <w:szCs w:val="18"/>
              </w:rPr>
              <w:t xml:space="preserve"> (Mm)</w:t>
            </w:r>
          </w:p>
        </w:tc>
        <w:tc>
          <w:tcPr>
            <w:tcW w:w="1660" w:type="dxa"/>
            <w:tcBorders/>
            <w:vAlign w:val="center"/>
          </w:tcPr>
          <w:p>
            <w:pPr>
              <w:pStyle w:val="MDPI42tablebody"/>
              <w:spacing w:lineRule="auto" w:line="240"/>
              <w:rPr>
                <w:b/>
                <w:b/>
                <w:bCs/>
                <w:sz w:val="18"/>
                <w:szCs w:val="18"/>
              </w:rPr>
            </w:pPr>
            <w:r>
              <w:rPr>
                <w:sz w:val="18"/>
                <w:szCs w:val="18"/>
              </w:rPr>
              <w:t>35243</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Prevotella bivia</w:t>
            </w:r>
            <w:r>
              <w:rPr>
                <w:sz w:val="18"/>
                <w:szCs w:val="18"/>
              </w:rPr>
              <w:t xml:space="preserve"> (Pb)</w:t>
            </w:r>
          </w:p>
        </w:tc>
        <w:tc>
          <w:tcPr>
            <w:tcW w:w="1660" w:type="dxa"/>
            <w:tcBorders/>
            <w:vAlign w:val="center"/>
          </w:tcPr>
          <w:p>
            <w:pPr>
              <w:pStyle w:val="MDPI42tablebody"/>
              <w:spacing w:lineRule="auto" w:line="240"/>
              <w:rPr>
                <w:b/>
                <w:b/>
                <w:bCs/>
                <w:sz w:val="18"/>
                <w:szCs w:val="18"/>
              </w:rPr>
            </w:pPr>
            <w:r>
              <w:rPr>
                <w:sz w:val="18"/>
                <w:szCs w:val="18"/>
              </w:rPr>
              <w:t>29303</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rPr>
            </w:pPr>
            <w:r>
              <w:rPr>
                <w:rFonts w:cs="Palatino Linotype"/>
                <w:b/>
                <w:bCs/>
                <w:sz w:val="18"/>
                <w:szCs w:val="18"/>
              </w:rPr>
            </w:r>
          </w:p>
        </w:tc>
        <w:tc>
          <w:tcPr>
            <w:tcW w:w="3459" w:type="dxa"/>
            <w:tcBorders/>
            <w:vAlign w:val="center"/>
          </w:tcPr>
          <w:p>
            <w:pPr>
              <w:pStyle w:val="MDPI42tablebody"/>
              <w:spacing w:lineRule="auto" w:line="240"/>
              <w:jc w:val="both"/>
              <w:rPr>
                <w:b/>
                <w:b/>
                <w:bCs/>
                <w:sz w:val="18"/>
                <w:szCs w:val="18"/>
              </w:rPr>
            </w:pPr>
            <w:r>
              <w:rPr>
                <w:i/>
                <w:iCs/>
                <w:sz w:val="18"/>
                <w:szCs w:val="18"/>
              </w:rPr>
              <w:t>Veillonella parvula</w:t>
            </w:r>
            <w:r>
              <w:rPr>
                <w:sz w:val="18"/>
                <w:szCs w:val="18"/>
              </w:rPr>
              <w:t xml:space="preserve"> (Vp)</w:t>
            </w:r>
          </w:p>
        </w:tc>
        <w:tc>
          <w:tcPr>
            <w:tcW w:w="1660" w:type="dxa"/>
            <w:tcBorders/>
            <w:vAlign w:val="center"/>
          </w:tcPr>
          <w:p>
            <w:pPr>
              <w:pStyle w:val="MDPI42tablebody"/>
              <w:spacing w:lineRule="auto" w:line="240"/>
              <w:rPr>
                <w:b/>
                <w:b/>
                <w:bCs/>
                <w:sz w:val="18"/>
                <w:szCs w:val="18"/>
              </w:rPr>
            </w:pPr>
            <w:r>
              <w:rPr>
                <w:sz w:val="18"/>
                <w:szCs w:val="18"/>
              </w:rPr>
              <w:t>17745</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r>
        <w:trPr/>
        <w:tc>
          <w:tcPr>
            <w:tcW w:w="1904" w:type="dxa"/>
            <w:vMerge w:val="continue"/>
            <w:tcBorders>
              <w:top w:val="single" w:sz="4" w:space="0" w:color="000000"/>
            </w:tcBorders>
            <w:vAlign w:val="center"/>
          </w:tcPr>
          <w:p>
            <w:pPr>
              <w:pStyle w:val="MDPI42tablebody"/>
              <w:snapToGrid w:val="false"/>
              <w:spacing w:lineRule="auto" w:line="240"/>
              <w:rPr>
                <w:rFonts w:ascii="Palatino Linotype" w:hAnsi="Palatino Linotype" w:cs="Palatino Linotype"/>
                <w:b/>
                <w:b/>
                <w:bCs/>
                <w:sz w:val="18"/>
                <w:szCs w:val="18"/>
                <w:lang w:bidi="en-US"/>
              </w:rPr>
            </w:pPr>
            <w:r>
              <w:rPr>
                <w:rFonts w:cs="Palatino Linotype"/>
                <w:b/>
                <w:bCs/>
                <w:sz w:val="18"/>
                <w:szCs w:val="18"/>
                <w:lang w:bidi="en-US"/>
              </w:rPr>
            </w:r>
          </w:p>
        </w:tc>
        <w:tc>
          <w:tcPr>
            <w:tcW w:w="3459" w:type="dxa"/>
            <w:tcBorders>
              <w:bottom w:val="single" w:sz="8" w:space="0" w:color="000000"/>
            </w:tcBorders>
            <w:vAlign w:val="center"/>
          </w:tcPr>
          <w:p>
            <w:pPr>
              <w:pStyle w:val="MDPI42tablebody"/>
              <w:spacing w:lineRule="auto" w:line="240"/>
              <w:jc w:val="both"/>
              <w:rPr>
                <w:b/>
                <w:b/>
                <w:bCs/>
                <w:sz w:val="18"/>
                <w:szCs w:val="18"/>
              </w:rPr>
            </w:pPr>
            <w:r>
              <w:rPr>
                <w:i/>
                <w:iCs/>
                <w:sz w:val="18"/>
                <w:szCs w:val="18"/>
              </w:rPr>
              <w:t>Helicobacter pylori</w:t>
            </w:r>
            <w:r>
              <w:rPr>
                <w:sz w:val="18"/>
                <w:szCs w:val="18"/>
              </w:rPr>
              <w:t xml:space="preserve"> (Hp)</w:t>
            </w:r>
          </w:p>
        </w:tc>
        <w:tc>
          <w:tcPr>
            <w:tcW w:w="1660" w:type="dxa"/>
            <w:tcBorders>
              <w:bottom w:val="single" w:sz="8" w:space="0" w:color="000000"/>
            </w:tcBorders>
            <w:vAlign w:val="center"/>
          </w:tcPr>
          <w:p>
            <w:pPr>
              <w:pStyle w:val="MDPI42tablebody"/>
              <w:spacing w:lineRule="auto" w:line="240"/>
              <w:rPr>
                <w:b/>
                <w:b/>
                <w:bCs/>
                <w:sz w:val="18"/>
                <w:szCs w:val="18"/>
              </w:rPr>
            </w:pPr>
            <w:r>
              <w:rPr>
                <w:sz w:val="18"/>
                <w:szCs w:val="18"/>
              </w:rPr>
              <w:t>43504</w:t>
            </w:r>
          </w:p>
        </w:tc>
        <w:tc>
          <w:tcPr>
            <w:tcW w:w="1821" w:type="dxa"/>
            <w:vMerge w:val="continue"/>
            <w:tcBorders>
              <w:top w:val="single" w:sz="4" w:space="0" w:color="000000"/>
            </w:tcBorders>
            <w:vAlign w:val="center"/>
          </w:tcPr>
          <w:p>
            <w:pPr>
              <w:pStyle w:val="MDPI42tablebody"/>
              <w:snapToGrid w:val="false"/>
              <w:spacing w:lineRule="auto" w:line="240"/>
              <w:rPr>
                <w:b/>
                <w:b/>
                <w:bCs/>
                <w:sz w:val="18"/>
                <w:szCs w:val="18"/>
              </w:rPr>
            </w:pPr>
            <w:r>
              <w:rPr>
                <w:b/>
                <w:bCs/>
                <w:sz w:val="18"/>
                <w:szCs w:val="18"/>
              </w:rPr>
            </w:r>
          </w:p>
        </w:tc>
      </w:tr>
    </w:tbl>
    <w:p>
      <w:pPr>
        <w:pStyle w:val="MDPI31text"/>
        <w:spacing w:before="120" w:after="0"/>
        <w:rPr/>
      </w:pPr>
      <w:r>
        <w:rPr>
          <w:b/>
          <w:bCs/>
        </w:rPr>
        <w:t>Generation of Isogenic Mutant Panel</w:t>
      </w:r>
      <w:r>
        <w:rPr>
          <w:rFonts w:eastAsia="DengXian;等线" w:cs="DengXian;等线" w:ascii="DengXian;等线" w:hAnsi="DengXian;等线"/>
          <w:b/>
          <w:bCs/>
          <w:lang w:eastAsia="zh-CN"/>
        </w:rPr>
        <w:t>:</w:t>
      </w:r>
      <w:r>
        <w:rPr/>
        <w:t xml:space="preserve"> The methods to induce and characterize the Mtb isogenic mutant strains resistant to pretomanid or linezolid have been described previous</w:t>
      </w:r>
      <w:r>
        <w:rPr>
          <w:color w:val="000000"/>
        </w:rPr>
        <w:t>ly [12</w:t>
      </w:r>
      <w:r>
        <w:rPr>
          <w:color w:val="000000"/>
        </w:rPr>
        <w:t>-13</w:t>
      </w:r>
      <w:r>
        <w:rPr>
          <w:color w:val="000000"/>
        </w:rPr>
        <w:t>].</w:t>
      </w:r>
      <w:r>
        <w:rPr/>
        <w:t xml:space="preserve"> Briefly, 200 µl of 10</w:t>
      </w:r>
      <w:r>
        <w:rPr>
          <w:vertAlign w:val="superscript"/>
        </w:rPr>
        <w:t>4</w:t>
      </w:r>
      <w:r>
        <w:rPr/>
        <w:t xml:space="preserve"> - 10</w:t>
      </w:r>
      <w:r>
        <w:rPr>
          <w:vertAlign w:val="superscript"/>
        </w:rPr>
        <w:t>5</w:t>
      </w:r>
      <w:r>
        <w:rPr/>
        <w:t xml:space="preserve"> CFU/ml of </w:t>
      </w:r>
      <w:r>
        <w:rPr>
          <w:i/>
        </w:rPr>
        <w:t>M. tuberculosis</w:t>
      </w:r>
      <w:r>
        <w:rPr/>
        <w:t xml:space="preserve"> H37Rv (ATCC27294) in 7H9 liquid culture medium at logarithmic growth phase were evenly spread on 7H11 solid medium containing 1</w:t>
      </w:r>
      <w:r>
        <w:rPr>
          <w:rFonts w:eastAsia="Symbol" w:cs="Symbol" w:ascii="Symbol" w:hAnsi="Symbol"/>
        </w:rPr>
        <w:t></w:t>
      </w:r>
      <w:r>
        <w:rPr/>
        <w:t xml:space="preserve"> MIC (0.07 µg / ml) of pretomanid and blank control medium. After sealing, the plates were incubated at 37 °C under 5% CO</w:t>
      </w:r>
      <w:r>
        <w:rPr>
          <w:vertAlign w:val="subscript"/>
        </w:rPr>
        <w:t>2</w:t>
      </w:r>
      <w:r>
        <w:rPr/>
        <w:t xml:space="preserve"> for 3 to 4 weeks. Single colonies with good growth were collected from the drug-containing solid medium, milled and diluted to a concentration of 10</w:t>
      </w:r>
      <w:r>
        <w:rPr>
          <w:vertAlign w:val="superscript"/>
        </w:rPr>
        <w:t>4</w:t>
      </w:r>
      <w:r>
        <w:rPr/>
        <w:t>-10</w:t>
      </w:r>
      <w:r>
        <w:rPr>
          <w:vertAlign w:val="superscript"/>
        </w:rPr>
        <w:t>5</w:t>
      </w:r>
      <w:r>
        <w:rPr/>
        <w:t xml:space="preserve"> CFU/ml, and then inoculated onto 7H11 solid medium with pretomanid at 2</w:t>
      </w:r>
      <w:r>
        <w:rPr>
          <w:rFonts w:eastAsia="Symbol" w:cs="Symbol" w:ascii="Symbol" w:hAnsi="Symbol"/>
        </w:rPr>
        <w:t></w:t>
      </w:r>
      <w:r>
        <w:rPr/>
        <w:t xml:space="preserve"> MIC (0.15 μg / ml) and blank control medium. The plates were then incubated under the same condition for another 3 to 4 weeks to observe the growth of single colonies. A single colony with robust growth was collected from the drug-containing medium and further subcultured on drug-containing solid medium with a 2-fold increase of concentration of pretomanid until the selection of a single colonies that grew well on solid medium with pretomanid concentration of 16</w:t>
      </w:r>
      <w:r>
        <w:rPr>
          <w:rFonts w:eastAsia="Symbol" w:cs="Symbol" w:ascii="Symbol" w:hAnsi="Symbol"/>
        </w:rPr>
        <w:t></w:t>
      </w:r>
      <w:r>
        <w:rPr/>
        <w:t xml:space="preserve"> MIC. The phenotypic confirmation of the pretomanid resistant mutant strains were performed by Alamar Blue double dilution </w:t>
      </w:r>
      <w:r>
        <w:rPr>
          <w:color w:val="000000"/>
        </w:rPr>
        <w:t>method [1</w:t>
      </w:r>
      <w:r>
        <w:rPr>
          <w:color w:val="000000"/>
        </w:rPr>
        <w:t>4</w:t>
      </w:r>
      <w:r>
        <w:rPr>
          <w:color w:val="000000"/>
        </w:rPr>
        <w:t>].</w:t>
      </w:r>
      <w:r>
        <w:rPr/>
        <w:t xml:space="preserve"> The genotypic change of the resistant mutant strains were confirmed to be the T265C point mutation</w:t>
      </w:r>
      <w:r>
        <w:rPr>
          <w:rFonts w:ascii="SimSun;宋体" w:hAnsi="SimSun;宋体" w:cs="SimSun;宋体" w:eastAsia="SimSun;宋体"/>
        </w:rPr>
        <w:t>（</w:t>
      </w:r>
      <w:r>
        <w:rPr/>
        <w:t>TAC</w:t>
      </w:r>
      <w:r>
        <w:rPr>
          <w:rFonts w:eastAsia="SimSun;宋体" w:cs="SimSun;宋体" w:ascii="SimSun;宋体" w:hAnsi="SimSun;宋体"/>
        </w:rPr>
        <w:t>→</w:t>
      </w:r>
      <w:r>
        <w:rPr/>
        <w:t>CAC, Y89H</w:t>
      </w:r>
      <w:r>
        <w:rPr>
          <w:rFonts w:ascii="SimSun;宋体" w:hAnsi="SimSun;宋体" w:cs="SimSun;宋体" w:eastAsia="SimSun;宋体"/>
        </w:rPr>
        <w:t>）</w:t>
      </w:r>
      <w:r>
        <w:rPr/>
        <w:t>in the</w:t>
      </w:r>
      <w:r>
        <w:rPr>
          <w:i/>
        </w:rPr>
        <w:t xml:space="preserve"> ddn </w:t>
      </w:r>
      <w:r>
        <w:rPr/>
        <w:t xml:space="preserve">gene. Similar sequential drug selection method was applied to obtain linezolid resistant mutant trains. The genotypic change of the linezolid resistant mutant strains was found to be the point mutation of the </w:t>
      </w:r>
      <w:r>
        <w:rPr>
          <w:i/>
        </w:rPr>
        <w:t>rplC</w:t>
      </w:r>
      <w:r>
        <w:rPr/>
        <w:t xml:space="preserve"> (T460C).</w:t>
      </w:r>
    </w:p>
    <w:p>
      <w:pPr>
        <w:pStyle w:val="MDPI31text"/>
        <w:spacing w:before="120" w:after="0"/>
        <w:rPr>
          <w:szCs w:val="20"/>
        </w:rPr>
      </w:pPr>
      <w:r>
        <w:rPr>
          <w:rFonts w:eastAsia="SimSun;宋体"/>
          <w:b/>
          <w:bCs/>
          <w:color w:val="000000"/>
          <w:kern w:val="2"/>
          <w:szCs w:val="20"/>
          <w:lang w:eastAsia="zh-CN" w:bidi="ar-SA"/>
        </w:rPr>
        <w:t>Media:</w:t>
      </w:r>
      <w:r>
        <w:rPr>
          <w:rFonts w:eastAsia="SimSun;宋体"/>
          <w:color w:val="000000"/>
          <w:kern w:val="2"/>
          <w:szCs w:val="20"/>
          <w:lang w:eastAsia="zh-CN" w:bidi="ar-SA"/>
        </w:rPr>
        <w:t xml:space="preserve"> Media were prepared according to guidelines from CLSI. The test medium used for the anaerobic bacterial was supplemented Brucella broth (BD, Lot No. 6278735) containing 5 μg/mL hemin (Sigma, Lot No. SLBC4685V), 1 mg/mL Vitamin K1 (Sigma, Lot No. MKBN5958V), and 5% (v/v) laked horse blood (LHB, Cleveland Scientific, Lot No. 385663). Brucella broth (BD) supplemented with 10% fetal bovine serum (FBS, Gibco, Lot No. 1709261) was used for testing of </w:t>
      </w:r>
      <w:r>
        <w:rPr>
          <w:rFonts w:eastAsia="SimSun;宋体"/>
          <w:i/>
          <w:iCs/>
          <w:color w:val="000000"/>
          <w:kern w:val="2"/>
          <w:szCs w:val="20"/>
          <w:lang w:eastAsia="zh-CN" w:bidi="ar-SA"/>
        </w:rPr>
        <w:t>H. pylori</w:t>
      </w:r>
      <w:r>
        <w:rPr>
          <w:rFonts w:eastAsia="SimSun;宋体"/>
          <w:color w:val="000000"/>
          <w:kern w:val="2"/>
          <w:szCs w:val="20"/>
          <w:lang w:eastAsia="zh-CN" w:bidi="ar-SA"/>
        </w:rPr>
        <w:t>. Cation-adjusted Mueller Hinton Broth (CAMHB) media was used for the spectrum determination against the spectrum panel. Difco Middlebrook 7H9 Broth (Catalog No. 271310) supplemented with 0.2% (v/v) glycerol, 0.05% Tween 80, and 10% (v/v) albumin-dextrosecatalase (BBL Middlebrook ADC Enrichment, Catalog No. 212352) (</w:t>
      </w:r>
      <w:r>
        <w:rPr>
          <w:szCs w:val="20"/>
        </w:rPr>
        <w:t>7H9-ADC-T</w:t>
      </w:r>
      <w:r>
        <w:rPr>
          <w:rFonts w:eastAsia="SimSun;宋体"/>
          <w:color w:val="000000"/>
          <w:kern w:val="2"/>
          <w:szCs w:val="20"/>
          <w:lang w:eastAsia="zh-CN" w:bidi="ar-SA"/>
        </w:rPr>
        <w:t xml:space="preserve">) was used for the MIC assay against the </w:t>
      </w:r>
      <w:r>
        <w:rPr>
          <w:rFonts w:eastAsia="SimSun;宋体"/>
          <w:i/>
          <w:iCs/>
          <w:color w:val="000000"/>
          <w:kern w:val="2"/>
          <w:szCs w:val="20"/>
          <w:lang w:eastAsia="zh-CN" w:bidi="ar-SA"/>
        </w:rPr>
        <w:t>M. tuberculosis</w:t>
      </w:r>
      <w:r>
        <w:rPr>
          <w:rFonts w:eastAsia="SimSun;宋体"/>
          <w:color w:val="000000"/>
          <w:kern w:val="2"/>
          <w:szCs w:val="20"/>
          <w:lang w:eastAsia="zh-CN" w:bidi="ar-SA"/>
        </w:rPr>
        <w:t xml:space="preserve"> isogenic resistant mutant panel.</w:t>
      </w:r>
    </w:p>
    <w:p>
      <w:pPr>
        <w:pStyle w:val="MDPI31text"/>
        <w:spacing w:before="120" w:after="0"/>
        <w:rPr>
          <w:rFonts w:eastAsia="SimSun;宋体"/>
          <w:color w:val="000000"/>
          <w:kern w:val="2"/>
          <w:szCs w:val="20"/>
          <w:lang w:eastAsia="zh-CN" w:bidi="ar-SA"/>
        </w:rPr>
      </w:pPr>
      <w:r>
        <w:rPr>
          <w:b/>
          <w:bCs/>
          <w:szCs w:val="20"/>
        </w:rPr>
        <w:t xml:space="preserve">Minimum Inhibitory Concentration Testing: </w:t>
      </w:r>
      <w:r>
        <w:rPr>
          <w:rFonts w:eastAsia="SimSun;宋体"/>
          <w:color w:val="000000"/>
          <w:kern w:val="2"/>
          <w:szCs w:val="20"/>
          <w:lang w:eastAsia="zh-CN" w:bidi="ar-SA"/>
        </w:rPr>
        <w:t xml:space="preserve">The MIC test against the spectrum panel was conducted at HB Biosciences, following the broth microdilution method per CLSI guidance. The six ESKAPE ATCC strains were recovered in Trypticase Soy Agar (TSA) plates and tested with drug in CAMHB. Anaerobic bacterial </w:t>
      </w:r>
      <w:r>
        <w:rPr>
          <w:rFonts w:eastAsia="SimSun;宋体"/>
          <w:i/>
          <w:color w:val="000000"/>
          <w:kern w:val="2"/>
          <w:szCs w:val="20"/>
          <w:lang w:eastAsia="zh-CN" w:bidi="ar-SA"/>
        </w:rPr>
        <w:t xml:space="preserve">C. difficile </w:t>
      </w:r>
      <w:r>
        <w:rPr>
          <w:rFonts w:eastAsia="SimSun;宋体"/>
          <w:iCs/>
          <w:color w:val="000000"/>
          <w:kern w:val="2"/>
          <w:szCs w:val="20"/>
          <w:lang w:eastAsia="zh-CN" w:bidi="ar-SA"/>
        </w:rPr>
        <w:t xml:space="preserve">strains </w:t>
      </w:r>
      <w:r>
        <w:rPr>
          <w:rFonts w:eastAsia="SimSun;宋体"/>
          <w:color w:val="000000"/>
          <w:kern w:val="2"/>
          <w:szCs w:val="20"/>
          <w:lang w:eastAsia="zh-CN" w:bidi="ar-SA"/>
        </w:rPr>
        <w:t>were recovered on TSA agar, grown and tested with compounds in Blucella broth with 5 µg/ml chlorhematin and 10 µg/ml vitamin K</w:t>
      </w:r>
      <w:r>
        <w:rPr>
          <w:rFonts w:eastAsia="SimSun;宋体"/>
          <w:color w:val="000000"/>
          <w:kern w:val="2"/>
          <w:szCs w:val="20"/>
          <w:vertAlign w:val="subscript"/>
          <w:lang w:eastAsia="zh-CN" w:bidi="ar-SA"/>
        </w:rPr>
        <w:t xml:space="preserve">1 </w:t>
      </w:r>
      <w:r>
        <w:rPr>
          <w:rFonts w:eastAsia="SimSun;宋体"/>
          <w:color w:val="000000"/>
          <w:kern w:val="2"/>
          <w:szCs w:val="20"/>
          <w:lang w:eastAsia="zh-CN" w:bidi="ar-SA"/>
        </w:rPr>
        <w:t>in an anaerobic chamber.</w:t>
      </w:r>
    </w:p>
    <w:p>
      <w:pPr>
        <w:pStyle w:val="MDPI31text"/>
        <w:spacing w:before="120" w:after="0"/>
        <w:rPr>
          <w:b/>
          <w:b/>
          <w:bCs/>
          <w:szCs w:val="20"/>
        </w:rPr>
      </w:pPr>
      <w:r>
        <w:rPr>
          <w:szCs w:val="20"/>
        </w:rPr>
        <w:t xml:space="preserve">The MIC assay against the Mtb isogenic resistant mutant strains was performed at BTTTRI by the microplate Alamar blue </w:t>
      </w:r>
      <w:r>
        <w:rPr>
          <w:color w:val="000000"/>
          <w:szCs w:val="20"/>
        </w:rPr>
        <w:t>assay [1</w:t>
      </w:r>
      <w:r>
        <w:rPr>
          <w:color w:val="000000"/>
          <w:szCs w:val="20"/>
        </w:rPr>
        <w:t>4</w:t>
      </w:r>
      <w:r>
        <w:rPr>
          <w:color w:val="000000"/>
          <w:szCs w:val="20"/>
        </w:rPr>
        <w:t>].</w:t>
      </w:r>
      <w:r>
        <w:rPr>
          <w:szCs w:val="20"/>
        </w:rPr>
        <w:t xml:space="preserve"> Pretomanid, linezolid and metronidazole were used as comparators. The H37Rv strain and its derived isogenic resistant mutant strains were grown for 1-2 weeks at 37</w:t>
      </w:r>
      <w:r>
        <w:rPr>
          <w:szCs w:val="20"/>
          <w:vertAlign w:val="superscript"/>
        </w:rPr>
        <w:t>0</w:t>
      </w:r>
      <w:r>
        <w:rPr>
          <w:szCs w:val="20"/>
        </w:rPr>
        <w:t xml:space="preserve">C and adjusted to a </w:t>
      </w:r>
      <w:bookmarkStart w:id="6" w:name="_Hlk37750988"/>
      <w:r>
        <w:rPr>
          <w:szCs w:val="20"/>
        </w:rPr>
        <w:t>turbidity of McFarland 1 at 10</w:t>
      </w:r>
      <w:r>
        <w:rPr>
          <w:szCs w:val="20"/>
          <w:vertAlign w:val="superscript"/>
        </w:rPr>
        <w:t>7</w:t>
      </w:r>
      <w:r>
        <w:rPr>
          <w:szCs w:val="20"/>
        </w:rPr>
        <w:t xml:space="preserve">CFU/mL and diluted 1:20. Twofold </w:t>
      </w:r>
      <w:bookmarkEnd w:id="6"/>
      <w:r>
        <w:rPr>
          <w:szCs w:val="20"/>
        </w:rPr>
        <w:t>dilutions of testing compounds and comparators were prepared in 7H9-ADC-TG in a volume of 100 µl in 96-well, black, clear-bottom microplates (BD Biosciences, Franklin Lakes, NJ). Bacterial cells (100 µl containing 2 x 10</w:t>
      </w:r>
      <w:r>
        <w:rPr>
          <w:szCs w:val="20"/>
          <w:vertAlign w:val="superscript"/>
        </w:rPr>
        <w:t>5</w:t>
      </w:r>
      <w:r>
        <w:rPr>
          <w:szCs w:val="20"/>
        </w:rPr>
        <w:t xml:space="preserve"> CFU) was added, yielding a final testing volume of 200 µl. The plates were incubated at 37°C, on day 7, 12.5 µl of 20% Tween 80 and 20 µl of Alamar blue were added to all wells. After incubation at 37°C for 16 to 24 h, the fluorescence was read at an excitation of 530 nm and an emission of 590 nm. The MIC was defined as the lowest concentration effecting a reduction in fluorescence of ≥ 90% relative to the mean of replicate bacterium-only controls.</w:t>
      </w:r>
    </w:p>
    <w:p>
      <w:pPr>
        <w:pStyle w:val="MDPI31text"/>
        <w:rPr/>
      </w:pPr>
      <w:r>
        <w:rPr/>
        <w:t xml:space="preserve">The MIC assay against anaerobic bacterial strains was performed at Micromyx by following the procedure described by CLSI </w:t>
      </w:r>
      <w:r>
        <w:rPr>
          <w:color w:val="000000"/>
        </w:rPr>
        <w:t>[15-17].</w:t>
      </w:r>
      <w:r>
        <w:rPr/>
        <w:t xml:space="preserve"> A standardized inoculum of each organism was prepared per CLSI methods. Colonies were picked from the primary plate and a suspension was prepared to equal to a 0.5 McFarland turbidity standard. Anaerobic suspensions were diluted 1:10 in Brucella broth with 5% laked horse blood and each well was inoculated with 10 μL using a multichannel pipette in the Bactron anaerobe chamber, resulting in a final cell density of approximately 5</w:t>
      </w:r>
      <w:r>
        <w:rPr>
          <w:rFonts w:eastAsia="Symbol" w:cs="Symbol" w:ascii="Symbol" w:hAnsi="Symbol"/>
        </w:rPr>
        <w:t></w:t>
      </w:r>
      <w:r>
        <w:rPr/>
        <w:t>10</w:t>
      </w:r>
      <w:r>
        <w:rPr>
          <w:vertAlign w:val="superscript"/>
        </w:rPr>
        <w:t>5</w:t>
      </w:r>
      <w:r>
        <w:rPr/>
        <w:t xml:space="preserve"> CFU/mL (5</w:t>
      </w:r>
      <w:r>
        <w:rPr>
          <w:rFonts w:eastAsia="Symbol" w:cs="Symbol" w:ascii="Symbol" w:hAnsi="Symbol"/>
        </w:rPr>
        <w:t></w:t>
      </w:r>
      <w:r>
        <w:rPr/>
        <w:t>10</w:t>
      </w:r>
      <w:r>
        <w:rPr>
          <w:vertAlign w:val="superscript"/>
        </w:rPr>
        <w:t>4</w:t>
      </w:r>
      <w:r>
        <w:rPr/>
        <w:t xml:space="preserve"> CFU/mL for Clostridium spp.). For the </w:t>
      </w:r>
      <w:r>
        <w:rPr>
          <w:i/>
        </w:rPr>
        <w:t>H. pylori</w:t>
      </w:r>
      <w:r>
        <w:rPr/>
        <w:t xml:space="preserve"> strain, colonies were picked from the primary plate and a suspension was prepared to equal a 2.0 McFarland turbidity standard. Suspensions were diluted 1:15 in Brucella broth with 10% FBS, then transferred to compartments of sterile reservoirs divided by length (Beckman Coulter). The Biomek 2000 was used to inoculate the plates. Daughter plates were placed on the Biomek 2000 work surface in reverse orientation so that plates were inoculated from low to high drug concentration. The Biomek 2000 delivered 10 μL of standardized inoculum into each well of the appropriate daughter plate for an additional 1:20 dilution. Anaerobe plates were placed in an anaerobic box with GasPak sachets (BD), and were incubated anaerobically for 46-48 hr at 35-37°C. </w:t>
      </w:r>
      <w:r>
        <w:rPr>
          <w:i/>
        </w:rPr>
        <w:t>H. pylori</w:t>
      </w:r>
      <w:r>
        <w:rPr/>
        <w:t xml:space="preserve"> was incubated for 72 hr in a microaerophilic atmosphere using boxes with GasPak EZ Campy sachets (BD) prior to reading. After incubation, plates were viewed from the bottom using a plate viewer. An un-inoculated solubility control plate was observed for evidence of drug precipitation. MIC values were read and recorded as the lowest concentration of drug that inhibited visible growth of the organism.</w:t>
      </w:r>
    </w:p>
    <w:p>
      <w:pPr>
        <w:pStyle w:val="MDPI31text"/>
        <w:spacing w:before="120" w:after="0"/>
        <w:rPr>
          <w:szCs w:val="20"/>
        </w:rPr>
      </w:pPr>
      <w:r>
        <w:rPr>
          <w:b/>
          <w:bCs/>
          <w:szCs w:val="20"/>
        </w:rPr>
        <w:t>Cytotoxicity Assay:</w:t>
      </w:r>
      <w:r>
        <w:rPr>
          <w:szCs w:val="20"/>
        </w:rPr>
        <w:t xml:space="preserve"> The cytotoxicity assay followed the previously published protocol </w:t>
      </w:r>
      <w:r>
        <w:rPr>
          <w:color w:val="000000"/>
          <w:szCs w:val="20"/>
        </w:rPr>
        <w:t>[</w:t>
      </w:r>
      <w:r>
        <w:rPr>
          <w:color w:val="0070C0"/>
          <w:szCs w:val="20"/>
        </w:rPr>
        <w:t>1</w:t>
      </w:r>
      <w:r>
        <w:rPr>
          <w:color w:val="0070C0"/>
          <w:szCs w:val="20"/>
        </w:rPr>
        <w:t>4</w:t>
      </w:r>
      <w:r>
        <w:rPr>
          <w:color w:val="000000"/>
          <w:szCs w:val="20"/>
        </w:rPr>
        <w:t>]</w:t>
      </w:r>
      <w:r>
        <w:rPr>
          <w:szCs w:val="20"/>
        </w:rPr>
        <w:t>. Briefly, Vero cells in RPMI 1640 medium supplemented with 10% fetal bovine serum (FBS) were incubated in a humidified atmosphere of 5% CO</w:t>
      </w:r>
      <w:r>
        <w:rPr>
          <w:szCs w:val="20"/>
          <w:vertAlign w:val="subscript"/>
        </w:rPr>
        <w:t>2</w:t>
      </w:r>
      <w:r>
        <w:rPr>
          <w:szCs w:val="20"/>
        </w:rPr>
        <w:t xml:space="preserve"> at 37°C to reach confluent and then diluted to 4 x 10</w:t>
      </w:r>
      <w:r>
        <w:rPr>
          <w:szCs w:val="20"/>
          <w:vertAlign w:val="superscript"/>
        </w:rPr>
        <w:t>5</w:t>
      </w:r>
      <w:r>
        <w:rPr>
          <w:szCs w:val="20"/>
        </w:rPr>
        <w:t xml:space="preserve"> cells/ml. Threefold serial dilutions of the stock solutions resulted in final concentrations of 64 to 0.26 µg/ml in a final volume of 100 µl. Cytotoxicity testing was performed in a transparent 96-well microplate. After incubation at 37°C for 48 h, the medium was removed, and the monolayers were washed twice with 100 µl of warm Hanks balanced salt solution (HBSS). Warm medium and freshly made methyl-thiazolyldiphenyl-tetrazolium bromide (MTT) were added to each well, and then the plates were incubated for 4 h, after which the absorbance was determined at 492 nm.</w:t>
      </w:r>
      <w:r>
        <w:br w:type="page"/>
      </w:r>
    </w:p>
    <w:p>
      <w:pPr>
        <w:pStyle w:val="MDPI21heading1"/>
        <w:rPr/>
      </w:pPr>
      <w:r>
        <w:rPr>
          <w:lang w:eastAsia="zh-CN"/>
        </w:rPr>
        <w:t xml:space="preserve">4. </w:t>
      </w:r>
      <w:r>
        <w:rPr/>
        <w:t>Conclusions</w:t>
      </w:r>
    </w:p>
    <w:p>
      <w:pPr>
        <w:pStyle w:val="MDPI31text"/>
        <w:rPr/>
      </w:pPr>
      <w:r>
        <w:rPr/>
        <w:t xml:space="preserve">A series of 4-nitroimidazole and oxazolidione conjugate molecules were designed, synthesized and evaluated based on previous structure-activity relationship information. The dual mechanism of action of this series was demonstrated against </w:t>
      </w:r>
      <w:r>
        <w:rPr>
          <w:i/>
          <w:iCs/>
        </w:rPr>
        <w:t>Mycobacterium tuberculosis</w:t>
      </w:r>
      <w:r>
        <w:rPr/>
        <w:t xml:space="preserve"> by utilizing an isogenic mutant panel resistant to either pretomanid or linezolid. Compounds in the series are highly active against a panel of clinically important anaerobic bacteria. Strong synergy was observed as compared to the combination of linezolid and pretomanid. The nitroimidazole-oxazolidinone conjugate molecules hold potential for the treatment of anaerobic bacterial infections</w:t>
      </w:r>
      <w:r>
        <w:rPr>
          <w:spacing w:val="-2"/>
        </w:rPr>
        <w:t>.</w:t>
      </w:r>
    </w:p>
    <w:p>
      <w:pPr>
        <w:pStyle w:val="MDPI62Acknowledgments"/>
        <w:ind w:firstLine="361"/>
        <w:rPr/>
      </w:pPr>
      <w:r>
        <w:rPr>
          <w:b/>
        </w:rPr>
        <w:t xml:space="preserve">Author Contributions: </w:t>
      </w:r>
      <w:r>
        <w:rPr/>
        <w:t>Zhenkun Ma, Charles Z. Ding, Anthony Simon Lynch, Anna M. Upton, Christopher B. Cooper and William A. Denny conceived the compound series and were responsible for the initial design, synthesis and evaluation of the conjugate series. Zhijun Zhuang, Dawei Wan, Jun Ding and Qian Zhang conducted the synthesis and characterization of the conjugate molecules of the current study. Shijie He, Xiaomei Wang and Ying Yuan coordinated and oversaw compound testing. Yu Lu generated and tested against the Mtb isogenic resistant mutant panel.</w:t>
      </w:r>
    </w:p>
    <w:p>
      <w:pPr>
        <w:pStyle w:val="MDPI62Acknowledgments"/>
        <w:rPr/>
      </w:pPr>
      <w:r>
        <w:rPr>
          <w:b/>
        </w:rPr>
        <w:t xml:space="preserve">Funding: </w:t>
      </w:r>
      <w:r>
        <w:rPr/>
        <w:t>We thank the National Science and Technology Project of China (No.2015ZX09102007-007) for partial financial support of this project.</w:t>
      </w:r>
    </w:p>
    <w:p>
      <w:pPr>
        <w:pStyle w:val="MDPI64CoI"/>
        <w:rPr/>
      </w:pPr>
      <w:r>
        <w:rPr>
          <w:b/>
        </w:rPr>
        <w:t>Conflicts of Interest:</w:t>
      </w:r>
      <w:r>
        <w:rPr/>
        <w:t xml:space="preserve"> The authors declare no conflicts of interest.</w:t>
      </w:r>
    </w:p>
    <w:p>
      <w:pPr>
        <w:pStyle w:val="MDPI21heading1"/>
        <w:spacing w:before="120" w:after="120"/>
        <w:rPr/>
      </w:pPr>
      <w:r>
        <w:rPr/>
        <w:t>References</w:t>
      </w:r>
    </w:p>
    <w:p>
      <w:pPr>
        <w:pStyle w:val="MDPI71References"/>
        <w:numPr>
          <w:ilvl w:val="0"/>
          <w:numId w:val="5"/>
        </w:numPr>
        <w:snapToGrid w:val="false"/>
        <w:ind w:start="425" w:hanging="425"/>
        <w:rPr/>
      </w:pPr>
      <w:r>
        <w:rPr>
          <w:szCs w:val="18"/>
        </w:rPr>
        <w:t xml:space="preserve">Hashemian, S. M. R.; Farhadi, T.; Ganjparvar, M., Linezolid: a review of its properties, function, and use in critical care. </w:t>
      </w:r>
      <w:r>
        <w:rPr>
          <w:i/>
          <w:iCs/>
          <w:szCs w:val="18"/>
        </w:rPr>
        <w:t>Drug Des. Devel. Ther.</w:t>
      </w:r>
      <w:r>
        <w:rPr>
          <w:szCs w:val="18"/>
        </w:rPr>
        <w:t xml:space="preserve"> </w:t>
      </w:r>
      <w:r>
        <w:rPr>
          <w:b/>
          <w:bCs/>
          <w:szCs w:val="18"/>
        </w:rPr>
        <w:t>2018</w:t>
      </w:r>
      <w:r>
        <w:rPr>
          <w:szCs w:val="18"/>
        </w:rPr>
        <w:t xml:space="preserve">, </w:t>
      </w:r>
      <w:r>
        <w:rPr>
          <w:i/>
          <w:iCs/>
          <w:szCs w:val="18"/>
        </w:rPr>
        <w:t>12</w:t>
      </w:r>
      <w:r>
        <w:rPr>
          <w:szCs w:val="18"/>
        </w:rPr>
        <w:t>, 1759-1767.</w:t>
      </w:r>
    </w:p>
    <w:p>
      <w:pPr>
        <w:pStyle w:val="MDPI71References"/>
        <w:numPr>
          <w:ilvl w:val="0"/>
          <w:numId w:val="1"/>
        </w:numPr>
        <w:snapToGrid w:val="false"/>
        <w:ind w:start="425" w:hanging="425"/>
        <w:rPr/>
      </w:pPr>
      <w:r>
        <w:rPr>
          <w:szCs w:val="18"/>
        </w:rPr>
        <w:t xml:space="preserve">Cellitti, Susan E.; Shaffer, J.; Jones, David H.; Mukherjee, T.; Gurumurthy, M.; Bursulaya, B.; Boshoff, Helena I.; Choi, I.; Nayyar, A.; Lee, Yong S.; Cherian, J.; Niyomrattanakit, P.; Dick, T.; Manjunatha, Ujjini H.; Barry, Clifton E., III; Spraggon, G.; Geierstanger, Bernhard H., Structure of Ddn, the Deazaflavin-Dependent Nitroreductase from </w:t>
      </w:r>
      <w:r>
        <w:rPr>
          <w:i/>
          <w:iCs/>
          <w:szCs w:val="18"/>
        </w:rPr>
        <w:t>Mycobacterium tuberculosis</w:t>
      </w:r>
      <w:r>
        <w:rPr>
          <w:szCs w:val="18"/>
        </w:rPr>
        <w:t xml:space="preserve"> Involved in Bioreductive Activation of PA-824. </w:t>
      </w:r>
      <w:r>
        <w:rPr>
          <w:i/>
          <w:iCs/>
          <w:szCs w:val="18"/>
        </w:rPr>
        <w:t>Structure</w:t>
      </w:r>
      <w:r>
        <w:rPr>
          <w:szCs w:val="18"/>
        </w:rPr>
        <w:t xml:space="preserve"> </w:t>
      </w:r>
      <w:r>
        <w:rPr>
          <w:b/>
          <w:bCs/>
          <w:szCs w:val="18"/>
        </w:rPr>
        <w:t>2012</w:t>
      </w:r>
      <w:r>
        <w:rPr>
          <w:szCs w:val="18"/>
        </w:rPr>
        <w:t xml:space="preserve">, </w:t>
      </w:r>
      <w:r>
        <w:rPr>
          <w:i/>
          <w:iCs/>
          <w:szCs w:val="18"/>
        </w:rPr>
        <w:t>20</w:t>
      </w:r>
      <w:r>
        <w:rPr>
          <w:szCs w:val="18"/>
        </w:rPr>
        <w:t>, 101-112.</w:t>
      </w:r>
    </w:p>
    <w:p>
      <w:pPr>
        <w:pStyle w:val="MDPI71References"/>
        <w:numPr>
          <w:ilvl w:val="0"/>
          <w:numId w:val="1"/>
        </w:numPr>
        <w:snapToGrid w:val="false"/>
        <w:ind w:start="425" w:hanging="425"/>
        <w:rPr/>
      </w:pPr>
      <w:r>
        <w:rPr>
          <w:rFonts w:eastAsia="DengXian;等线"/>
          <w:szCs w:val="18"/>
          <w:lang w:eastAsia="zh-CN"/>
        </w:rPr>
        <w:t xml:space="preserve">Singh, R.; Manjunatha, U.; Boshoff, H. I. M.; Ha, Y. H.; Niyomrattanakit, P.; Ledwidge, R.; Dowd, C. S.; Lee, I. Y.; Kim, P.; Zhang, L.; Kang, S.; Keller, T. H.; Jiricek, J.; Barry, C. E., PA-824 Kills Nonreplicating </w:t>
      </w:r>
      <w:r>
        <w:rPr>
          <w:rFonts w:eastAsia="DengXian;等线"/>
          <w:i/>
          <w:iCs/>
          <w:szCs w:val="18"/>
          <w:lang w:eastAsia="zh-CN"/>
        </w:rPr>
        <w:t>Mycobacterium tuberculosis</w:t>
      </w:r>
      <w:r>
        <w:rPr>
          <w:rFonts w:eastAsia="DengXian;等线"/>
          <w:szCs w:val="18"/>
          <w:lang w:eastAsia="zh-CN"/>
        </w:rPr>
        <w:t xml:space="preserve"> by Intracellular NO Release. </w:t>
      </w:r>
      <w:r>
        <w:rPr>
          <w:rFonts w:eastAsia="DengXian;等线"/>
          <w:i/>
          <w:iCs/>
          <w:szCs w:val="18"/>
          <w:lang w:eastAsia="zh-CN"/>
        </w:rPr>
        <w:t>Science</w:t>
      </w:r>
      <w:r>
        <w:rPr>
          <w:rFonts w:eastAsia="DengXian;等线"/>
          <w:szCs w:val="18"/>
          <w:lang w:eastAsia="zh-CN"/>
        </w:rPr>
        <w:t xml:space="preserve"> </w:t>
      </w:r>
      <w:r>
        <w:rPr>
          <w:rFonts w:eastAsia="DengXian;等线"/>
          <w:b/>
          <w:bCs/>
          <w:szCs w:val="18"/>
          <w:lang w:eastAsia="zh-CN"/>
        </w:rPr>
        <w:t>2008</w:t>
      </w:r>
      <w:r>
        <w:rPr>
          <w:rFonts w:eastAsia="DengXian;等线"/>
          <w:szCs w:val="18"/>
          <w:lang w:eastAsia="zh-CN"/>
        </w:rPr>
        <w:t xml:space="preserve">, </w:t>
      </w:r>
      <w:r>
        <w:rPr>
          <w:rFonts w:eastAsia="DengXian;等线"/>
          <w:i/>
          <w:iCs/>
          <w:szCs w:val="18"/>
          <w:lang w:eastAsia="zh-CN"/>
        </w:rPr>
        <w:t>322</w:t>
      </w:r>
      <w:r>
        <w:rPr>
          <w:rFonts w:eastAsia="DengXian;等线"/>
          <w:szCs w:val="18"/>
          <w:lang w:eastAsia="zh-CN"/>
        </w:rPr>
        <w:t>, 1392-1395</w:t>
      </w:r>
      <w:r>
        <w:rPr>
          <w:szCs w:val="18"/>
        </w:rPr>
        <w:t>.</w:t>
      </w:r>
    </w:p>
    <w:p>
      <w:pPr>
        <w:pStyle w:val="MDPI71References"/>
        <w:numPr>
          <w:ilvl w:val="0"/>
          <w:numId w:val="1"/>
        </w:numPr>
        <w:snapToGrid w:val="false"/>
        <w:ind w:start="425" w:hanging="425"/>
        <w:rPr/>
      </w:pPr>
      <w:r>
        <w:rPr>
          <w:rFonts w:eastAsia="DengXian;等线"/>
          <w:szCs w:val="18"/>
          <w:lang w:eastAsia="zh-CN"/>
        </w:rPr>
        <w:t xml:space="preserve">Conradie, F.; Diacon, A. H.; Ngubane, N.; Howell, P.; Everitt, D.; Crook, A. M.; Mendel, C. M.; Egizi, E.; Moreira, J.; Timm, J.; McHugh, T. D.; Wills, G. H.; Bateson, A.; Hunt, R.; Van Niekerk, C.; Li, M.; Olugbosi, M.; Spigelman, M., Treatment of Highly Drug-Resistant Pulmonary Tuberculosis. </w:t>
      </w:r>
      <w:r>
        <w:rPr>
          <w:rFonts w:eastAsia="DengXian;等线"/>
          <w:i/>
          <w:iCs/>
          <w:szCs w:val="18"/>
          <w:lang w:eastAsia="zh-CN"/>
        </w:rPr>
        <w:t>N. Engl. J. Med.</w:t>
      </w:r>
      <w:r>
        <w:rPr>
          <w:rFonts w:eastAsia="DengXian;等线"/>
          <w:szCs w:val="18"/>
          <w:lang w:eastAsia="zh-CN"/>
        </w:rPr>
        <w:t xml:space="preserve"> </w:t>
      </w:r>
      <w:r>
        <w:rPr>
          <w:rFonts w:eastAsia="DengXian;等线"/>
          <w:b/>
          <w:bCs/>
          <w:szCs w:val="18"/>
          <w:lang w:eastAsia="zh-CN"/>
        </w:rPr>
        <w:t>2020</w:t>
      </w:r>
      <w:r>
        <w:rPr>
          <w:rFonts w:eastAsia="DengXian;等线"/>
          <w:szCs w:val="18"/>
          <w:lang w:eastAsia="zh-CN"/>
        </w:rPr>
        <w:t xml:space="preserve">, </w:t>
      </w:r>
      <w:r>
        <w:rPr>
          <w:rFonts w:eastAsia="DengXian;等线"/>
          <w:i/>
          <w:iCs/>
          <w:szCs w:val="18"/>
          <w:lang w:eastAsia="zh-CN"/>
        </w:rPr>
        <w:t>382</w:t>
      </w:r>
      <w:r>
        <w:rPr>
          <w:rFonts w:eastAsia="DengXian;等线"/>
          <w:szCs w:val="18"/>
          <w:lang w:eastAsia="zh-CN"/>
        </w:rPr>
        <w:t>, 893-902</w:t>
      </w:r>
      <w:r>
        <w:rPr>
          <w:szCs w:val="18"/>
        </w:rPr>
        <w:t>.</w:t>
      </w:r>
    </w:p>
    <w:p>
      <w:pPr>
        <w:pStyle w:val="MDPI71References"/>
        <w:numPr>
          <w:ilvl w:val="0"/>
          <w:numId w:val="1"/>
        </w:numPr>
        <w:snapToGrid w:val="false"/>
        <w:ind w:start="425" w:hanging="425"/>
        <w:rPr/>
      </w:pPr>
      <w:r>
        <w:rPr>
          <w:rFonts w:eastAsia="DengXian;等线"/>
          <w:szCs w:val="18"/>
          <w:lang w:eastAsia="zh-CN"/>
        </w:rPr>
        <w:t xml:space="preserve">Ma, Z.; Lynch, A. S., Development of a Dual-Acting Antibacterial Agent (TNP-2092) for the Treatment of Persistent Bacterial Infections. </w:t>
      </w:r>
      <w:r>
        <w:rPr>
          <w:rFonts w:eastAsia="DengXian;等线"/>
          <w:i/>
          <w:iCs/>
          <w:szCs w:val="18"/>
          <w:lang w:eastAsia="zh-CN"/>
        </w:rPr>
        <w:t>J. Med. Chem.</w:t>
      </w:r>
      <w:r>
        <w:rPr>
          <w:rFonts w:eastAsia="DengXian;等线"/>
          <w:szCs w:val="18"/>
          <w:lang w:eastAsia="zh-CN"/>
        </w:rPr>
        <w:t xml:space="preserve"> </w:t>
      </w:r>
      <w:r>
        <w:rPr>
          <w:rFonts w:eastAsia="DengXian;等线"/>
          <w:b/>
          <w:bCs/>
          <w:szCs w:val="18"/>
          <w:lang w:eastAsia="zh-CN"/>
        </w:rPr>
        <w:t>2016</w:t>
      </w:r>
      <w:r>
        <w:rPr>
          <w:rFonts w:eastAsia="DengXian;等线"/>
          <w:szCs w:val="18"/>
          <w:lang w:eastAsia="zh-CN"/>
        </w:rPr>
        <w:t xml:space="preserve">, </w:t>
      </w:r>
      <w:r>
        <w:rPr>
          <w:rFonts w:eastAsia="DengXian;等线"/>
          <w:i/>
          <w:iCs/>
          <w:szCs w:val="18"/>
          <w:lang w:eastAsia="zh-CN"/>
        </w:rPr>
        <w:t>59</w:t>
      </w:r>
      <w:r>
        <w:rPr>
          <w:rFonts w:eastAsia="DengXian;等线"/>
          <w:szCs w:val="18"/>
          <w:lang w:eastAsia="zh-CN"/>
        </w:rPr>
        <w:t>, 6645-6657</w:t>
      </w:r>
      <w:r>
        <w:rPr>
          <w:szCs w:val="18"/>
        </w:rPr>
        <w:t>.</w:t>
      </w:r>
    </w:p>
    <w:p>
      <w:pPr>
        <w:pStyle w:val="MDPI71References"/>
        <w:numPr>
          <w:ilvl w:val="0"/>
          <w:numId w:val="1"/>
        </w:numPr>
        <w:snapToGrid w:val="false"/>
        <w:ind w:start="425" w:hanging="425"/>
        <w:rPr/>
      </w:pPr>
      <w:r>
        <w:rPr>
          <w:rFonts w:eastAsia="DengXian;等线"/>
          <w:szCs w:val="18"/>
          <w:lang w:eastAsia="zh-CN"/>
        </w:rPr>
        <w:t xml:space="preserve">Ippolito, J. A.; Kanyo, Z. F.; Wang, D.; Franceschi, F. J.; Moore, P. B.; Steitz, T. A.; Duffy, E. M., Crystal Structure of the Oxazolidinone Antibiotic Linezolid Bound to the 50S Ribosomal Subunit. </w:t>
      </w:r>
      <w:r>
        <w:rPr>
          <w:rFonts w:eastAsia="DengXian;等线"/>
          <w:i/>
          <w:iCs/>
          <w:szCs w:val="18"/>
          <w:lang w:eastAsia="zh-CN"/>
        </w:rPr>
        <w:t>J. Med. Chem.</w:t>
      </w:r>
      <w:r>
        <w:rPr>
          <w:rFonts w:eastAsia="DengXian;等线"/>
          <w:szCs w:val="18"/>
          <w:lang w:eastAsia="zh-CN"/>
        </w:rPr>
        <w:t xml:space="preserve"> </w:t>
      </w:r>
      <w:r>
        <w:rPr>
          <w:rFonts w:eastAsia="DengXian;等线"/>
          <w:b/>
          <w:bCs/>
          <w:szCs w:val="18"/>
          <w:lang w:eastAsia="zh-CN"/>
        </w:rPr>
        <w:t>2008</w:t>
      </w:r>
      <w:r>
        <w:rPr>
          <w:rFonts w:eastAsia="DengXian;等线"/>
          <w:szCs w:val="18"/>
          <w:lang w:eastAsia="zh-CN"/>
        </w:rPr>
        <w:t xml:space="preserve">, </w:t>
      </w:r>
      <w:r>
        <w:rPr>
          <w:rFonts w:eastAsia="DengXian;等线"/>
          <w:i/>
          <w:iCs/>
          <w:szCs w:val="18"/>
          <w:lang w:eastAsia="zh-CN"/>
        </w:rPr>
        <w:t>51</w:t>
      </w:r>
      <w:r>
        <w:rPr>
          <w:rFonts w:eastAsia="DengXian;等线"/>
          <w:szCs w:val="18"/>
          <w:lang w:eastAsia="zh-CN"/>
        </w:rPr>
        <w:t>, 3353-3356</w:t>
      </w:r>
      <w:r>
        <w:rPr/>
        <w:t>.</w:t>
      </w:r>
    </w:p>
    <w:p>
      <w:pPr>
        <w:pStyle w:val="MDPI71References"/>
        <w:numPr>
          <w:ilvl w:val="0"/>
          <w:numId w:val="1"/>
        </w:numPr>
        <w:snapToGrid w:val="false"/>
        <w:ind w:start="425" w:hanging="425"/>
        <w:rPr/>
      </w:pPr>
      <w:r>
        <w:rPr>
          <w:rFonts w:eastAsia="DengXian;等线"/>
          <w:szCs w:val="18"/>
          <w:lang w:eastAsia="zh-CN"/>
        </w:rPr>
        <w:t xml:space="preserve">Varshney, V.; Mishra, N. N.; Shukla, P. K.; Sahu, D. P., Synthesis of nitroimidazole derived oxazolidinones as antibacterial agents. </w:t>
      </w:r>
      <w:r>
        <w:rPr>
          <w:rFonts w:eastAsia="DengXian;等线"/>
          <w:i/>
          <w:iCs/>
          <w:szCs w:val="18"/>
          <w:lang w:eastAsia="zh-CN"/>
        </w:rPr>
        <w:t>Eur. J. Med. Chem.</w:t>
      </w:r>
      <w:r>
        <w:rPr>
          <w:rFonts w:eastAsia="DengXian;等线"/>
          <w:szCs w:val="18"/>
          <w:lang w:eastAsia="zh-CN"/>
        </w:rPr>
        <w:t xml:space="preserve"> </w:t>
      </w:r>
      <w:r>
        <w:rPr>
          <w:rFonts w:eastAsia="DengXian;等线"/>
          <w:b/>
          <w:bCs/>
          <w:szCs w:val="18"/>
          <w:lang w:eastAsia="zh-CN"/>
        </w:rPr>
        <w:t>2010</w:t>
      </w:r>
      <w:r>
        <w:rPr>
          <w:rFonts w:eastAsia="DengXian;等线"/>
          <w:szCs w:val="18"/>
          <w:lang w:eastAsia="zh-CN"/>
        </w:rPr>
        <w:t xml:space="preserve">, </w:t>
      </w:r>
      <w:r>
        <w:rPr>
          <w:rFonts w:eastAsia="DengXian;等线"/>
          <w:i/>
          <w:iCs/>
          <w:szCs w:val="18"/>
          <w:lang w:eastAsia="zh-CN"/>
        </w:rPr>
        <w:t>45</w:t>
      </w:r>
      <w:r>
        <w:rPr>
          <w:rFonts w:eastAsia="DengXian;等线"/>
          <w:szCs w:val="18"/>
          <w:lang w:eastAsia="zh-CN"/>
        </w:rPr>
        <w:t>, 661-666</w:t>
      </w:r>
      <w:r>
        <w:rPr>
          <w:szCs w:val="18"/>
        </w:rPr>
        <w:t>.</w:t>
      </w:r>
    </w:p>
    <w:p>
      <w:pPr>
        <w:pStyle w:val="MDPI71References"/>
        <w:numPr>
          <w:ilvl w:val="0"/>
          <w:numId w:val="1"/>
        </w:numPr>
        <w:snapToGrid w:val="false"/>
        <w:ind w:start="425" w:hanging="425"/>
        <w:rPr/>
      </w:pPr>
      <w:r>
        <w:rPr>
          <w:rFonts w:eastAsia="DengXian;等线"/>
          <w:szCs w:val="18"/>
          <w:lang w:eastAsia="zh-CN"/>
        </w:rPr>
        <w:t xml:space="preserve">Markad, S. D.; Kaur, P.; Kishore Reddy, B. K.; Chinnapattu, M.; Raichurkar, A.; Nandishaiah, R.; Panda, M.; Iyer, P. S., Novel lead generation of an anti-tuberculosis agent active against non-replicating mycobacteria: exploring hybridization of pyrazinamide with multiple fragments. </w:t>
      </w:r>
      <w:r>
        <w:rPr>
          <w:rFonts w:eastAsia="DengXian;等线"/>
          <w:i/>
          <w:iCs/>
          <w:szCs w:val="18"/>
          <w:lang w:eastAsia="zh-CN"/>
        </w:rPr>
        <w:t>Med. Chem. Res.</w:t>
      </w:r>
      <w:r>
        <w:rPr>
          <w:rFonts w:eastAsia="DengXian;等线"/>
          <w:szCs w:val="18"/>
          <w:lang w:eastAsia="zh-CN"/>
        </w:rPr>
        <w:t xml:space="preserve"> </w:t>
      </w:r>
      <w:r>
        <w:rPr>
          <w:rFonts w:eastAsia="DengXian;等线"/>
          <w:b/>
          <w:bCs/>
          <w:szCs w:val="18"/>
          <w:lang w:eastAsia="zh-CN"/>
        </w:rPr>
        <w:t>2015</w:t>
      </w:r>
      <w:r>
        <w:rPr>
          <w:rFonts w:eastAsia="DengXian;等线"/>
          <w:szCs w:val="18"/>
          <w:lang w:eastAsia="zh-CN"/>
        </w:rPr>
        <w:t xml:space="preserve">, </w:t>
      </w:r>
      <w:r>
        <w:rPr>
          <w:rFonts w:eastAsia="DengXian;等线"/>
          <w:i/>
          <w:iCs/>
          <w:szCs w:val="18"/>
          <w:lang w:eastAsia="zh-CN"/>
        </w:rPr>
        <w:t>24</w:t>
      </w:r>
      <w:r>
        <w:rPr>
          <w:rFonts w:eastAsia="DengXian;等线"/>
          <w:szCs w:val="18"/>
          <w:lang w:eastAsia="zh-CN"/>
        </w:rPr>
        <w:t>, 2986-2992</w:t>
      </w:r>
      <w:r>
        <w:rPr>
          <w:szCs w:val="18"/>
        </w:rPr>
        <w:t>.</w:t>
      </w:r>
    </w:p>
    <w:p>
      <w:pPr>
        <w:pStyle w:val="MDPI71References"/>
        <w:numPr>
          <w:ilvl w:val="0"/>
          <w:numId w:val="1"/>
        </w:numPr>
        <w:snapToGrid w:val="false"/>
        <w:ind w:start="425" w:hanging="425"/>
        <w:rPr>
          <w:szCs w:val="18"/>
        </w:rPr>
      </w:pPr>
      <w:r>
        <w:rPr>
          <w:rFonts w:eastAsia="DengXian;等线"/>
          <w:szCs w:val="18"/>
          <w:lang w:eastAsia="zh-CN"/>
        </w:rPr>
        <w:t>Goto, F.; Takemura, N.; Otani, T.; Hasegawa, T.; Tsubouchi, H.; Utsumi, N.; Fujita, S.; Kuroda, H.; Shitsuta, T.; Sasaki, H. 1-substituted-4-nitroimidazole compound and process for producing the same. U.S. Patent 7,368,579, 2008.</w:t>
      </w:r>
    </w:p>
    <w:p>
      <w:pPr>
        <w:pStyle w:val="MDPI71References"/>
        <w:numPr>
          <w:ilvl w:val="0"/>
          <w:numId w:val="1"/>
        </w:numPr>
        <w:snapToGrid w:val="false"/>
        <w:ind w:start="425" w:hanging="425"/>
        <w:rPr>
          <w:szCs w:val="18"/>
        </w:rPr>
      </w:pPr>
      <w:r>
        <w:rPr>
          <w:szCs w:val="18"/>
        </w:rPr>
        <w:t xml:space="preserve">Thompson, A. M.; Denny, W. A.; Blaser, A.; Ma, Z. Nitroimidazooxazine and nitroimidazooxazole analogues and their uses. </w:t>
      </w:r>
      <w:r>
        <w:rPr>
          <w:rFonts w:eastAsia="DengXian;等线"/>
          <w:szCs w:val="18"/>
          <w:lang w:eastAsia="zh-CN"/>
        </w:rPr>
        <w:t>U.S. Patent</w:t>
      </w:r>
      <w:r>
        <w:rPr>
          <w:szCs w:val="18"/>
        </w:rPr>
        <w:t xml:space="preserve"> 8,293,734, 2012</w:t>
      </w:r>
      <w:r>
        <w:rPr>
          <w:rFonts w:eastAsia="DengXian;等线"/>
          <w:szCs w:val="18"/>
          <w:lang w:eastAsia="zh-CN"/>
        </w:rPr>
        <w:t>.</w:t>
      </w:r>
    </w:p>
    <w:p>
      <w:pPr>
        <w:pStyle w:val="MDPI71References"/>
        <w:numPr>
          <w:ilvl w:val="0"/>
          <w:numId w:val="1"/>
        </w:numPr>
        <w:snapToGrid w:val="false"/>
        <w:ind w:start="425" w:hanging="425"/>
        <w:rPr>
          <w:szCs w:val="18"/>
        </w:rPr>
      </w:pPr>
      <w:r>
        <w:rPr>
          <w:rFonts w:eastAsia="DengXian;等线"/>
          <w:szCs w:val="18"/>
          <w:lang w:eastAsia="zh-CN"/>
        </w:rPr>
        <w:t>Ding, C. Z.; Lu, G.; Combrink, K.; Chen, D. D.; Song, M.; Wang, J.; Ma, Z.; Palmer, B. D.; Blaser, A.; Thompson, A. M. Bicyclic nitroimidazole-substituted phenyl oxazolidinones. U.S. Patent 7,666,864, 2010.</w:t>
      </w:r>
    </w:p>
    <w:p>
      <w:pPr>
        <w:pStyle w:val="MDPI71References"/>
        <w:numPr>
          <w:ilvl w:val="0"/>
          <w:numId w:val="1"/>
        </w:numPr>
        <w:snapToGrid w:val="false"/>
        <w:ind w:start="425" w:hanging="425"/>
        <w:rPr>
          <w:szCs w:val="18"/>
        </w:rPr>
      </w:pPr>
      <w:r>
        <w:rPr>
          <w:rFonts w:eastAsia="DengXian;等线"/>
          <w:szCs w:val="18"/>
          <w:lang w:eastAsia="zh-CN"/>
        </w:rPr>
        <w:t>Hu, M.H.; Wang, B.; Fu, L.; Xu, J.; Lu, Y. Induction and stability of M</w:t>
      </w:r>
      <w:r>
        <w:rPr>
          <w:rFonts w:eastAsia="DengXian;等线"/>
          <w:i/>
          <w:iCs/>
          <w:szCs w:val="18"/>
          <w:lang w:eastAsia="zh-CN"/>
        </w:rPr>
        <w:t>ycobacterium tuberculosis</w:t>
      </w:r>
      <w:r>
        <w:rPr>
          <w:rFonts w:eastAsia="DengXian;等线"/>
          <w:szCs w:val="18"/>
          <w:lang w:eastAsia="zh-CN"/>
        </w:rPr>
        <w:t xml:space="preserve"> resistance to PA-824 in vitro. </w:t>
      </w:r>
      <w:r>
        <w:rPr>
          <w:rFonts w:eastAsia="DengXian;等线"/>
          <w:i/>
          <w:iCs/>
          <w:szCs w:val="18"/>
          <w:lang w:eastAsia="zh-CN"/>
        </w:rPr>
        <w:t>J. Chinese Ant.</w:t>
      </w:r>
      <w:r>
        <w:rPr>
          <w:rFonts w:eastAsia="DengXian;等线"/>
          <w:szCs w:val="18"/>
          <w:lang w:eastAsia="zh-CN"/>
        </w:rPr>
        <w:t xml:space="preserve"> </w:t>
      </w:r>
      <w:r>
        <w:rPr>
          <w:rFonts w:eastAsia="DengXian;等线"/>
          <w:b/>
          <w:bCs/>
          <w:szCs w:val="18"/>
          <w:lang w:eastAsia="zh-CN"/>
        </w:rPr>
        <w:t>2011</w:t>
      </w:r>
      <w:r>
        <w:rPr>
          <w:rFonts w:eastAsia="DengXian;等线"/>
          <w:szCs w:val="18"/>
          <w:lang w:eastAsia="zh-CN"/>
        </w:rPr>
        <w:t xml:space="preserve">, </w:t>
      </w:r>
      <w:r>
        <w:rPr>
          <w:rFonts w:eastAsia="DengXian;等线"/>
          <w:i/>
          <w:iCs/>
          <w:szCs w:val="18"/>
          <w:lang w:eastAsia="zh-CN"/>
        </w:rPr>
        <w:t>42</w:t>
      </w:r>
      <w:r>
        <w:rPr>
          <w:rFonts w:eastAsia="DengXian;等线"/>
          <w:szCs w:val="18"/>
          <w:lang w:eastAsia="zh-CN"/>
        </w:rPr>
        <w:t>, 144-148.</w:t>
      </w:r>
    </w:p>
    <w:p>
      <w:pPr>
        <w:pStyle w:val="MDPI71References"/>
        <w:numPr>
          <w:ilvl w:val="0"/>
          <w:numId w:val="1"/>
        </w:numPr>
        <w:snapToGrid w:val="false"/>
        <w:ind w:start="425" w:hanging="425"/>
        <w:rPr>
          <w:szCs w:val="18"/>
        </w:rPr>
      </w:pPr>
      <w:r>
        <w:rPr>
          <w:rFonts w:eastAsia="DengXian;等线"/>
          <w:szCs w:val="18"/>
          <w:lang w:eastAsia="zh-CN"/>
        </w:rPr>
        <w:t xml:space="preserve">Hu, M.H.; Wang, B.; Fu, L.; Xu, J.; Lu, Y. Induction in vitro and stability of </w:t>
      </w:r>
      <w:r>
        <w:rPr>
          <w:rFonts w:eastAsia="DengXian;等线"/>
          <w:i/>
          <w:iCs/>
          <w:szCs w:val="18"/>
          <w:lang w:eastAsia="zh-CN"/>
        </w:rPr>
        <w:t>Mycobacterium tuberculosis</w:t>
      </w:r>
      <w:r>
        <w:rPr>
          <w:rFonts w:eastAsia="DengXian;等线"/>
          <w:szCs w:val="18"/>
          <w:lang w:eastAsia="zh-CN"/>
        </w:rPr>
        <w:t xml:space="preserve"> resistance to Linezolid. </w:t>
      </w:r>
      <w:r>
        <w:rPr>
          <w:rFonts w:eastAsia="DengXian;等线"/>
          <w:i/>
          <w:iCs/>
          <w:szCs w:val="18"/>
          <w:lang w:eastAsia="zh-CN"/>
        </w:rPr>
        <w:t>Chin. J. Antibio.</w:t>
      </w:r>
      <w:r>
        <w:rPr>
          <w:rFonts w:eastAsia="DengXian;等线"/>
          <w:szCs w:val="18"/>
          <w:lang w:eastAsia="zh-CN"/>
        </w:rPr>
        <w:t xml:space="preserve"> </w:t>
      </w:r>
      <w:r>
        <w:rPr>
          <w:rFonts w:eastAsia="DengXian;等线"/>
          <w:b/>
          <w:bCs/>
          <w:szCs w:val="18"/>
          <w:lang w:eastAsia="zh-CN"/>
        </w:rPr>
        <w:t>2017</w:t>
      </w:r>
      <w:r>
        <w:rPr>
          <w:rFonts w:eastAsia="DengXian;等线"/>
          <w:szCs w:val="18"/>
          <w:lang w:eastAsia="zh-CN"/>
        </w:rPr>
        <w:t xml:space="preserve">, </w:t>
      </w:r>
      <w:r>
        <w:rPr>
          <w:rFonts w:eastAsia="DengXian;等线"/>
          <w:i/>
          <w:iCs/>
          <w:szCs w:val="18"/>
          <w:lang w:eastAsia="zh-CN"/>
        </w:rPr>
        <w:t>39</w:t>
      </w:r>
      <w:r>
        <w:rPr>
          <w:rFonts w:eastAsia="DengXian;等线"/>
          <w:szCs w:val="18"/>
          <w:lang w:eastAsia="zh-CN"/>
        </w:rPr>
        <w:t>, 400-405.</w:t>
      </w:r>
    </w:p>
    <w:p>
      <w:pPr>
        <w:pStyle w:val="MDPI71References"/>
        <w:numPr>
          <w:ilvl w:val="0"/>
          <w:numId w:val="1"/>
        </w:numPr>
        <w:snapToGrid w:val="false"/>
        <w:ind w:start="425" w:hanging="425"/>
        <w:rPr>
          <w:szCs w:val="18"/>
        </w:rPr>
      </w:pPr>
      <w:r>
        <w:rPr>
          <w:rFonts w:eastAsia="DengXian;等线"/>
          <w:szCs w:val="18"/>
          <w:lang w:eastAsia="zh-CN"/>
        </w:rPr>
        <w:t xml:space="preserve">Lu, Y.; Zheng, M.; Wang, B.; Fu, L.; Zhao, W.; Li, P.; Xu, J.; Zhu, H.; Jin, H.; Yin, D.; Huang, H.; Upton, A. M.; Ma, Z., Clofazimine Analogs with Efficacy against Experimental Tuberculosis and Reduced Potential for Accumulation. </w:t>
      </w:r>
      <w:r>
        <w:rPr>
          <w:rFonts w:eastAsia="DengXian;等线"/>
          <w:i/>
          <w:iCs/>
          <w:szCs w:val="18"/>
          <w:lang w:eastAsia="zh-CN"/>
        </w:rPr>
        <w:t>Antimicrob. Agents Chemother.</w:t>
      </w:r>
      <w:r>
        <w:rPr>
          <w:rFonts w:eastAsia="DengXian;等线"/>
          <w:szCs w:val="18"/>
          <w:lang w:eastAsia="zh-CN"/>
        </w:rPr>
        <w:t xml:space="preserve"> </w:t>
      </w:r>
      <w:r>
        <w:rPr>
          <w:rFonts w:eastAsia="DengXian;等线"/>
          <w:b/>
          <w:bCs/>
          <w:szCs w:val="18"/>
          <w:lang w:eastAsia="zh-CN"/>
        </w:rPr>
        <w:t>2011</w:t>
      </w:r>
      <w:r>
        <w:rPr>
          <w:rFonts w:eastAsia="DengXian;等线"/>
          <w:szCs w:val="18"/>
          <w:lang w:eastAsia="zh-CN"/>
        </w:rPr>
        <w:t xml:space="preserve">, </w:t>
      </w:r>
      <w:r>
        <w:rPr>
          <w:rFonts w:eastAsia="DengXian;等线"/>
          <w:i/>
          <w:iCs/>
          <w:szCs w:val="18"/>
          <w:lang w:eastAsia="zh-CN"/>
        </w:rPr>
        <w:t>55</w:t>
      </w:r>
      <w:r>
        <w:rPr>
          <w:rFonts w:eastAsia="DengXian;等线"/>
          <w:szCs w:val="18"/>
          <w:lang w:eastAsia="zh-CN"/>
        </w:rPr>
        <w:t>, 5185-5193.</w:t>
      </w:r>
    </w:p>
    <w:p>
      <w:pPr>
        <w:pStyle w:val="MDPI71References"/>
        <w:numPr>
          <w:ilvl w:val="0"/>
          <w:numId w:val="1"/>
        </w:numPr>
        <w:snapToGrid w:val="false"/>
        <w:ind w:start="425" w:hanging="425"/>
        <w:rPr>
          <w:szCs w:val="18"/>
        </w:rPr>
      </w:pPr>
      <w:r>
        <w:rPr>
          <w:rFonts w:eastAsia="DengXian;等线"/>
          <w:szCs w:val="18"/>
          <w:lang w:eastAsia="zh-CN"/>
        </w:rPr>
        <w:t>Clinical and Laboratory Standards Institute (CLSI). Methods for Antimicrobial Dilution and Disk Susceptibility Testing of Infrequently Isolated or Fastidious Bacteria; Approved Guideline Second Edition. CLSI document M45-A2. Clinical and Laboratory Standards Institute: Wayne, Pennsylvania, USA, 2010.</w:t>
      </w:r>
    </w:p>
    <w:p>
      <w:pPr>
        <w:pStyle w:val="MDPI71References"/>
        <w:numPr>
          <w:ilvl w:val="0"/>
          <w:numId w:val="1"/>
        </w:numPr>
        <w:snapToGrid w:val="false"/>
        <w:ind w:start="425" w:hanging="425"/>
        <w:rPr>
          <w:szCs w:val="18"/>
        </w:rPr>
      </w:pPr>
      <w:r>
        <w:rPr>
          <w:rFonts w:eastAsia="DengXian;等线"/>
          <w:szCs w:val="18"/>
          <w:lang w:eastAsia="zh-CN"/>
        </w:rPr>
        <w:t>Clinical Laboratory and Standards Institute (CLSI). Methods for Antimicrobial Susceptibility Testing of Anaerobic Bacteria; Approved Standard-Eighth Edition. CLSI document M11-A8. Clinical and Laboratory Standards Institute: Wayne, Pennsylvania, USA, 2012.</w:t>
      </w:r>
    </w:p>
    <w:p>
      <w:pPr>
        <w:pStyle w:val="MDPI71References"/>
        <w:numPr>
          <w:ilvl w:val="0"/>
          <w:numId w:val="1"/>
        </w:numPr>
        <w:snapToGrid w:val="false"/>
        <w:ind w:start="425" w:hanging="425"/>
        <w:rPr>
          <w:szCs w:val="18"/>
        </w:rPr>
      </w:pPr>
      <w:r>
        <w:rPr>
          <w:rFonts w:eastAsia="DengXian;等线"/>
          <w:szCs w:val="18"/>
          <w:lang w:eastAsia="zh-CN"/>
        </w:rPr>
        <w:t>Clinical Laboratory and Standards Institute (CLSI). Performance Standards for Antimicrobial Susceptibility Testing; Twenty-Seventh Informational Supplement. CLSI document M100-S27. Clinical and Laboratory Standards Institute: Wayne, Pennsylvania, USA, 2017.</w:t>
      </w:r>
    </w:p>
    <w:p>
      <w:pPr>
        <w:pStyle w:val="MDPI71References"/>
        <w:numPr>
          <w:ilvl w:val="0"/>
          <w:numId w:val="0"/>
        </w:numPr>
        <w:snapToGrid w:val="false"/>
        <w:spacing w:lineRule="atLeast" w:line="200" w:before="240" w:after="240"/>
        <w:ind w:start="0" w:hanging="0"/>
        <w:rPr/>
      </w:pPr>
      <w:r>
        <w:rPr>
          <w:b/>
        </w:rPr>
        <w:t>Sample Availability:</w:t>
      </w:r>
      <w:r>
        <w:rPr/>
        <w:t xml:space="preserve"> All samples of the compounds are available from </w:t>
      </w:r>
      <w:r>
        <w:rPr>
          <w:rFonts w:eastAsia="SimSun;宋体"/>
          <w:lang w:eastAsia="zh-CN"/>
        </w:rPr>
        <w:t xml:space="preserve">the </w:t>
      </w:r>
      <w:r>
        <w:rPr/>
        <w:t>authors.</w:t>
      </w:r>
    </w:p>
    <w:tbl>
      <w:tblPr>
        <w:tblW w:w="8856" w:type="dxa"/>
        <w:jc w:val="center"/>
        <w:tblInd w:w="0" w:type="dxa"/>
        <w:tblLayout w:type="fixed"/>
        <w:tblCellMar>
          <w:top w:w="0" w:type="dxa"/>
          <w:start w:w="108" w:type="dxa"/>
          <w:bottom w:w="0" w:type="dxa"/>
          <w:end w:w="108" w:type="dxa"/>
        </w:tblCellMar>
      </w:tblPr>
      <w:tblGrid>
        <w:gridCol w:w="1707"/>
        <w:gridCol w:w="7149"/>
      </w:tblGrid>
      <w:tr>
        <w:trPr/>
        <w:tc>
          <w:tcPr>
            <w:tcW w:w="1707" w:type="dxa"/>
            <w:tcBorders/>
            <w:vAlign w:val="center"/>
          </w:tcPr>
          <w:p>
            <w:pPr>
              <w:pStyle w:val="MDPI71References"/>
              <w:numPr>
                <w:ilvl w:val="0"/>
                <w:numId w:val="0"/>
              </w:numPr>
              <w:snapToGrid w:val="false"/>
              <w:ind w:start="-85" w:hanging="0"/>
              <w:rPr>
                <w:rFonts w:eastAsia="SimSun;宋体"/>
                <w:bCs/>
              </w:rPr>
            </w:pPr>
            <w:r>
              <w:rPr>
                <w:rFonts w:eastAsia="SimSun;宋体"/>
                <w:bCs/>
              </w:rPr>
              <w:drawing>
                <wp:inline distT="0" distB="0" distL="0" distR="0">
                  <wp:extent cx="1000125" cy="3587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0"/>
                          <a:srcRect l="-29" t="-84" r="-29" b="-84"/>
                          <a:stretch>
                            <a:fillRect/>
                          </a:stretch>
                        </pic:blipFill>
                        <pic:spPr bwMode="auto">
                          <a:xfrm>
                            <a:off x="0" y="0"/>
                            <a:ext cx="1000125" cy="358775"/>
                          </a:xfrm>
                          <a:prstGeom prst="rect">
                            <a:avLst/>
                          </a:prstGeom>
                        </pic:spPr>
                      </pic:pic>
                    </a:graphicData>
                  </a:graphic>
                </wp:inline>
              </w:drawing>
            </w:r>
          </w:p>
        </w:tc>
        <w:tc>
          <w:tcPr>
            <w:tcW w:w="7149" w:type="dxa"/>
            <w:tcBorders/>
            <w:vAlign w:val="center"/>
          </w:tcPr>
          <w:p>
            <w:pPr>
              <w:pStyle w:val="MDPI71References"/>
              <w:numPr>
                <w:ilvl w:val="0"/>
                <w:numId w:val="0"/>
              </w:numPr>
              <w:snapToGrid w:val="false"/>
              <w:ind w:start="-85" w:hanging="0"/>
              <w:rPr/>
            </w:pPr>
            <w:r>
              <w:rPr>
                <w:rFonts w:eastAsia="SimSun;宋体"/>
                <w:bCs/>
              </w:rPr>
              <w:t>© 2020 by the authors. Submitted for possible open access publication under the terms and conditions of the Creative Commons Attribution (CC BY) license (http://creativecommons.org/licenses/by/4.0/).</w:t>
            </w:r>
          </w:p>
        </w:tc>
      </w:tr>
    </w:tbl>
    <w:p>
      <w:pPr>
        <w:pStyle w:val="MDPI71References"/>
        <w:numPr>
          <w:ilvl w:val="0"/>
          <w:numId w:val="0"/>
        </w:numPr>
        <w:snapToGrid w:val="false"/>
        <w:spacing w:lineRule="atLeast" w:line="200" w:before="240" w:after="240"/>
        <w:ind w:start="0" w:hanging="0"/>
        <w:rPr>
          <w:rFonts w:eastAsia="SimSun;宋体"/>
        </w:rPr>
      </w:pPr>
      <w:r>
        <w:rPr>
          <w:rFonts w:eastAsia="SimSun;宋体"/>
        </w:rPr>
      </w:r>
    </w:p>
    <w:sectPr>
      <w:headerReference w:type="default" r:id="rId11"/>
      <w:headerReference w:type="first" r:id="rId12"/>
      <w:footerReference w:type="default" r:id="rId13"/>
      <w:footerReference w:type="first" r:id="rId14"/>
      <w:type w:val="nextPage"/>
      <w:pgSz w:w="11906" w:h="16838"/>
      <w:pgMar w:left="1531" w:right="1531" w:gutter="0" w:header="1020" w:top="1417" w:footer="850" w:bottom="1077"/>
      <w:lnNumType w:countBy="1" w:restart="continuous" w:distance="283"/>
      <w:pgNumType w:start="1" w:fmt="decimal"/>
      <w:formProt w:val="false"/>
      <w:titlePg/>
      <w:textDirection w:val="lrTb"/>
      <w:docGrid w:type="lines"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Palatino Linotype">
    <w:charset w:val="00" w:characterSet="windows-1252"/>
    <w:family w:val="roman"/>
    <w:pitch w:val="variable"/>
  </w:font>
  <w:font w:name="DengXian">
    <w:altName w:val="等线"/>
    <w:charset w:val="86"/>
    <w:family w:val="auto"/>
    <w:pitch w:val="variable"/>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DPIfooterfirstpage"/>
      <w:spacing w:lineRule="auto" w:line="240"/>
      <w:jc w:val="both"/>
      <w:rPr/>
    </w:pPr>
    <w:r>
      <w:rPr>
        <w:i/>
        <w:iCs/>
        <w:lang w:val="fr-CH"/>
      </w:rPr>
      <w:t>Molecules</w:t>
    </w:r>
    <w:r>
      <w:rPr>
        <w:i/>
        <w:lang w:val="fr-CH"/>
      </w:rPr>
      <w:t xml:space="preserve"> </w:t>
    </w:r>
    <w:r>
      <w:rPr>
        <w:b/>
        <w:iCs/>
        <w:lang w:val="fr-CH"/>
      </w:rPr>
      <w:t>2020</w:t>
    </w:r>
    <w:r>
      <w:rPr>
        <w:iCs/>
        <w:lang w:val="fr-CH"/>
      </w:rPr>
      <w:t xml:space="preserve">, </w:t>
    </w:r>
    <w:r>
      <w:rPr>
        <w:i/>
        <w:iCs/>
        <w:lang w:val="fr-CH"/>
      </w:rPr>
      <w:t>25</w:t>
    </w:r>
    <w:r>
      <w:rPr>
        <w:iCs/>
        <w:lang w:val="fr-CH"/>
      </w:rPr>
      <w:t>, x; doi: FOR PEER REVIEW</w:t>
    </w:r>
    <w:r>
      <w:rPr>
        <w:lang w:val="fr-CH"/>
      </w:rPr>
      <w:tab/>
      <w:t>www.mdpi.com/journal/</w:t>
    </w:r>
    <w:r>
      <w:rPr>
        <w:iCs/>
        <w:lang w:val="fr-CH"/>
      </w:rPr>
      <w:t>molecules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20"/>
        <w:tab w:val="right" w:pos="8844" w:leader="none"/>
      </w:tabs>
      <w:snapToGrid w:val="false"/>
      <w:spacing w:lineRule="auto" w:line="240" w:before="0" w:after="240"/>
      <w:rPr>
        <w:rFonts w:ascii="Palatino Linotype" w:hAnsi="Palatino Linotype" w:cs="Palatino Linotype"/>
        <w:sz w:val="16"/>
      </w:rPr>
    </w:pPr>
    <w:r>
      <w:rPr>
        <w:rFonts w:cs="Palatino Linotype" w:ascii="Palatino Linotype" w:hAnsi="Palatino Linotype"/>
        <w:i/>
        <w:sz w:val="16"/>
      </w:rPr>
      <w:t xml:space="preserve">Molecules </w:t>
    </w:r>
    <w:r>
      <w:rPr>
        <w:rFonts w:cs="Palatino Linotype" w:ascii="Palatino Linotype" w:hAnsi="Palatino Linotype"/>
        <w:b/>
        <w:sz w:val="16"/>
      </w:rPr>
      <w:t>2020</w:t>
    </w:r>
    <w:r>
      <w:rPr>
        <w:rFonts w:cs="Palatino Linotype" w:ascii="Palatino Linotype" w:hAnsi="Palatino Linotype"/>
        <w:sz w:val="16"/>
      </w:rPr>
      <w:t xml:space="preserve">, </w:t>
    </w:r>
    <w:r>
      <w:rPr>
        <w:rFonts w:cs="Palatino Linotype" w:ascii="Palatino Linotype" w:hAnsi="Palatino Linotype"/>
        <w:i/>
        <w:sz w:val="16"/>
      </w:rPr>
      <w:t>25</w:t>
    </w:r>
    <w:r>
      <w:rPr>
        <w:rFonts w:cs="Palatino Linotype" w:ascii="Palatino Linotype" w:hAnsi="Palatino Linotype"/>
        <w:sz w:val="16"/>
      </w:rPr>
      <w:t>, x FOR PEER REVIEW</w:t>
      <w:tab/>
    </w:r>
    <w:r>
      <w:rPr>
        <w:rFonts w:cs="Palatino Linotype" w:ascii="Palatino Linotype" w:hAnsi="Palatino Linotype"/>
        <w:sz w:val="16"/>
      </w:rPr>
      <w:fldChar w:fldCharType="begin"/>
    </w:r>
    <w:r>
      <w:rPr>
        <w:sz w:val="16"/>
        <w:rFonts w:cs="Palatino Linotype" w:ascii="Palatino Linotype" w:hAnsi="Palatino Linotype"/>
      </w:rPr>
      <w:instrText> PAGE </w:instrText>
    </w:r>
    <w:r>
      <w:rPr>
        <w:sz w:val="16"/>
        <w:rFonts w:cs="Palatino Linotype" w:ascii="Palatino Linotype" w:hAnsi="Palatino Linotype"/>
      </w:rPr>
      <w:fldChar w:fldCharType="separate"/>
    </w:r>
    <w:r>
      <w:rPr>
        <w:sz w:val="16"/>
        <w:rFonts w:cs="Palatino Linotype" w:ascii="Palatino Linotype" w:hAnsi="Palatino Linotype"/>
      </w:rPr>
      <w:t>14</w:t>
    </w:r>
    <w:r>
      <w:rPr>
        <w:sz w:val="16"/>
        <w:rFonts w:cs="Palatino Linotype" w:ascii="Palatino Linotype" w:hAnsi="Palatino Linotype"/>
      </w:rPr>
      <w:fldChar w:fldCharType="end"/>
    </w:r>
    <w:r>
      <w:rPr>
        <w:rFonts w:cs="Palatino Linotype" w:ascii="Palatino Linotype" w:hAnsi="Palatino Linotype"/>
        <w:sz w:val="16"/>
      </w:rPr>
      <w:t xml:space="preserve"> of </w:t>
    </w:r>
    <w:r>
      <w:rPr>
        <w:rFonts w:cs="Palatino Linotype" w:ascii="Palatino Linotype" w:hAnsi="Palatino Linotype"/>
        <w:sz w:val="16"/>
      </w:rPr>
      <w:fldChar w:fldCharType="begin"/>
    </w:r>
    <w:r>
      <w:rPr>
        <w:sz w:val="16"/>
        <w:rFonts w:cs="Palatino Linotype" w:ascii="Palatino Linotype" w:hAnsi="Palatino Linotype"/>
      </w:rPr>
      <w:instrText> NUMPAGES \* ARABIC </w:instrText>
    </w:r>
    <w:r>
      <w:rPr>
        <w:sz w:val="16"/>
        <w:rFonts w:cs="Palatino Linotype" w:ascii="Palatino Linotype" w:hAnsi="Palatino Linotype"/>
      </w:rPr>
      <w:fldChar w:fldCharType="separate"/>
    </w:r>
    <w:r>
      <w:rPr>
        <w:sz w:val="16"/>
        <w:rFonts w:cs="Palatino Linotype" w:ascii="Palatino Linotype" w:hAnsi="Palatino Linotype"/>
      </w:rPr>
      <w:t>14</w:t>
    </w:r>
    <w:r>
      <w:rPr>
        <w:sz w:val="16"/>
        <w:rFonts w:cs="Palatino Linotype" w:ascii="Palatino Linotype" w:hAnsi="Palatino Linotype"/>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DPIheaderjournallogo"/>
      <w:rPr>
        <w:lang w:val="en-GB" w:eastAsia="en-GB"/>
      </w:rPr>
    </w:pPr>
    <w:r>
      <w:rPr>
        <w:lang w:val="en-GB" w:eastAsia="en-GB"/>
      </w:rPr>
      <w:drawing>
        <wp:inline distT="0" distB="0" distL="0" distR="0">
          <wp:extent cx="1805305" cy="428625"/>
          <wp:effectExtent l="0" t="0" r="0" b="0"/>
          <wp:docPr id="2"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title=""/>
                  <pic:cNvPicPr>
                    <a:picLocks noChangeAspect="1" noChangeArrowheads="1"/>
                  </pic:cNvPicPr>
                </pic:nvPicPr>
                <pic:blipFill>
                  <a:blip r:embed="rId1"/>
                  <a:srcRect l="-20" t="-83" r="-20" b="-83"/>
                  <a:stretch>
                    <a:fillRect/>
                  </a:stretch>
                </pic:blipFill>
                <pic:spPr bwMode="auto">
                  <a:xfrm>
                    <a:off x="0" y="0"/>
                    <a:ext cx="1805305" cy="428625"/>
                  </a:xfrm>
                  <a:prstGeom prst="rect">
                    <a:avLst/>
                  </a:prstGeom>
                </pic:spPr>
              </pic:pic>
            </a:graphicData>
          </a:graphic>
        </wp:inline>
      </w:drawing>
    </w:r>
    <w:r>
      <mc:AlternateContent>
        <mc:Choice Requires="wps">
          <w:drawing>
            <wp:anchor behindDoc="1" distT="45720" distB="45720" distL="114935" distR="114935" simplePos="0" locked="0" layoutInCell="0" allowOverlap="1" relativeHeight="8">
              <wp:simplePos x="0" y="0"/>
              <wp:positionH relativeFrom="page">
                <wp:posOffset>6029960</wp:posOffset>
              </wp:positionH>
              <wp:positionV relativeFrom="page">
                <wp:posOffset>647700</wp:posOffset>
              </wp:positionV>
              <wp:extent cx="541655" cy="709295"/>
              <wp:effectExtent l="0" t="0" r="0" b="0"/>
              <wp:wrapNone/>
              <wp:docPr id="3" name="Frame1"/>
              <a:graphic xmlns:a="http://schemas.openxmlformats.org/drawingml/2006/main">
                <a:graphicData uri="http://schemas.microsoft.com/office/word/2010/wordprocessingShape">
                  <wps:wsp>
                    <wps:cNvSpPr txBox="1"/>
                    <wps:spPr>
                      <a:xfrm>
                        <a:off x="0" y="0"/>
                        <a:ext cx="541655" cy="709295"/>
                      </a:xfrm>
                      <a:prstGeom prst="rect"/>
                      <a:solidFill>
                        <a:srgbClr val="FFFFFF"/>
                      </a:solidFill>
                    </wps:spPr>
                    <wps:txbx>
                      <w:txbxContent>
                        <w:p>
                          <w:pPr>
                            <w:pStyle w:val="MDPIheaderjournallogo"/>
                            <w:jc w:val="center"/>
                            <w:rPr>
                              <w:i w:val="false"/>
                              <w:i w:val="false"/>
                              <w:szCs w:val="16"/>
                              <w:lang w:val="en-GB" w:eastAsia="en-GB"/>
                            </w:rPr>
                          </w:pPr>
                          <w:r>
                            <w:rPr>
                              <w:i w:val="false"/>
                              <w:szCs w:val="16"/>
                              <w:lang w:val="en-GB" w:eastAsia="en-GB"/>
                            </w:rPr>
                            <w:drawing>
                              <wp:inline distT="0" distB="0" distL="0" distR="0">
                                <wp:extent cx="539750" cy="355600"/>
                                <wp:effectExtent l="0" t="0" r="0" b="0"/>
                                <wp:docPr id="4"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title=""/>
                                        <pic:cNvPicPr>
                                          <a:picLocks noChangeAspect="1" noChangeArrowheads="1"/>
                                        </pic:cNvPicPr>
                                      </pic:nvPicPr>
                                      <pic:blipFill>
                                        <a:blip r:embed="rId2"/>
                                        <a:srcRect l="-2" t="-3" r="-2" b="-3"/>
                                        <a:stretch>
                                          <a:fillRect/>
                                        </a:stretch>
                                      </pic:blipFill>
                                      <pic:spPr bwMode="auto">
                                        <a:xfrm>
                                          <a:off x="0" y="0"/>
                                          <a:ext cx="539750" cy="355600"/>
                                        </a:xfrm>
                                        <a:prstGeom prst="rect">
                                          <a:avLst/>
                                        </a:prstGeom>
                                      </pic:spPr>
                                    </pic:pic>
                                  </a:graphicData>
                                </a:graphic>
                              </wp:inline>
                            </w:drawing>
                          </w:r>
                        </w:p>
                      </w:txbxContent>
                    </wps:txbx>
                    <wps:bodyPr anchor="t" lIns="635" tIns="635" rIns="635" bIns="635">
                      <a:noAutofit/>
                    </wps:bodyPr>
                  </wps:wsp>
                </a:graphicData>
              </a:graphic>
            </wp:anchor>
          </w:drawing>
        </mc:Choice>
        <mc:Fallback>
          <w:pict>
            <v:rect fillcolor="#FFFFFF" style="position:absolute;rotation:0;width:42.65pt;height:55.85pt;mso-wrap-distance-left:9.05pt;mso-wrap-distance-right:9.05pt;mso-wrap-distance-top:3.6pt;mso-wrap-distance-bottom:3.6pt;margin-top:51pt;mso-position-vertical-relative:page;margin-left:474.8pt;mso-position-horizontal-relative:page">
              <v:textbox inset="0.000694444444444444in,0.000694444444444444in,0.000694444444444444in,0.000694444444444444in">
                <w:txbxContent>
                  <w:p>
                    <w:pPr>
                      <w:pStyle w:val="MDPIheaderjournallogo"/>
                      <w:jc w:val="center"/>
                      <w:rPr>
                        <w:i w:val="false"/>
                        <w:i w:val="false"/>
                        <w:szCs w:val="16"/>
                        <w:lang w:val="en-GB" w:eastAsia="en-GB"/>
                      </w:rPr>
                    </w:pPr>
                    <w:r>
                      <w:rPr>
                        <w:i w:val="false"/>
                        <w:szCs w:val="16"/>
                        <w:lang w:val="en-GB" w:eastAsia="en-GB"/>
                      </w:rPr>
                      <w:drawing>
                        <wp:inline distT="0" distB="0" distL="0" distR="0">
                          <wp:extent cx="539750" cy="355600"/>
                          <wp:effectExtent l="0" t="0" r="0" b="0"/>
                          <wp:docPr id="5"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title=""/>
                                  <pic:cNvPicPr>
                                    <a:picLocks noChangeAspect="1" noChangeArrowheads="1"/>
                                  </pic:cNvPicPr>
                                </pic:nvPicPr>
                                <pic:blipFill>
                                  <a:blip r:embed="rId3"/>
                                  <a:srcRect l="-2" t="-3" r="-2" b="-3"/>
                                  <a:stretch>
                                    <a:fillRect/>
                                  </a:stretch>
                                </pic:blipFill>
                                <pic:spPr bwMode="auto">
                                  <a:xfrm>
                                    <a:off x="0" y="0"/>
                                    <a:ext cx="539750" cy="355600"/>
                                  </a:xfrm>
                                  <a:prstGeom prst="rect">
                                    <a:avLst/>
                                  </a:prstGeom>
                                </pic:spPr>
                              </pic:pic>
                            </a:graphicData>
                          </a:graphic>
                        </wp:inline>
                      </w:drawing>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80" w:hanging="420"/>
      </w:pPr>
      <w:rPr/>
    </w:lvl>
  </w:abstractNum>
  <w:abstractNum w:abstractNumId="2">
    <w:lvl w:ilvl="0">
      <w:start w:val="1"/>
      <w:numFmt w:val="decimal"/>
      <w:lvlText w:val="%1."/>
      <w:lvlJc w:val="start"/>
      <w:pPr>
        <w:tabs>
          <w:tab w:val="num" w:pos="0"/>
        </w:tabs>
        <w:ind w:start="1429" w:hanging="360"/>
      </w:pPr>
      <w:rPr/>
    </w:lvl>
  </w:abstractNum>
  <w:abstractNum w:abstractNumId="3">
    <w:lvl w:ilvl="0">
      <w:start w:val="1"/>
      <w:numFmt w:val="bullet"/>
      <w:lvlText w:val=""/>
      <w:lvlJc w:val="start"/>
      <w:pPr>
        <w:tabs>
          <w:tab w:val="num" w:pos="0"/>
        </w:tabs>
        <w:ind w:start="1429"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GB" w:eastAsia="zh-CN" w:bidi="hi-IN"/>
      </w:rPr>
    </w:rPrDefault>
    <w:pPrDefault>
      <w:pPr>
        <w:suppressAutoHyphens w:val="true"/>
      </w:pPr>
    </w:pPrDefault>
  </w:docDefaults>
  <w:style w:type="paragraph" w:styleId="Normal">
    <w:name w:val="Normal"/>
    <w:qFormat/>
    <w:pPr>
      <w:widowControl/>
      <w:bidi w:val="0"/>
      <w:spacing w:lineRule="atLeast" w:line="340"/>
      <w:jc w:val="both"/>
    </w:pPr>
    <w:rPr>
      <w:rFonts w:ascii="Times New Roman" w:hAnsi="Times New Roman" w:eastAsia="Times New Roman" w:cs="Times New Roman"/>
      <w:color w:val="000000"/>
      <w:sz w:val="24"/>
      <w:szCs w:val="20"/>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FooterChar">
    <w:name w:val="Footer Char"/>
    <w:qFormat/>
    <w:rPr>
      <w:rFonts w:ascii="Times New Roman" w:hAnsi="Times New Roman" w:eastAsia="Times New Roman" w:cs="Times New Roman"/>
      <w:color w:val="000000"/>
      <w:kern w:val="0"/>
      <w:sz w:val="18"/>
      <w:szCs w:val="18"/>
    </w:rPr>
  </w:style>
  <w:style w:type="character" w:styleId="HeaderChar">
    <w:name w:val="Header Char"/>
    <w:qFormat/>
    <w:rPr>
      <w:rFonts w:ascii="Times New Roman" w:hAnsi="Times New Roman" w:eastAsia="Times New Roman" w:cs="Times New Roman"/>
      <w:color w:val="000000"/>
      <w:kern w:val="0"/>
      <w:sz w:val="18"/>
      <w:szCs w:val="18"/>
    </w:rPr>
  </w:style>
  <w:style w:type="character" w:styleId="BalloonTextChar">
    <w:name w:val="Balloon Text Char"/>
    <w:qFormat/>
    <w:rPr>
      <w:rFonts w:ascii="Times New Roman" w:hAnsi="Times New Roman" w:eastAsia="Times New Roman" w:cs="Times New Roman"/>
      <w:color w:val="000000"/>
      <w:kern w:val="0"/>
      <w:sz w:val="18"/>
      <w:szCs w:val="18"/>
    </w:rPr>
  </w:style>
  <w:style w:type="character" w:styleId="LineNumbering">
    <w:name w:val="Line Numbering"/>
    <w:basedOn w:val="DefaultParagraphFon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character" w:styleId="CommentReference">
    <w:name w:val="Comment Reference"/>
    <w:qFormat/>
    <w:rPr>
      <w:sz w:val="21"/>
      <w:szCs w:val="21"/>
    </w:rPr>
  </w:style>
  <w:style w:type="character" w:styleId="CommentTextChar">
    <w:name w:val="Comment Text Char"/>
    <w:qFormat/>
    <w:rPr>
      <w:rFonts w:ascii="Times New Roman" w:hAnsi="Times New Roman" w:eastAsia="Times New Roman" w:cs="Times New Roman"/>
      <w:color w:val="000000"/>
      <w:sz w:val="24"/>
    </w:rPr>
  </w:style>
  <w:style w:type="character" w:styleId="CommentSubjectChar">
    <w:name w:val="Comment Subject Char"/>
    <w:qFormat/>
    <w:rPr>
      <w:rFonts w:ascii="Times New Roman" w:hAnsi="Times New Roman" w:eastAsia="Times New Roman" w:cs="Times New Roman"/>
      <w:b/>
      <w:bCs/>
      <w:color w:val="000000"/>
      <w:sz w:val="24"/>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MDPI11articletype">
    <w:name w:val="MDPI_1.1_article_type"/>
    <w:next w:val="MDPI12title"/>
    <w:qFormat/>
    <w:pPr>
      <w:widowControl/>
      <w:bidi w:val="0"/>
      <w:snapToGrid w:val="false"/>
      <w:spacing w:before="240" w:after="0"/>
    </w:pPr>
    <w:rPr>
      <w:rFonts w:ascii="Palatino Linotype" w:hAnsi="Palatino Linotype" w:eastAsia="Times New Roman" w:cs="Palatino Linotype"/>
      <w:i/>
      <w:color w:val="000000"/>
      <w:sz w:val="20"/>
      <w:szCs w:val="22"/>
      <w:lang w:val="en-US" w:bidi="en-US" w:eastAsia="zh-CN"/>
    </w:rPr>
  </w:style>
  <w:style w:type="paragraph" w:styleId="MDPI12title">
    <w:name w:val="MDPI_1.2_title"/>
    <w:next w:val="MDPI13authornames"/>
    <w:qFormat/>
    <w:pPr>
      <w:widowControl/>
      <w:bidi w:val="0"/>
      <w:snapToGrid w:val="false"/>
      <w:spacing w:lineRule="atLeast" w:line="240" w:before="0" w:after="240"/>
    </w:pPr>
    <w:rPr>
      <w:rFonts w:ascii="Palatino Linotype" w:hAnsi="Palatino Linotype" w:eastAsia="Times New Roman" w:cs="Palatino Linotype"/>
      <w:b/>
      <w:color w:val="000000"/>
      <w:sz w:val="36"/>
      <w:szCs w:val="20"/>
      <w:lang w:val="en-US" w:bidi="en-US" w:eastAsia="zh-CN"/>
    </w:rPr>
  </w:style>
  <w:style w:type="paragraph" w:styleId="MDPI13authornames">
    <w:name w:val="MDPI_1.3_authornames"/>
    <w:next w:val="MDPI14history"/>
    <w:qFormat/>
    <w:pPr>
      <w:widowControl/>
      <w:bidi w:val="0"/>
      <w:snapToGrid w:val="false"/>
      <w:spacing w:lineRule="atLeast" w:line="260" w:before="0" w:after="120"/>
    </w:pPr>
    <w:rPr>
      <w:rFonts w:ascii="Palatino Linotype" w:hAnsi="Palatino Linotype" w:eastAsia="Times New Roman" w:cs="Palatino Linotype"/>
      <w:b/>
      <w:color w:val="000000"/>
      <w:sz w:val="20"/>
      <w:szCs w:val="22"/>
      <w:lang w:val="en-US" w:bidi="en-US" w:eastAsia="zh-CN"/>
    </w:rPr>
  </w:style>
  <w:style w:type="paragraph" w:styleId="MDPI62Acknowledgments">
    <w:name w:val="MDPI_6.2_Acknowledgments"/>
    <w:qFormat/>
    <w:pPr>
      <w:widowControl/>
      <w:bidi w:val="0"/>
      <w:snapToGrid w:val="false"/>
      <w:spacing w:lineRule="atLeast" w:line="200" w:before="120" w:after="0"/>
      <w:jc w:val="both"/>
    </w:pPr>
    <w:rPr>
      <w:rFonts w:ascii="Palatino Linotype" w:hAnsi="Palatino Linotype" w:eastAsia="Times New Roman" w:cs="Palatino Linotype"/>
      <w:color w:val="000000"/>
      <w:sz w:val="18"/>
      <w:szCs w:val="20"/>
      <w:lang w:val="en-US" w:bidi="en-US" w:eastAsia="zh-CN"/>
    </w:rPr>
  </w:style>
  <w:style w:type="paragraph" w:styleId="MDPI14history">
    <w:name w:val="MDPI_1.4_history"/>
    <w:basedOn w:val="MDPI62Acknowledgments"/>
    <w:next w:val="Normal"/>
    <w:qFormat/>
    <w:pPr>
      <w:ind w:start="113" w:hanging="0"/>
      <w:jc w:val="start"/>
    </w:pPr>
    <w:rPr/>
  </w:style>
  <w:style w:type="paragraph" w:styleId="MDPI16affiliation">
    <w:name w:val="MDPI_1.6_affiliation"/>
    <w:qFormat/>
    <w:pPr>
      <w:widowControl/>
      <w:bidi w:val="0"/>
      <w:snapToGrid w:val="false"/>
      <w:spacing w:lineRule="atLeast" w:line="260"/>
      <w:ind w:start="311" w:hanging="198"/>
    </w:pPr>
    <w:rPr>
      <w:rFonts w:ascii="Palatino Linotype" w:hAnsi="Palatino Linotype" w:eastAsia="Times New Roman" w:cs="Palatino Linotype"/>
      <w:color w:val="000000"/>
      <w:sz w:val="18"/>
      <w:szCs w:val="18"/>
      <w:lang w:val="en-US" w:bidi="en-US" w:eastAsia="zh-CN"/>
    </w:rPr>
  </w:style>
  <w:style w:type="paragraph" w:styleId="MDPI17abstract">
    <w:name w:val="MDPI_1.7_abstract"/>
    <w:next w:val="Normal"/>
    <w:qFormat/>
    <w:pPr>
      <w:widowControl/>
      <w:bidi w:val="0"/>
      <w:snapToGrid w:val="false"/>
      <w:spacing w:lineRule="atLeast" w:line="260" w:before="240" w:after="0"/>
      <w:ind w:start="113" w:hanging="0"/>
      <w:jc w:val="both"/>
    </w:pPr>
    <w:rPr>
      <w:rFonts w:ascii="Palatino Linotype" w:hAnsi="Palatino Linotype" w:eastAsia="Times New Roman" w:cs="Palatino Linotype"/>
      <w:color w:val="000000"/>
      <w:sz w:val="20"/>
      <w:szCs w:val="22"/>
      <w:lang w:val="en-US" w:bidi="en-US" w:eastAsia="zh-CN"/>
    </w:rPr>
  </w:style>
  <w:style w:type="paragraph" w:styleId="MDPI18keywords">
    <w:name w:val="MDPI_1.8_keywords"/>
    <w:next w:val="Normal"/>
    <w:qFormat/>
    <w:pPr>
      <w:widowControl/>
      <w:bidi w:val="0"/>
      <w:snapToGrid w:val="false"/>
      <w:spacing w:lineRule="atLeast" w:line="260" w:before="240" w:after="0"/>
      <w:ind w:start="113" w:hanging="0"/>
      <w:jc w:val="both"/>
    </w:pPr>
    <w:rPr>
      <w:rFonts w:ascii="Palatino Linotype" w:hAnsi="Palatino Linotype" w:eastAsia="Times New Roman" w:cs="Palatino Linotype"/>
      <w:color w:val="000000"/>
      <w:sz w:val="20"/>
      <w:szCs w:val="22"/>
      <w:lang w:val="en-US" w:bidi="en-US" w:eastAsia="zh-CN"/>
    </w:rPr>
  </w:style>
  <w:style w:type="paragraph" w:styleId="MDPI19line">
    <w:name w:val="MDPI_1.9_line"/>
    <w:qFormat/>
    <w:pPr>
      <w:widowControl/>
      <w:pBdr>
        <w:bottom w:val="single" w:sz="6" w:space="1" w:color="000000"/>
      </w:pBdr>
      <w:bidi w:val="0"/>
      <w:spacing w:lineRule="atLeast" w:line="260"/>
      <w:jc w:val="both"/>
    </w:pPr>
    <w:rPr>
      <w:rFonts w:ascii="Palatino Linotype" w:hAnsi="Palatino Linotype" w:eastAsia="Times New Roman" w:cs="Cordia New"/>
      <w:color w:val="000000"/>
      <w:sz w:val="20"/>
      <w:szCs w:val="24"/>
      <w:lang w:val="en-US" w:bidi="en-US" w:eastAsia="zh-CN"/>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MDPIheaderjournallogo">
    <w:name w:val="MDPI_header_journal_logo"/>
    <w:qFormat/>
    <w:pPr>
      <w:widowControl/>
      <w:bidi w:val="0"/>
      <w:snapToGrid w:val="false"/>
      <w:spacing w:lineRule="atLeast" w:line="260"/>
      <w:jc w:val="both"/>
    </w:pPr>
    <w:rPr>
      <w:rFonts w:ascii="Palatino Linotype" w:hAnsi="Palatino Linotype" w:eastAsia="Times New Roman" w:cs="Palatino Linotype"/>
      <w:i/>
      <w:color w:val="000000"/>
      <w:sz w:val="24"/>
      <w:szCs w:val="22"/>
      <w:lang w:val="en-US" w:bidi="ar-SA" w:eastAsia="zh-CN"/>
    </w:rPr>
  </w:style>
  <w:style w:type="paragraph" w:styleId="MDPI32textnoindent">
    <w:name w:val="MDPI_3.2_text_no_indent"/>
    <w:qFormat/>
    <w:pPr>
      <w:widowControl/>
      <w:bidi w:val="0"/>
      <w:snapToGrid w:val="false"/>
      <w:spacing w:lineRule="atLeast" w:line="260"/>
      <w:jc w:val="both"/>
    </w:pPr>
    <w:rPr>
      <w:rFonts w:ascii="Palatino Linotype" w:hAnsi="Palatino Linotype" w:eastAsia="Times New Roman" w:cs="Palatino Linotype"/>
      <w:color w:val="000000"/>
      <w:sz w:val="20"/>
      <w:szCs w:val="22"/>
      <w:lang w:val="en-US" w:bidi="en-US" w:eastAsia="zh-CN"/>
    </w:rPr>
  </w:style>
  <w:style w:type="paragraph" w:styleId="MDPI33textspaceafter">
    <w:name w:val="MDPI_3.3_text_space_after"/>
    <w:qFormat/>
    <w:pPr>
      <w:widowControl/>
      <w:bidi w:val="0"/>
      <w:spacing w:lineRule="atLeast" w:line="260" w:before="0" w:after="240"/>
      <w:jc w:val="both"/>
    </w:pPr>
    <w:rPr>
      <w:rFonts w:ascii="Palatino Linotype" w:hAnsi="Palatino Linotype" w:eastAsia="Times New Roman" w:cs="Palatino Linotype"/>
      <w:color w:val="000000"/>
      <w:sz w:val="20"/>
      <w:szCs w:val="22"/>
      <w:lang w:val="en-US" w:bidi="en-US" w:eastAsia="zh-CN"/>
    </w:rPr>
  </w:style>
  <w:style w:type="paragraph" w:styleId="MDPI34textspacebefore">
    <w:name w:val="MDPI_3.4_text_space_before"/>
    <w:qFormat/>
    <w:pPr>
      <w:widowControl/>
      <w:bidi w:val="0"/>
      <w:spacing w:lineRule="atLeast" w:line="260" w:before="240" w:after="0"/>
      <w:jc w:val="both"/>
    </w:pPr>
    <w:rPr>
      <w:rFonts w:ascii="Palatino Linotype" w:hAnsi="Palatino Linotype" w:eastAsia="Times New Roman" w:cs="Palatino Linotype"/>
      <w:color w:val="000000"/>
      <w:sz w:val="20"/>
      <w:szCs w:val="22"/>
      <w:lang w:val="en-US" w:bidi="en-US" w:eastAsia="zh-CN"/>
    </w:rPr>
  </w:style>
  <w:style w:type="paragraph" w:styleId="MDPI35textbeforelist">
    <w:name w:val="MDPI_3.5_text_before_list"/>
    <w:qFormat/>
    <w:pPr>
      <w:widowControl/>
      <w:bidi w:val="0"/>
      <w:spacing w:lineRule="atLeast" w:line="260" w:before="0" w:after="120"/>
      <w:jc w:val="both"/>
    </w:pPr>
    <w:rPr>
      <w:rFonts w:ascii="Palatino Linotype" w:hAnsi="Palatino Linotype" w:eastAsia="Times New Roman" w:cs="Palatino Linotype"/>
      <w:color w:val="000000"/>
      <w:sz w:val="20"/>
      <w:szCs w:val="22"/>
      <w:lang w:val="en-US" w:bidi="en-US" w:eastAsia="zh-CN"/>
    </w:rPr>
  </w:style>
  <w:style w:type="paragraph" w:styleId="MDPI36textafterlist">
    <w:name w:val="MDPI_3.6_text_after_list"/>
    <w:qFormat/>
    <w:pPr>
      <w:widowControl/>
      <w:bidi w:val="0"/>
      <w:spacing w:lineRule="atLeast" w:line="260" w:before="120" w:after="0"/>
      <w:jc w:val="both"/>
    </w:pPr>
    <w:rPr>
      <w:rFonts w:ascii="Palatino Linotype" w:hAnsi="Palatino Linotype" w:eastAsia="Times New Roman" w:cs="Palatino Linotype"/>
      <w:color w:val="000000"/>
      <w:sz w:val="20"/>
      <w:szCs w:val="22"/>
      <w:lang w:val="en-US" w:bidi="en-US" w:eastAsia="zh-CN"/>
    </w:rPr>
  </w:style>
  <w:style w:type="paragraph" w:styleId="MDPI37itemize">
    <w:name w:val="MDPI_3.7_itemize"/>
    <w:qFormat/>
    <w:pPr>
      <w:widowControl/>
      <w:numPr>
        <w:ilvl w:val="0"/>
        <w:numId w:val="2"/>
      </w:numPr>
      <w:bidi w:val="0"/>
      <w:spacing w:lineRule="atLeast" w:line="260"/>
      <w:jc w:val="both"/>
    </w:pPr>
    <w:rPr>
      <w:rFonts w:ascii="Palatino Linotype" w:hAnsi="Palatino Linotype" w:eastAsia="Times New Roman" w:cs="Palatino Linotype"/>
      <w:color w:val="000000"/>
      <w:sz w:val="20"/>
      <w:szCs w:val="22"/>
      <w:lang w:val="en-US" w:bidi="en-US" w:eastAsia="zh-CN"/>
    </w:rPr>
  </w:style>
  <w:style w:type="paragraph" w:styleId="MDPI38bullet">
    <w:name w:val="MDPI_3.8_bullet"/>
    <w:qFormat/>
    <w:pPr>
      <w:widowControl/>
      <w:numPr>
        <w:ilvl w:val="0"/>
        <w:numId w:val="3"/>
      </w:numPr>
      <w:bidi w:val="0"/>
      <w:snapToGrid w:val="false"/>
      <w:spacing w:lineRule="atLeast" w:line="260"/>
      <w:jc w:val="both"/>
    </w:pPr>
    <w:rPr>
      <w:rFonts w:ascii="Palatino Linotype" w:hAnsi="Palatino Linotype" w:eastAsia="Times New Roman" w:cs="Palatino Linotype"/>
      <w:color w:val="000000"/>
      <w:sz w:val="20"/>
      <w:szCs w:val="22"/>
      <w:lang w:val="en-US" w:bidi="en-US" w:eastAsia="zh-CN"/>
    </w:rPr>
  </w:style>
  <w:style w:type="paragraph" w:styleId="MDPI39equation">
    <w:name w:val="MDPI_3.9_equation"/>
    <w:qFormat/>
    <w:pPr>
      <w:widowControl/>
      <w:bidi w:val="0"/>
      <w:snapToGrid w:val="false"/>
      <w:spacing w:lineRule="atLeast" w:line="260" w:before="120" w:after="120"/>
      <w:ind w:start="709" w:hanging="0"/>
      <w:jc w:val="center"/>
    </w:pPr>
    <w:rPr>
      <w:rFonts w:ascii="Palatino Linotype" w:hAnsi="Palatino Linotype" w:eastAsia="Times New Roman" w:cs="Palatino Linotype"/>
      <w:color w:val="000000"/>
      <w:sz w:val="20"/>
      <w:szCs w:val="22"/>
      <w:lang w:val="en-US" w:bidi="en-US" w:eastAsia="zh-CN"/>
    </w:rPr>
  </w:style>
  <w:style w:type="paragraph" w:styleId="MDPI3aequationnumber">
    <w:name w:val="MDPI_3.a_equation_number"/>
    <w:qFormat/>
    <w:pPr>
      <w:widowControl/>
      <w:bidi w:val="0"/>
      <w:spacing w:before="120" w:after="120"/>
      <w:jc w:val="end"/>
    </w:pPr>
    <w:rPr>
      <w:rFonts w:ascii="Palatino Linotype" w:hAnsi="Palatino Linotype" w:eastAsia="Times New Roman" w:cs="Palatino Linotype"/>
      <w:color w:val="000000"/>
      <w:sz w:val="20"/>
      <w:szCs w:val="22"/>
      <w:lang w:val="en-US" w:bidi="en-US" w:eastAsia="zh-CN"/>
    </w:rPr>
  </w:style>
  <w:style w:type="paragraph" w:styleId="MDPI41tablecaption">
    <w:name w:val="MDPI_4.1_table_caption"/>
    <w:qFormat/>
    <w:pPr>
      <w:widowControl/>
      <w:bidi w:val="0"/>
      <w:snapToGrid w:val="false"/>
      <w:spacing w:lineRule="atLeast" w:line="260" w:before="240" w:after="120"/>
      <w:ind w:start="425" w:end="425" w:hanging="0"/>
      <w:jc w:val="both"/>
    </w:pPr>
    <w:rPr>
      <w:rFonts w:ascii="Palatino Linotype" w:hAnsi="Palatino Linotype" w:eastAsia="Times New Roman" w:cs="Cordia New"/>
      <w:color w:val="000000"/>
      <w:sz w:val="18"/>
      <w:szCs w:val="22"/>
      <w:lang w:val="en-US" w:bidi="en-US" w:eastAsia="zh-CN"/>
    </w:rPr>
  </w:style>
  <w:style w:type="paragraph" w:styleId="MDPI42tablebody">
    <w:name w:val="MDPI_4.2_table_body"/>
    <w:qFormat/>
    <w:pPr>
      <w:widowControl/>
      <w:bidi w:val="0"/>
      <w:snapToGrid w:val="false"/>
      <w:spacing w:lineRule="atLeast" w:line="260"/>
      <w:jc w:val="center"/>
    </w:pPr>
    <w:rPr>
      <w:rFonts w:ascii="Palatino Linotype" w:hAnsi="Palatino Linotype" w:eastAsia="Times New Roman" w:cs="Palatino Linotype"/>
      <w:color w:val="000000"/>
      <w:sz w:val="20"/>
      <w:szCs w:val="20"/>
      <w:lang w:val="en-US" w:bidi="en-US" w:eastAsia="zh-CN"/>
    </w:rPr>
  </w:style>
  <w:style w:type="paragraph" w:styleId="MDPI43tablefooter">
    <w:name w:val="MDPI_4.3_table_footer"/>
    <w:next w:val="MDPI31text"/>
    <w:qFormat/>
    <w:pPr>
      <w:widowControl/>
      <w:bidi w:val="0"/>
      <w:snapToGrid w:val="false"/>
      <w:spacing w:lineRule="atLeast" w:line="260" w:before="0" w:after="240"/>
      <w:jc w:val="both"/>
    </w:pPr>
    <w:rPr>
      <w:rFonts w:ascii="Palatino Linotype" w:hAnsi="Palatino Linotype" w:eastAsia="Times New Roman" w:cs="Cordia New"/>
      <w:color w:val="000000"/>
      <w:sz w:val="18"/>
      <w:szCs w:val="22"/>
      <w:lang w:val="en-US" w:bidi="en-US" w:eastAsia="zh-CN"/>
    </w:rPr>
  </w:style>
  <w:style w:type="paragraph" w:styleId="MDPI51figurecaption">
    <w:name w:val="MDPI_5.1_figure_caption"/>
    <w:qFormat/>
    <w:pPr>
      <w:widowControl/>
      <w:bidi w:val="0"/>
      <w:snapToGrid w:val="false"/>
      <w:spacing w:lineRule="atLeast" w:line="260" w:before="120" w:after="240"/>
      <w:ind w:start="425" w:end="425" w:hanging="0"/>
      <w:jc w:val="both"/>
    </w:pPr>
    <w:rPr>
      <w:rFonts w:ascii="Palatino Linotype" w:hAnsi="Palatino Linotype" w:eastAsia="Times New Roman" w:cs="Palatino Linotype"/>
      <w:color w:val="000000"/>
      <w:sz w:val="18"/>
      <w:szCs w:val="20"/>
      <w:lang w:val="en-US" w:bidi="en-US" w:eastAsia="zh-CN"/>
    </w:rPr>
  </w:style>
  <w:style w:type="paragraph" w:styleId="MDPI52figure">
    <w:name w:val="MDPI_5.2_figure"/>
    <w:qFormat/>
    <w:pPr>
      <w:widowControl/>
      <w:bidi w:val="0"/>
      <w:snapToGrid w:val="false"/>
      <w:spacing w:lineRule="atLeast" w:line="260" w:before="240" w:after="120"/>
      <w:jc w:val="center"/>
    </w:pPr>
    <w:rPr>
      <w:rFonts w:ascii="Palatino Linotype" w:hAnsi="Palatino Linotype" w:eastAsia="Times New Roman" w:cs="Palatino Linotype"/>
      <w:color w:val="000000"/>
      <w:sz w:val="20"/>
      <w:szCs w:val="20"/>
      <w:lang w:val="en-US" w:bidi="en-US" w:eastAsia="zh-CN"/>
    </w:rPr>
  </w:style>
  <w:style w:type="paragraph" w:styleId="MDPI61Supplementary">
    <w:name w:val="MDPI_6.1_Supplementary"/>
    <w:qFormat/>
    <w:pPr>
      <w:widowControl/>
      <w:bidi w:val="0"/>
      <w:spacing w:lineRule="atLeast" w:line="260" w:before="240" w:after="0"/>
      <w:jc w:val="both"/>
    </w:pPr>
    <w:rPr>
      <w:rFonts w:ascii="Palatino Linotype" w:hAnsi="Palatino Linotype" w:eastAsia="Times New Roman" w:cs="Palatino Linotype"/>
      <w:color w:val="000000"/>
      <w:sz w:val="18"/>
      <w:szCs w:val="20"/>
      <w:lang w:val="en-US" w:bidi="en-US" w:eastAsia="zh-CN"/>
    </w:rPr>
  </w:style>
  <w:style w:type="paragraph" w:styleId="MDPI63AuthorContributions">
    <w:name w:val="MDPI_6.3_AuthorContributions"/>
    <w:qFormat/>
    <w:pPr>
      <w:widowControl/>
      <w:bidi w:val="0"/>
      <w:spacing w:lineRule="atLeast" w:line="260"/>
      <w:jc w:val="both"/>
    </w:pPr>
    <w:rPr>
      <w:rFonts w:ascii="Palatino Linotype" w:hAnsi="Palatino Linotype" w:eastAsia="SimSun;宋体" w:cs="Palatino Linotype"/>
      <w:color w:val="auto"/>
      <w:sz w:val="18"/>
      <w:szCs w:val="20"/>
      <w:lang w:val="en-US" w:bidi="en-US" w:eastAsia="zh-CN"/>
    </w:rPr>
  </w:style>
  <w:style w:type="paragraph" w:styleId="MDPI64CoI">
    <w:name w:val="MDPI_6.4_CoI"/>
    <w:qFormat/>
    <w:pPr>
      <w:widowControl/>
      <w:bidi w:val="0"/>
      <w:snapToGrid w:val="false"/>
      <w:spacing w:lineRule="atLeast" w:line="260" w:before="120" w:after="120"/>
      <w:jc w:val="both"/>
    </w:pPr>
    <w:rPr>
      <w:rFonts w:ascii="Palatino Linotype" w:hAnsi="Palatino Linotype" w:eastAsia="Times New Roman" w:cs="Palatino Linotype"/>
      <w:color w:val="000000"/>
      <w:sz w:val="18"/>
      <w:szCs w:val="20"/>
      <w:lang w:val="en-US" w:bidi="en-US" w:eastAsia="zh-CN"/>
    </w:rPr>
  </w:style>
  <w:style w:type="paragraph" w:styleId="MDPI81theorem">
    <w:name w:val="MDPI_8.1_theorem"/>
    <w:qFormat/>
    <w:pPr>
      <w:widowControl/>
      <w:bidi w:val="0"/>
      <w:spacing w:lineRule="atLeast" w:line="260"/>
      <w:jc w:val="both"/>
    </w:pPr>
    <w:rPr>
      <w:rFonts w:ascii="Palatino Linotype" w:hAnsi="Palatino Linotype" w:eastAsia="Times New Roman" w:cs="Palatino Linotype"/>
      <w:i/>
      <w:color w:val="000000"/>
      <w:sz w:val="20"/>
      <w:szCs w:val="22"/>
      <w:lang w:val="en-US" w:bidi="en-US" w:eastAsia="zh-CN"/>
    </w:rPr>
  </w:style>
  <w:style w:type="paragraph" w:styleId="MDPI82proof">
    <w:name w:val="MDPI_8.2_proof"/>
    <w:qFormat/>
    <w:pPr>
      <w:widowControl/>
      <w:bidi w:val="0"/>
      <w:spacing w:lineRule="atLeast" w:line="260"/>
      <w:jc w:val="both"/>
    </w:pPr>
    <w:rPr>
      <w:rFonts w:ascii="Palatino Linotype" w:hAnsi="Palatino Linotype" w:eastAsia="Times New Roman" w:cs="Palatino Linotype"/>
      <w:color w:val="000000"/>
      <w:sz w:val="20"/>
      <w:szCs w:val="22"/>
      <w:lang w:val="en-US" w:bidi="en-US" w:eastAsia="zh-CN"/>
    </w:rPr>
  </w:style>
  <w:style w:type="paragraph" w:styleId="MDPIfooterfirstpage">
    <w:name w:val="MDPI_footer_firstpage"/>
    <w:qFormat/>
    <w:pPr>
      <w:widowControl/>
      <w:tabs>
        <w:tab w:val="clear" w:pos="420"/>
        <w:tab w:val="right" w:pos="8845" w:leader="none"/>
      </w:tabs>
      <w:bidi w:val="0"/>
      <w:spacing w:lineRule="exact" w:line="160"/>
    </w:pPr>
    <w:rPr>
      <w:rFonts w:ascii="Palatino Linotype" w:hAnsi="Palatino Linotype" w:eastAsia="Times New Roman" w:cs="Palatino Linotype"/>
      <w:color w:val="000000"/>
      <w:sz w:val="16"/>
      <w:szCs w:val="20"/>
      <w:lang w:val="en-US" w:bidi="ar-SA" w:eastAsia="zh-CN"/>
    </w:rPr>
  </w:style>
  <w:style w:type="paragraph" w:styleId="MDPI31text">
    <w:name w:val="MDPI_3.1_text"/>
    <w:qFormat/>
    <w:pPr>
      <w:widowControl/>
      <w:bidi w:val="0"/>
      <w:snapToGrid w:val="false"/>
      <w:spacing w:lineRule="atLeast" w:line="260"/>
      <w:ind w:firstLine="425"/>
      <w:jc w:val="both"/>
    </w:pPr>
    <w:rPr>
      <w:rFonts w:ascii="Palatino Linotype" w:hAnsi="Palatino Linotype" w:eastAsia="Times New Roman" w:cs="Palatino Linotype"/>
      <w:color w:val="000000"/>
      <w:sz w:val="20"/>
      <w:szCs w:val="22"/>
      <w:lang w:val="en-US" w:bidi="en-US" w:eastAsia="zh-CN"/>
    </w:rPr>
  </w:style>
  <w:style w:type="paragraph" w:styleId="MDPI23heading3">
    <w:name w:val="MDPI_2.3_heading3"/>
    <w:qFormat/>
    <w:pPr>
      <w:widowControl/>
      <w:bidi w:val="0"/>
      <w:snapToGrid w:val="false"/>
      <w:spacing w:lineRule="atLeast" w:line="260" w:before="240" w:after="120"/>
      <w:outlineLvl w:val="2"/>
    </w:pPr>
    <w:rPr>
      <w:rFonts w:ascii="Palatino Linotype" w:hAnsi="Palatino Linotype" w:eastAsia="Times New Roman" w:cs="Palatino Linotype"/>
      <w:color w:val="000000"/>
      <w:sz w:val="20"/>
      <w:szCs w:val="22"/>
      <w:lang w:val="en-US" w:bidi="en-US" w:eastAsia="zh-CN"/>
    </w:rPr>
  </w:style>
  <w:style w:type="paragraph" w:styleId="MDPI21heading1">
    <w:name w:val="MDPI_2.1_heading1"/>
    <w:qFormat/>
    <w:pPr>
      <w:widowControl/>
      <w:bidi w:val="0"/>
      <w:snapToGrid w:val="false"/>
      <w:spacing w:lineRule="atLeast" w:line="260" w:before="240" w:after="120"/>
      <w:jc w:val="both"/>
      <w:outlineLvl w:val="0"/>
    </w:pPr>
    <w:rPr>
      <w:rFonts w:ascii="Palatino Linotype" w:hAnsi="Palatino Linotype" w:eastAsia="Times New Roman" w:cs="Palatino Linotype"/>
      <w:b/>
      <w:color w:val="000000"/>
      <w:sz w:val="20"/>
      <w:szCs w:val="22"/>
      <w:lang w:val="en-US" w:bidi="en-US" w:eastAsia="zh-CN"/>
    </w:rPr>
  </w:style>
  <w:style w:type="paragraph" w:styleId="MDPI22heading2">
    <w:name w:val="MDPI_2.2_heading2"/>
    <w:qFormat/>
    <w:pPr>
      <w:widowControl/>
      <w:bidi w:val="0"/>
      <w:snapToGrid w:val="false"/>
      <w:spacing w:lineRule="atLeast" w:line="260" w:before="240" w:after="120"/>
      <w:outlineLvl w:val="1"/>
    </w:pPr>
    <w:rPr>
      <w:rFonts w:ascii="Palatino Linotype" w:hAnsi="Palatino Linotype" w:eastAsia="Times New Roman" w:cs="Palatino Linotype"/>
      <w:i/>
      <w:color w:val="000000"/>
      <w:sz w:val="20"/>
      <w:szCs w:val="22"/>
      <w:lang w:val="en-US" w:eastAsia="en-GB" w:bidi="en-US"/>
    </w:rPr>
  </w:style>
  <w:style w:type="paragraph" w:styleId="MDPI71References">
    <w:name w:val="MDPI_7.1_References"/>
    <w:qFormat/>
    <w:pPr>
      <w:widowControl/>
      <w:numPr>
        <w:ilvl w:val="0"/>
        <w:numId w:val="1"/>
      </w:numPr>
      <w:bidi w:val="0"/>
      <w:spacing w:lineRule="atLeast" w:line="260"/>
      <w:jc w:val="both"/>
    </w:pPr>
    <w:rPr>
      <w:rFonts w:ascii="Palatino Linotype" w:hAnsi="Palatino Linotype" w:eastAsia="Times New Roman" w:cs="Palatino Linotype"/>
      <w:color w:val="000000"/>
      <w:sz w:val="18"/>
      <w:szCs w:val="20"/>
      <w:lang w:val="en-US" w:bidi="en-US" w:eastAsia="zh-CN"/>
    </w:rPr>
  </w:style>
  <w:style w:type="paragraph" w:styleId="BalloonText">
    <w:name w:val="Balloon Text"/>
    <w:basedOn w:val="Normal"/>
    <w:qFormat/>
    <w:pPr>
      <w:spacing w:lineRule="auto" w:line="240"/>
    </w:pPr>
    <w:rPr>
      <w:sz w:val="18"/>
      <w:szCs w:val="18"/>
    </w:rPr>
  </w:style>
  <w:style w:type="paragraph" w:styleId="Revision">
    <w:name w:val="Revision"/>
    <w:qFormat/>
    <w:pPr>
      <w:widowControl/>
      <w:bidi w:val="0"/>
    </w:pPr>
    <w:rPr>
      <w:rFonts w:ascii="Times New Roman" w:hAnsi="Times New Roman" w:eastAsia="Times New Roman" w:cs="Times New Roman"/>
      <w:color w:val="000000"/>
      <w:sz w:val="24"/>
      <w:szCs w:val="20"/>
      <w:lang w:val="en-US" w:bidi="ar-SA" w:eastAsia="zh-CN"/>
    </w:rPr>
  </w:style>
  <w:style w:type="paragraph" w:styleId="CommentText">
    <w:name w:val="Comment Text"/>
    <w:basedOn w:val="Normal"/>
    <w:qFormat/>
    <w:pPr>
      <w:jc w:val="start"/>
    </w:pPr>
    <w:rPr/>
  </w:style>
  <w:style w:type="paragraph" w:styleId="CommentSubject">
    <w:name w:val="Comment Subject"/>
    <w:basedOn w:val="CommentText"/>
    <w:next w:val="CommentText"/>
    <w:qFormat/>
    <w:pPr/>
    <w:rPr>
      <w:b/>
      <w:bCs/>
    </w:rPr>
  </w:style>
  <w:style w:type="paragraph" w:styleId="MDPI15academiceditor">
    <w:name w:val="MDPI_1.5_academic_editor"/>
    <w:qFormat/>
    <w:pPr>
      <w:widowControl/>
      <w:bidi w:val="0"/>
      <w:snapToGrid w:val="false"/>
      <w:spacing w:lineRule="atLeast" w:line="260"/>
      <w:ind w:start="113" w:hanging="0"/>
    </w:pPr>
    <w:rPr>
      <w:rFonts w:ascii="Palatino Linotype" w:hAnsi="Palatino Linotype" w:eastAsia="Times New Roman" w:cs="Palatino Linotype"/>
      <w:color w:val="000000"/>
      <w:sz w:val="18"/>
      <w:szCs w:val="22"/>
      <w:lang w:val="en-US" w:bidi="en-US" w:eastAsia="zh-CN"/>
    </w:rPr>
  </w:style>
  <w:style w:type="paragraph" w:styleId="MDPI19classification">
    <w:name w:val="MDPI_1.9_classification"/>
    <w:qFormat/>
    <w:pPr>
      <w:widowControl/>
      <w:bidi w:val="0"/>
      <w:spacing w:lineRule="atLeast" w:line="260" w:before="240" w:after="0"/>
      <w:ind w:start="113" w:hanging="0"/>
      <w:jc w:val="both"/>
    </w:pPr>
    <w:rPr>
      <w:rFonts w:ascii="Palatino Linotype" w:hAnsi="Palatino Linotype" w:eastAsia="Times New Roman" w:cs="Palatino Linotype"/>
      <w:b/>
      <w:color w:val="000000"/>
      <w:sz w:val="20"/>
      <w:szCs w:val="22"/>
      <w:lang w:val="en-US" w:bidi="en-US" w:eastAsia="zh-CN"/>
    </w:rPr>
  </w:style>
  <w:style w:type="paragraph" w:styleId="MDPI411onetablecaption">
    <w:name w:val="MDPI_4.1.1_one_table_caption"/>
    <w:qFormat/>
    <w:pPr>
      <w:widowControl/>
      <w:bidi w:val="0"/>
      <w:snapToGrid w:val="false"/>
      <w:spacing w:lineRule="atLeast" w:line="260" w:before="240" w:after="120"/>
      <w:jc w:val="center"/>
    </w:pPr>
    <w:rPr>
      <w:rFonts w:ascii="Palatino Linotype" w:hAnsi="Palatino Linotype" w:eastAsia="Calibri" w:cs="Cordia New"/>
      <w:color w:val="000000"/>
      <w:sz w:val="18"/>
      <w:szCs w:val="22"/>
      <w:lang w:val="en-US" w:eastAsia="en-GB" w:bidi="en-US"/>
    </w:rPr>
  </w:style>
  <w:style w:type="paragraph" w:styleId="MDPI511onefigurecaption">
    <w:name w:val="MDPI_5.1.1_one_figure_caption"/>
    <w:qFormat/>
    <w:pPr>
      <w:widowControl/>
      <w:bidi w:val="0"/>
      <w:snapToGrid w:val="false"/>
      <w:spacing w:lineRule="atLeast" w:line="260" w:before="240" w:after="120"/>
      <w:jc w:val="center"/>
    </w:pPr>
    <w:rPr>
      <w:rFonts w:ascii="Palatino Linotype" w:hAnsi="Palatino Linotype" w:eastAsia="Calibri" w:cs="Palatino Linotype"/>
      <w:color w:val="000000"/>
      <w:sz w:val="18"/>
      <w:szCs w:val="20"/>
      <w:lang w:val="en-US" w:eastAsia="en-GB" w:bidi="en-US"/>
    </w:rPr>
  </w:style>
  <w:style w:type="paragraph" w:styleId="MDPI72Copyright">
    <w:name w:val="MDPI_7.2_Copyright"/>
    <w:qFormat/>
    <w:pPr>
      <w:widowControl/>
      <w:bidi w:val="0"/>
      <w:snapToGrid w:val="false"/>
      <w:spacing w:lineRule="atLeast" w:line="260" w:before="400" w:after="0"/>
      <w:jc w:val="both"/>
    </w:pPr>
    <w:rPr>
      <w:rFonts w:ascii="Palatino Linotype" w:hAnsi="Palatino Linotype" w:eastAsia="Times New Roman" w:cs="Palatino Linotype"/>
      <w:color w:val="000000"/>
      <w:spacing w:val="-2"/>
      <w:sz w:val="18"/>
      <w:szCs w:val="20"/>
      <w:lang w:val="en-GB" w:eastAsia="en-GB" w:bidi="ar-SA"/>
    </w:rPr>
  </w:style>
  <w:style w:type="paragraph" w:styleId="MDPI73CopyrightImage">
    <w:name w:val="MDPI_7.3_CopyrightImage"/>
    <w:qFormat/>
    <w:pPr>
      <w:widowControl/>
      <w:bidi w:val="0"/>
      <w:snapToGrid w:val="false"/>
      <w:spacing w:lineRule="atLeast" w:line="260" w:before="0" w:after="100"/>
      <w:jc w:val="end"/>
    </w:pPr>
    <w:rPr>
      <w:rFonts w:ascii="Palatino Linotype" w:hAnsi="Palatino Linotype" w:eastAsia="Times New Roman" w:cs="Palatino Linotype"/>
      <w:color w:val="000000"/>
      <w:sz w:val="20"/>
      <w:szCs w:val="20"/>
      <w:lang w:val="en-US" w:bidi="ar-SA" w:eastAsia="zh-CN"/>
    </w:rPr>
  </w:style>
  <w:style w:type="paragraph" w:styleId="MDPIequationFram">
    <w:name w:val="MDPI_equationFram"/>
    <w:qFormat/>
    <w:pPr>
      <w:widowControl/>
      <w:bidi w:val="0"/>
      <w:snapToGrid w:val="false"/>
      <w:spacing w:before="120" w:after="120"/>
      <w:jc w:val="center"/>
    </w:pPr>
    <w:rPr>
      <w:rFonts w:ascii="Palatino Linotype" w:hAnsi="Palatino Linotype" w:eastAsia="Times New Roman" w:cs="Palatino Linotype"/>
      <w:color w:val="000000"/>
      <w:sz w:val="20"/>
      <w:szCs w:val="22"/>
      <w:lang w:val="en-US" w:bidi="en-US" w:eastAsia="zh-CN"/>
    </w:rPr>
  </w:style>
  <w:style w:type="paragraph" w:styleId="MDPIfooter">
    <w:name w:val="MDPI_footer"/>
    <w:qFormat/>
    <w:pPr>
      <w:widowControl/>
      <w:bidi w:val="0"/>
      <w:snapToGrid w:val="false"/>
      <w:spacing w:lineRule="atLeast" w:line="260" w:before="120" w:after="0"/>
      <w:jc w:val="center"/>
    </w:pPr>
    <w:rPr>
      <w:rFonts w:ascii="Palatino Linotype" w:hAnsi="Palatino Linotype" w:eastAsia="Times New Roman" w:cs="Palatino Linotype"/>
      <w:color w:val="000000"/>
      <w:sz w:val="20"/>
      <w:szCs w:val="20"/>
      <w:lang w:val="en-US" w:bidi="ar-SA" w:eastAsia="zh-CN"/>
    </w:rPr>
  </w:style>
  <w:style w:type="paragraph" w:styleId="MDPIheader">
    <w:name w:val="MDPI_header"/>
    <w:qFormat/>
    <w:pPr>
      <w:widowControl/>
      <w:bidi w:val="0"/>
      <w:snapToGrid w:val="false"/>
      <w:spacing w:lineRule="atLeast" w:line="260" w:before="0" w:after="240"/>
      <w:jc w:val="both"/>
    </w:pPr>
    <w:rPr>
      <w:rFonts w:ascii="Palatino Linotype" w:hAnsi="Palatino Linotype" w:eastAsia="Times New Roman" w:cs="Palatino Linotype"/>
      <w:iCs/>
      <w:color w:val="000000"/>
      <w:sz w:val="16"/>
      <w:szCs w:val="20"/>
      <w:lang w:val="en-US" w:bidi="ar-SA" w:eastAsia="zh-CN"/>
    </w:rPr>
  </w:style>
  <w:style w:type="paragraph" w:styleId="MDPIheadercitation">
    <w:name w:val="MDPI_header_citation"/>
    <w:qFormat/>
    <w:pPr>
      <w:widowControl/>
      <w:bidi w:val="0"/>
      <w:spacing w:before="0" w:after="240"/>
    </w:pPr>
    <w:rPr>
      <w:rFonts w:ascii="Palatino Linotype" w:hAnsi="Palatino Linotype" w:eastAsia="Times New Roman" w:cs="Palatino Linotype"/>
      <w:color w:val="000000"/>
      <w:sz w:val="18"/>
      <w:szCs w:val="20"/>
      <w:lang w:val="en-US" w:bidi="en-US" w:eastAsia="zh-CN"/>
    </w:rPr>
  </w:style>
  <w:style w:type="paragraph" w:styleId="MDPIheadermdpilogo">
    <w:name w:val="MDPI_header_mdpi_logo"/>
    <w:qFormat/>
    <w:pPr>
      <w:widowControl/>
      <w:bidi w:val="0"/>
      <w:snapToGrid w:val="false"/>
      <w:spacing w:lineRule="atLeast" w:line="260"/>
      <w:jc w:val="end"/>
    </w:pPr>
    <w:rPr>
      <w:rFonts w:ascii="Palatino Linotype" w:hAnsi="Palatino Linotype" w:eastAsia="Times New Roman" w:cs="Palatino Linotype"/>
      <w:color w:val="000000"/>
      <w:sz w:val="24"/>
      <w:szCs w:val="22"/>
      <w:lang w:val="en-US" w:bidi="ar-SA" w:eastAsia="zh-CN"/>
    </w:rPr>
  </w:style>
  <w:style w:type="paragraph" w:styleId="MDPItext">
    <w:name w:val="MDPI_text"/>
    <w:qFormat/>
    <w:pPr>
      <w:widowControl/>
      <w:bidi w:val="0"/>
      <w:spacing w:lineRule="atLeast" w:line="260"/>
      <w:ind w:start="425" w:end="425" w:firstLine="284"/>
      <w:jc w:val="both"/>
    </w:pPr>
    <w:rPr>
      <w:rFonts w:ascii="Times New Roman" w:hAnsi="Times New Roman" w:eastAsia="Times New Roman" w:cs="Times New Roman"/>
      <w:color w:val="000000"/>
      <w:sz w:val="22"/>
      <w:szCs w:val="22"/>
      <w:lang w:val="en-US" w:eastAsia="en-GB" w:bidi="en-US"/>
    </w:rPr>
  </w:style>
  <w:style w:type="paragraph" w:styleId="MDPItitle">
    <w:name w:val="MDPI_title"/>
    <w:qFormat/>
    <w:pPr>
      <w:widowControl/>
      <w:bidi w:val="0"/>
      <w:snapToGrid w:val="false"/>
      <w:spacing w:lineRule="atLeast" w:line="260" w:before="0" w:after="240"/>
      <w:jc w:val="both"/>
    </w:pPr>
    <w:rPr>
      <w:rFonts w:ascii="Palatino Linotype" w:hAnsi="Palatino Linotype" w:eastAsia="Times New Roman" w:cs="Palatino Linotype"/>
      <w:b/>
      <w:color w:val="000000"/>
      <w:sz w:val="36"/>
      <w:szCs w:val="20"/>
      <w:lang w:val="en-US" w:bidi="en-US"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molecules-template.dot</Template>
  <TotalTime>15</TotalTime>
  <Application>LibreOffice/7.2.0.4$MacOSX_X86_64 LibreOffice_project/9a9c6381e3f7a62afc1329bd359cc48accb6435b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2020-04-26T11:14:00Z</dcterms:created>
  <dc:creator>MDPI</dc:creator>
  <dc:description/>
  <cp:keywords> </cp:keywords>
  <dc:language>en-GB</dc:language>
  <cp:lastModifiedBy>MDPI-08</cp:lastModifiedBy>
  <cp:lastPrinted>2020-05-08T14:07:00Z</cp:lastPrinted>
  <dcterms:modified xsi:type="dcterms:W3CDTF">2020-05-08T12:07:00Z</dcterms:modified>
  <cp:revision>7</cp:revision>
  <dc:subject/>
  <dc:title>A</dc:title>
</cp:coreProperties>
</file>