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4</w:t>
      </w:r>
    </w:p>
    <w:p>
      <w:r>
        <w:rPr>
          <w:rFonts w:ascii="Times New Roman" w:hAnsi="Times New Roman"/>
          <w:b/>
          <w:sz w:val="22"/>
        </w:rPr>
        <w:t>Security System Architecture and Programmatic Implementation</w:t>
      </w:r>
    </w:p>
    <w:p/>
    <w:p>
      <w:pPr>
        <w:pStyle w:val="Heading2"/>
      </w:pPr>
      <w:r>
        <w:t>4.1 Security System Architecture of an E-Financial Service System</w:t>
      </w:r>
    </w:p>
    <w:p>
      <w:pPr>
        <w:ind w:firstLine="567"/>
      </w:pPr>
      <w:r>
        <w:rPr>
          <w:rFonts w:ascii="Times New Roman" w:hAnsi="Times New Roman"/>
          <w:b w:val="0"/>
          <w:sz w:val="22"/>
        </w:rPr>
        <w:t>This chapter describes the practical application of ECC-DTB-AKA (Chapter 2) and ECC-HISE (Chapter 3) within a unified e-financial service system. The architecture integrates both schemes into a layered security model spanning client devices, application services, settlement infrastructure, and governance components.</w:t>
      </w:r>
    </w:p>
    <w:p>
      <w:pPr>
        <w:ind w:firstLine="567"/>
      </w:pPr>
      <w:r>
        <w:rPr>
          <w:rFonts w:ascii="Times New Roman" w:hAnsi="Times New Roman"/>
          <w:b w:val="0"/>
          <w:sz w:val="22"/>
        </w:rPr>
        <w:t>The system comprises four tiers aligned with the preface description: (1) Client Tier — mobile and web banking applications executing ECC-DTB-AKA handshakes; (2) Application Tier — API gateway, authentication service, and transaction engine validating session keys and transaction-bound HMACs; (3) Settlement Tier — inter-bank batch processing using ECC-HISE envelopes; (4) Governance Tier — certificate authority, master key management (HSM), and immutable audit storage for Merkle roots.</w:t>
      </w:r>
    </w:p>
    <w:p>
      <w:pPr>
        <w:pStyle w:val="Heading3"/>
      </w:pPr>
      <w:r>
        <w:t>4.1.1 Architectural Layers and Trust Boundaries</w:t>
      </w:r>
    </w:p>
    <w:p>
      <w:pPr>
        <w:ind w:firstLine="567"/>
      </w:pPr>
      <w:r>
        <w:rPr>
          <w:rFonts w:ascii="Times New Roman" w:hAnsi="Times New Roman"/>
          <w:b w:val="0"/>
          <w:sz w:val="22"/>
        </w:rPr>
        <w:t>Trust boundaries define where cryptographic verification occurs. The client-server boundary is protected by ECC-DTB-AKA: both parties verify ECDSA signatures and derive MSK before any transaction API is invoked. The server-server boundary between settlement nodes is protected by ECC-HISE: batch headers and Merkle roots are verified before records enter the receiving bank's ledger.</w:t>
      </w:r>
    </w:p>
    <w:p>
      <w:pPr>
        <w:ind w:firstLine="567"/>
      </w:pPr>
      <w:r>
        <w:rPr>
          <w:rFonts w:ascii="Times New Roman" w:hAnsi="Times New Roman"/>
          <w:b w:val="0"/>
          <w:sz w:val="22"/>
        </w:rPr>
        <w:t>Internal microservice communication within the application tier uses mTLS as a complementary transport control; ECC-DTB-AKA and ECC-HISE provide application-layer cryptographic guarantees that persist beyond TLS termination points.</w:t>
      </w:r>
    </w:p>
    <w:p>
      <w:pPr>
        <w:jc w:val="center"/>
      </w:pPr>
      <w:r>
        <w:drawing>
          <wp:inline xmlns:a="http://schemas.openxmlformats.org/drawingml/2006/main" xmlns:pic="http://schemas.openxmlformats.org/drawingml/2006/picture">
            <wp:extent cx="5040000" cy="3636923"/>
            <wp:docPr id="1" name="Picture 1"/>
            <wp:cNvGraphicFramePr>
              <a:graphicFrameLocks noChangeAspect="1"/>
            </wp:cNvGraphicFramePr>
            <a:graphic>
              <a:graphicData uri="http://schemas.openxmlformats.org/drawingml/2006/picture">
                <pic:pic>
                  <pic:nvPicPr>
                    <pic:cNvPr id="0" name="fig_4_1_architecture.png"/>
                    <pic:cNvPicPr/>
                  </pic:nvPicPr>
                  <pic:blipFill>
                    <a:blip r:embed="rId9"/>
                    <a:stretch>
                      <a:fillRect/>
                    </a:stretch>
                  </pic:blipFill>
                  <pic:spPr>
                    <a:xfrm>
                      <a:off x="0" y="0"/>
                      <a:ext cx="5040000" cy="3636923"/>
                    </a:xfrm>
                    <a:prstGeom prst="rect"/>
                  </pic:spPr>
                </pic:pic>
              </a:graphicData>
            </a:graphic>
          </wp:inline>
        </w:drawing>
      </w:r>
    </w:p>
    <w:p>
      <w:pPr>
        <w:jc w:val="center"/>
      </w:pPr>
      <w:r>
        <w:rPr>
          <w:rFonts w:ascii="Times New Roman" w:hAnsi="Times New Roman"/>
          <w:i/>
          <w:sz w:val="20"/>
        </w:rPr>
        <w:t>Integrated e-financial service system architecture (Figure 4.1).</w:t>
      </w:r>
    </w:p>
    <w:p>
      <w:pPr>
        <w:pStyle w:val="Heading3"/>
      </w:pPr>
      <w:r>
        <w:t>4.1.2 Component Interaction Flow</w:t>
      </w:r>
    </w:p>
    <w:p>
      <w:pPr>
        <w:ind w:firstLine="567"/>
      </w:pPr>
      <w:r>
        <w:rPr>
          <w:rFonts w:ascii="Times New Roman" w:hAnsi="Times New Roman"/>
          <w:b w:val="0"/>
          <w:sz w:val="22"/>
        </w:rPr>
        <w:t>A representative customer fund-transfer flow proceeds as follows: (1) Mobile app executes ECC-DTB-AKA three-round handshake with the authentication service, establishing MSK and TBK for the pending transaction. (2) Transaction request is sent with HMAC(TBK, txn_nonce) over HTTPS. (3) Transaction engine validates HMAC, debits customer account, and queues settlement record. (4) Settlement service batches records and constructs ECC-HISE envelope. (5) Envelope is transmitted to counterparty bank; receiver verifies Merkle root and signatures. (6) Audit log stores (batch_id, Root, timestamp) for regulatory archive.</w:t>
      </w:r>
    </w:p>
    <w:p>
      <w:pPr>
        <w:jc w:val="center"/>
      </w:pPr>
      <w:r>
        <w:drawing>
          <wp:inline xmlns:a="http://schemas.openxmlformats.org/drawingml/2006/main" xmlns:pic="http://schemas.openxmlformats.org/drawingml/2006/picture">
            <wp:extent cx="5040000" cy="1763636"/>
            <wp:docPr id="2" name="Picture 2"/>
            <wp:cNvGraphicFramePr>
              <a:graphicFrameLocks noChangeAspect="1"/>
            </wp:cNvGraphicFramePr>
            <a:graphic>
              <a:graphicData uri="http://schemas.openxmlformats.org/drawingml/2006/picture">
                <pic:pic>
                  <pic:nvPicPr>
                    <pic:cNvPr id="0" name="fig_4_2_flow.png"/>
                    <pic:cNvPicPr/>
                  </pic:nvPicPr>
                  <pic:blipFill>
                    <a:blip r:embed="rId10"/>
                    <a:stretch>
                      <a:fillRect/>
                    </a:stretch>
                  </pic:blipFill>
                  <pic:spPr>
                    <a:xfrm>
                      <a:off x="0" y="0"/>
                      <a:ext cx="5040000" cy="1763636"/>
                    </a:xfrm>
                    <a:prstGeom prst="rect"/>
                  </pic:spPr>
                </pic:pic>
              </a:graphicData>
            </a:graphic>
          </wp:inline>
        </w:drawing>
      </w:r>
    </w:p>
    <w:p>
      <w:pPr>
        <w:jc w:val="center"/>
      </w:pPr>
      <w:r>
        <w:rPr>
          <w:rFonts w:ascii="Times New Roman" w:hAnsi="Times New Roman"/>
          <w:i/>
          <w:sz w:val="20"/>
        </w:rPr>
        <w:t>End-to-end transaction and settlement flow (Figure 4.2).</w:t>
      </w:r>
    </w:p>
    <w:p>
      <w:pPr>
        <w:pStyle w:val="Heading3"/>
      </w:pPr>
      <w:r>
        <w:t>4.1.3 Technology Stack</w:t>
      </w:r>
    </w:p>
    <w:p>
      <w:pPr>
        <w:ind w:firstLine="567"/>
      </w:pPr>
      <w:r>
        <w:rPr>
          <w:rFonts w:ascii="Times New Roman" w:hAnsi="Times New Roman"/>
          <w:b w:val="0"/>
          <w:sz w:val="22"/>
        </w:rPr>
        <w:t>The prototype implementation uses Python 3.11 with the following stack: cryptography library (OpenSSL backend) for ECDH, ECDSA, AES-GCM, and Ed25519; FastAPI for REST API endpoints; SQLite (optional persistence layer) for customer registry and audit logs. Production deployment would substitute software key storage with HSM-backed modules and add horizontal scaling via container orchestration.</w:t>
      </w:r>
    </w:p>
    <w:tbl>
      <w:tblPr>
        <w:tblStyle w:val="TableGrid"/>
        <w:tblW w:type="auto" w:w="0"/>
        <w:tblLook w:firstColumn="1" w:firstRow="1" w:lastColumn="0" w:lastRow="0" w:noHBand="0" w:noVBand="1" w:val="04A0"/>
      </w:tblPr>
      <w:tblGrid>
        <w:gridCol w:w="1786"/>
        <w:gridCol w:w="1786"/>
        <w:gridCol w:w="1786"/>
        <w:gridCol w:w="1786"/>
      </w:tblGrid>
      <w:tr>
        <w:tc>
          <w:tcPr>
            <w:tcW w:type="dxa" w:w="1786"/>
          </w:tcPr>
          <w:p>
            <w:r>
              <w:rPr>
                <w:rFonts w:ascii="Times New Roman" w:hAnsi="Times New Roman"/>
                <w:b/>
                <w:sz w:val="20"/>
              </w:rPr>
              <w:t>Layer</w:t>
            </w:r>
          </w:p>
        </w:tc>
        <w:tc>
          <w:tcPr>
            <w:tcW w:type="dxa" w:w="1786"/>
          </w:tcPr>
          <w:p>
            <w:r>
              <w:rPr>
                <w:rFonts w:ascii="Times New Roman" w:hAnsi="Times New Roman"/>
                <w:b/>
                <w:sz w:val="20"/>
              </w:rPr>
              <w:t>Component</w:t>
            </w:r>
          </w:p>
        </w:tc>
        <w:tc>
          <w:tcPr>
            <w:tcW w:type="dxa" w:w="1786"/>
          </w:tcPr>
          <w:p>
            <w:r>
              <w:rPr>
                <w:rFonts w:ascii="Times New Roman" w:hAnsi="Times New Roman"/>
                <w:b/>
                <w:sz w:val="20"/>
              </w:rPr>
              <w:t>Scheme</w:t>
            </w:r>
          </w:p>
        </w:tc>
        <w:tc>
          <w:tcPr>
            <w:tcW w:type="dxa" w:w="1786"/>
          </w:tcPr>
          <w:p>
            <w:r>
              <w:rPr>
                <w:rFonts w:ascii="Times New Roman" w:hAnsi="Times New Roman"/>
                <w:b/>
                <w:sz w:val="20"/>
              </w:rPr>
              <w:t>Technology</w:t>
            </w:r>
          </w:p>
        </w:tc>
      </w:tr>
      <w:tr>
        <w:tc>
          <w:tcPr>
            <w:tcW w:type="dxa" w:w="1786"/>
          </w:tcPr>
          <w:p>
            <w:r>
              <w:rPr>
                <w:rFonts w:ascii="Times New Roman" w:hAnsi="Times New Roman"/>
                <w:sz w:val="20"/>
              </w:rPr>
              <w:t>Client</w:t>
            </w:r>
          </w:p>
        </w:tc>
        <w:tc>
          <w:tcPr>
            <w:tcW w:type="dxa" w:w="1786"/>
          </w:tcPr>
          <w:p>
            <w:r>
              <w:rPr>
                <w:rFonts w:ascii="Times New Roman" w:hAnsi="Times New Roman"/>
                <w:sz w:val="20"/>
              </w:rPr>
              <w:t>Mobile/Web App</w:t>
            </w:r>
          </w:p>
        </w:tc>
        <w:tc>
          <w:tcPr>
            <w:tcW w:type="dxa" w:w="1786"/>
          </w:tcPr>
          <w:p>
            <w:r>
              <w:rPr>
                <w:rFonts w:ascii="Times New Roman" w:hAnsi="Times New Roman"/>
                <w:sz w:val="20"/>
              </w:rPr>
              <w:t>ECC-DTB-AKA</w:t>
            </w:r>
          </w:p>
        </w:tc>
        <w:tc>
          <w:tcPr>
            <w:tcW w:type="dxa" w:w="1786"/>
          </w:tcPr>
          <w:p>
            <w:r>
              <w:rPr>
                <w:rFonts w:ascii="Times New Roman" w:hAnsi="Times New Roman"/>
                <w:sz w:val="20"/>
              </w:rPr>
              <w:t>Python client SDK</w:t>
            </w:r>
          </w:p>
        </w:tc>
      </w:tr>
      <w:tr>
        <w:tc>
          <w:tcPr>
            <w:tcW w:type="dxa" w:w="1786"/>
          </w:tcPr>
          <w:p>
            <w:r>
              <w:rPr>
                <w:rFonts w:ascii="Times New Roman" w:hAnsi="Times New Roman"/>
                <w:sz w:val="20"/>
              </w:rPr>
              <w:t>Application</w:t>
            </w:r>
          </w:p>
        </w:tc>
        <w:tc>
          <w:tcPr>
            <w:tcW w:type="dxa" w:w="1786"/>
          </w:tcPr>
          <w:p>
            <w:r>
              <w:rPr>
                <w:rFonts w:ascii="Times New Roman" w:hAnsi="Times New Roman"/>
                <w:sz w:val="20"/>
              </w:rPr>
              <w:t>Auth Service</w:t>
            </w:r>
          </w:p>
        </w:tc>
        <w:tc>
          <w:tcPr>
            <w:tcW w:type="dxa" w:w="1786"/>
          </w:tcPr>
          <w:p>
            <w:r>
              <w:rPr>
                <w:rFonts w:ascii="Times New Roman" w:hAnsi="Times New Roman"/>
                <w:sz w:val="20"/>
              </w:rPr>
              <w:t>ECC-DTB-AKA</w:t>
            </w:r>
          </w:p>
        </w:tc>
        <w:tc>
          <w:tcPr>
            <w:tcW w:type="dxa" w:w="1786"/>
          </w:tcPr>
          <w:p>
            <w:r>
              <w:rPr>
                <w:rFonts w:ascii="Times New Roman" w:hAnsi="Times New Roman"/>
                <w:sz w:val="20"/>
              </w:rPr>
              <w:t>FastAPI + cryptography</w:t>
            </w:r>
          </w:p>
        </w:tc>
      </w:tr>
      <w:tr>
        <w:tc>
          <w:tcPr>
            <w:tcW w:type="dxa" w:w="1786"/>
          </w:tcPr>
          <w:p>
            <w:r>
              <w:rPr>
                <w:rFonts w:ascii="Times New Roman" w:hAnsi="Times New Roman"/>
                <w:sz w:val="20"/>
              </w:rPr>
              <w:t>Application</w:t>
            </w:r>
          </w:p>
        </w:tc>
        <w:tc>
          <w:tcPr>
            <w:tcW w:type="dxa" w:w="1786"/>
          </w:tcPr>
          <w:p>
            <w:r>
              <w:rPr>
                <w:rFonts w:ascii="Times New Roman" w:hAnsi="Times New Roman"/>
                <w:sz w:val="20"/>
              </w:rPr>
              <w:t>Transaction API</w:t>
            </w:r>
          </w:p>
        </w:tc>
        <w:tc>
          <w:tcPr>
            <w:tcW w:type="dxa" w:w="1786"/>
          </w:tcPr>
          <w:p>
            <w:r>
              <w:rPr>
                <w:rFonts w:ascii="Times New Roman" w:hAnsi="Times New Roman"/>
                <w:sz w:val="20"/>
              </w:rPr>
              <w:t>TBK HMAC verify</w:t>
            </w:r>
          </w:p>
        </w:tc>
        <w:tc>
          <w:tcPr>
            <w:tcW w:type="dxa" w:w="1786"/>
          </w:tcPr>
          <w:p>
            <w:r>
              <w:rPr>
                <w:rFonts w:ascii="Times New Roman" w:hAnsi="Times New Roman"/>
                <w:sz w:val="20"/>
              </w:rPr>
              <w:t>FastAPI</w:t>
            </w:r>
          </w:p>
        </w:tc>
      </w:tr>
      <w:tr>
        <w:tc>
          <w:tcPr>
            <w:tcW w:type="dxa" w:w="1786"/>
          </w:tcPr>
          <w:p>
            <w:r>
              <w:rPr>
                <w:rFonts w:ascii="Times New Roman" w:hAnsi="Times New Roman"/>
                <w:sz w:val="20"/>
              </w:rPr>
              <w:t>Settlement</w:t>
            </w:r>
          </w:p>
        </w:tc>
        <w:tc>
          <w:tcPr>
            <w:tcW w:type="dxa" w:w="1786"/>
          </w:tcPr>
          <w:p>
            <w:r>
              <w:rPr>
                <w:rFonts w:ascii="Times New Roman" w:hAnsi="Times New Roman"/>
                <w:sz w:val="20"/>
              </w:rPr>
              <w:t>Batch Service</w:t>
            </w:r>
          </w:p>
        </w:tc>
        <w:tc>
          <w:tcPr>
            <w:tcW w:type="dxa" w:w="1786"/>
          </w:tcPr>
          <w:p>
            <w:r>
              <w:rPr>
                <w:rFonts w:ascii="Times New Roman" w:hAnsi="Times New Roman"/>
                <w:sz w:val="20"/>
              </w:rPr>
              <w:t>ECC-HISE</w:t>
            </w:r>
          </w:p>
        </w:tc>
        <w:tc>
          <w:tcPr>
            <w:tcW w:type="dxa" w:w="1786"/>
          </w:tcPr>
          <w:p>
            <w:r>
              <w:rPr>
                <w:rFonts w:ascii="Times New Roman" w:hAnsi="Times New Roman"/>
                <w:sz w:val="20"/>
              </w:rPr>
              <w:t>Python envelope module</w:t>
            </w:r>
          </w:p>
        </w:tc>
      </w:tr>
      <w:tr>
        <w:tc>
          <w:tcPr>
            <w:tcW w:type="dxa" w:w="1786"/>
          </w:tcPr>
          <w:p>
            <w:r>
              <w:rPr>
                <w:rFonts w:ascii="Times New Roman" w:hAnsi="Times New Roman"/>
                <w:sz w:val="20"/>
              </w:rPr>
              <w:t>Governance</w:t>
            </w:r>
          </w:p>
        </w:tc>
        <w:tc>
          <w:tcPr>
            <w:tcW w:type="dxa" w:w="1786"/>
          </w:tcPr>
          <w:p>
            <w:r>
              <w:rPr>
                <w:rFonts w:ascii="Times New Roman" w:hAnsi="Times New Roman"/>
                <w:sz w:val="20"/>
              </w:rPr>
              <w:t>Audit Store</w:t>
            </w:r>
          </w:p>
        </w:tc>
        <w:tc>
          <w:tcPr>
            <w:tcW w:type="dxa" w:w="1786"/>
          </w:tcPr>
          <w:p>
            <w:r>
              <w:rPr>
                <w:rFonts w:ascii="Times New Roman" w:hAnsi="Times New Roman"/>
                <w:sz w:val="20"/>
              </w:rPr>
              <w:t>Merkle roots</w:t>
            </w:r>
          </w:p>
        </w:tc>
        <w:tc>
          <w:tcPr>
            <w:tcW w:type="dxa" w:w="1786"/>
          </w:tcPr>
          <w:p>
            <w:r>
              <w:rPr>
                <w:rFonts w:ascii="Times New Roman" w:hAnsi="Times New Roman"/>
                <w:sz w:val="20"/>
              </w:rPr>
              <w:t>Append-only log</w:t>
            </w:r>
          </w:p>
        </w:tc>
      </w:tr>
    </w:tbl>
    <w:p>
      <w:pPr>
        <w:jc w:val="center"/>
      </w:pPr>
      <w:r>
        <w:rPr>
          <w:rFonts w:ascii="Times New Roman" w:hAnsi="Times New Roman"/>
          <w:i/>
          <w:sz w:val="20"/>
        </w:rPr>
        <w:t>Table 4.1: Architecture components and technology mapping.</w:t>
      </w:r>
    </w:p>
    <w:p/>
    <w:p>
      <w:pPr>
        <w:pStyle w:val="Heading2"/>
      </w:pPr>
      <w:r>
        <w:t>4.2 Programmatic Implementation of ECC-DTB-AKA (Chapter 2)</w:t>
      </w:r>
    </w:p>
    <w:p>
      <w:pPr>
        <w:ind w:firstLine="567"/>
      </w:pPr>
      <w:r>
        <w:rPr>
          <w:rFonts w:ascii="Times New Roman" w:hAnsi="Times New Roman"/>
          <w:b w:val="0"/>
          <w:sz w:val="22"/>
        </w:rPr>
        <w:t>This section describes the software implementation of ECC-DTB-AKA as specified in Chapter 2, including module structure, class design, API endpoints, and test results from the prototype.</w:t>
      </w:r>
    </w:p>
    <w:p>
      <w:pPr>
        <w:pStyle w:val="Heading3"/>
      </w:pPr>
      <w:r>
        <w:t>4.2.1 Module Structure</w:t>
      </w:r>
    </w:p>
    <w:p>
      <w:pPr>
        <w:ind w:firstLine="567"/>
      </w:pPr>
      <w:r>
        <w:rPr>
          <w:rFonts w:ascii="Times New Roman" w:hAnsi="Times New Roman"/>
          <w:b w:val="0"/>
          <w:sz w:val="22"/>
        </w:rPr>
        <w:t>The ECC-DTB-AKA implementation resides in prototype/ecc_dtb_aka/ with the following modules: protocol.py — core protocol classes (ECCDTBAKAClient, ECCDTBAKAServer) and message dataclasses (ClientInit, ServerResponse, ClientConfirm, SessionState); demo.py — standalone handshake demonstration; common/crypto_utils.py — shared SHA-256, HKDF, ECDH, ECDSA utilities.</w:t>
      </w:r>
    </w:p>
    <w:p>
      <w:pPr>
        <w:ind w:firstLine="567"/>
      </w:pPr>
      <w:r>
        <w:rPr>
          <w:rFonts w:ascii="Times New Roman" w:hAnsi="Times New Roman"/>
          <w:b w:val="0"/>
          <w:sz w:val="22"/>
        </w:rPr>
        <w:t>The protocol module exposes run_handshake() for end-to-end execution and individual methods for each round, enabling integration with HTTP-based APIs that map rounds to REST endpoints.</w:t>
      </w:r>
    </w:p>
    <w:p>
      <w:pPr>
        <w:jc w:val="center"/>
      </w:pPr>
      <w:r>
        <w:drawing>
          <wp:inline xmlns:a="http://schemas.openxmlformats.org/drawingml/2006/main" xmlns:pic="http://schemas.openxmlformats.org/drawingml/2006/picture">
            <wp:extent cx="5040000" cy="2127273"/>
            <wp:docPr id="3" name="Picture 3"/>
            <wp:cNvGraphicFramePr>
              <a:graphicFrameLocks noChangeAspect="1"/>
            </wp:cNvGraphicFramePr>
            <a:graphic>
              <a:graphicData uri="http://schemas.openxmlformats.org/drawingml/2006/picture">
                <pic:pic>
                  <pic:nvPicPr>
                    <pic:cNvPr id="0" name="fig_4_3_dtb_modules.png"/>
                    <pic:cNvPicPr/>
                  </pic:nvPicPr>
                  <pic:blipFill>
                    <a:blip r:embed="rId11"/>
                    <a:stretch>
                      <a:fillRect/>
                    </a:stretch>
                  </pic:blipFill>
                  <pic:spPr>
                    <a:xfrm>
                      <a:off x="0" y="0"/>
                      <a:ext cx="5040000" cy="2127273"/>
                    </a:xfrm>
                    <a:prstGeom prst="rect"/>
                  </pic:spPr>
                </pic:pic>
              </a:graphicData>
            </a:graphic>
          </wp:inline>
        </w:drawing>
      </w:r>
    </w:p>
    <w:p>
      <w:pPr>
        <w:jc w:val="center"/>
      </w:pPr>
      <w:r>
        <w:rPr>
          <w:rFonts w:ascii="Times New Roman" w:hAnsi="Times New Roman"/>
          <w:i/>
          <w:sz w:val="20"/>
        </w:rPr>
        <w:t>ECC-DTB-AKA software module diagram (Figure 4.3).</w:t>
      </w:r>
    </w:p>
    <w:p>
      <w:pPr>
        <w:pStyle w:val="Heading3"/>
      </w:pPr>
      <w:r>
        <w:t>4.2.2 Core Classes and Data Structures</w:t>
      </w:r>
    </w:p>
    <w:p>
      <w:pPr>
        <w:ind w:firstLine="567"/>
      </w:pPr>
      <w:r>
        <w:rPr>
          <w:rFonts w:ascii="Times New Roman" w:hAnsi="Times New Roman"/>
          <w:b w:val="0"/>
          <w:sz w:val="22"/>
        </w:rPr>
        <w:t>ECCDTBAKAClient maintains long-term key pair (sk_C, PK_C), device fingerprint derived from hardware attributes, ephemeral key state, and session state after handshake completion. Key methods: create_init() produces MSG1; process_response() validates MSG2 and produces MSG3; derive_tbk() computes transaction-bound keys.</w:t>
      </w:r>
    </w:p>
    <w:p>
      <w:pPr>
        <w:ind w:firstLine="567"/>
      </w:pPr>
      <w:r>
        <w:rPr>
          <w:rFonts w:ascii="Times New Roman" w:hAnsi="Times New Roman"/>
          <w:b w:val="0"/>
          <w:sz w:val="22"/>
        </w:rPr>
        <w:t>ECCDTBAKAServer maintains registered client public keys, server long-term key pair, and pending session state between rounds. Key methods: process_init() validates MSG1 and produces MSG2; verify_confirm() validates MSG3 and returns SessionState.</w:t>
      </w:r>
    </w:p>
    <w:p>
      <w:pPr>
        <w:ind w:firstLine="567"/>
      </w:pPr>
      <w:r>
        <w:rPr>
          <w:rFonts w:ascii="Times New Roman" w:hAnsi="Times New Roman"/>
          <w:b w:val="0"/>
          <w:sz w:val="22"/>
        </w:rPr>
        <w:t>Message dataclasses include message_size properties for benchmark measurement. Total three-message handshake size averages 569 bytes in prototype benchmarks.</w:t>
      </w:r>
    </w:p>
    <w:p>
      <w:pPr>
        <w:pStyle w:val="Heading3"/>
      </w:pPr>
      <w:r>
        <w:t>4.2.3 REST API Integration</w:t>
      </w:r>
    </w:p>
    <w:p>
      <w:pPr>
        <w:ind w:firstLine="567"/>
      </w:pPr>
      <w:r>
        <w:rPr>
          <w:rFonts w:ascii="Times New Roman" w:hAnsi="Times New Roman"/>
          <w:b w:val="0"/>
          <w:sz w:val="22"/>
        </w:rPr>
        <w:t>The FastAPI application (prototype/api/app.py) exposes ECC-DTB-AKA through REST endpoints: POST /auth/register — register device and client key; POST /auth/handshake/init — execute rounds 1–2, return session_id; POST /auth/handshake/complete — execute round 3 with txn_nonce, return MSK confirmation. GET /health — service health check.</w:t>
      </w:r>
    </w:p>
    <w:p>
      <w:pPr>
        <w:ind w:firstLine="567"/>
      </w:pPr>
      <w:r>
        <w:rPr>
          <w:rFonts w:ascii="Times New Roman" w:hAnsi="Times New Roman"/>
          <w:b w:val="0"/>
          <w:sz w:val="22"/>
        </w:rPr>
        <w:t>This API design separates the three-round protocol across two HTTP requests (init combines client MSG1 and server MSG2; complete sends MSG3) to accommodate request-response web semantics while preserving protocol security properties.</w:t>
      </w:r>
    </w:p>
    <w:p>
      <w:pPr>
        <w:pStyle w:val="Heading3"/>
      </w:pPr>
      <w:r>
        <w:t>4.2.4 Test Results</w:t>
      </w:r>
    </w:p>
    <w:p>
      <w:pPr>
        <w:ind w:firstLine="567"/>
      </w:pPr>
      <w:r>
        <w:rPr>
          <w:rFonts w:ascii="Times New Roman" w:hAnsi="Times New Roman"/>
          <w:b w:val="0"/>
          <w:sz w:val="22"/>
        </w:rPr>
        <w:t>Integration testing via prototype/api/demo_integration.py confirms successful handshake completion with MSK derivation. Benchmark results (Chapter 2, n=200): mean authentication latency 0.52 ms, total message size 569 bytes, three round trips. All test cases for replay rejection, invalid signature detection, and unregistered client rejection pass.</w:t>
      </w:r>
    </w:p>
    <w:tbl>
      <w:tblPr>
        <w:tblStyle w:val="TableGrid"/>
        <w:tblW w:type="auto" w:w="0"/>
        <w:tblLook w:firstColumn="1" w:firstRow="1" w:lastColumn="0" w:lastRow="0" w:noHBand="0" w:noVBand="1" w:val="04A0"/>
      </w:tblPr>
      <w:tblGrid>
        <w:gridCol w:w="2381"/>
        <w:gridCol w:w="2381"/>
        <w:gridCol w:w="2381"/>
      </w:tblGrid>
      <w:tr>
        <w:tc>
          <w:tcPr>
            <w:tcW w:type="dxa" w:w="2381"/>
          </w:tcPr>
          <w:p>
            <w:r>
              <w:rPr>
                <w:rFonts w:ascii="Times New Roman" w:hAnsi="Times New Roman"/>
                <w:b/>
                <w:sz w:val="20"/>
              </w:rPr>
              <w:t>Test Case</w:t>
            </w:r>
          </w:p>
        </w:tc>
        <w:tc>
          <w:tcPr>
            <w:tcW w:type="dxa" w:w="2381"/>
          </w:tcPr>
          <w:p>
            <w:r>
              <w:rPr>
                <w:rFonts w:ascii="Times New Roman" w:hAnsi="Times New Roman"/>
                <w:b/>
                <w:sz w:val="20"/>
              </w:rPr>
              <w:t>Expected</w:t>
            </w:r>
          </w:p>
        </w:tc>
        <w:tc>
          <w:tcPr>
            <w:tcW w:type="dxa" w:w="2381"/>
          </w:tcPr>
          <w:p>
            <w:r>
              <w:rPr>
                <w:rFonts w:ascii="Times New Roman" w:hAnsi="Times New Roman"/>
                <w:b/>
                <w:sz w:val="20"/>
              </w:rPr>
              <w:t>Result</w:t>
            </w:r>
          </w:p>
        </w:tc>
      </w:tr>
      <w:tr>
        <w:tc>
          <w:tcPr>
            <w:tcW w:type="dxa" w:w="2381"/>
          </w:tcPr>
          <w:p>
            <w:r>
              <w:rPr>
                <w:rFonts w:ascii="Times New Roman" w:hAnsi="Times New Roman"/>
                <w:sz w:val="20"/>
              </w:rPr>
              <w:t>Valid handshake</w:t>
            </w:r>
          </w:p>
        </w:tc>
        <w:tc>
          <w:tcPr>
            <w:tcW w:type="dxa" w:w="2381"/>
          </w:tcPr>
          <w:p>
            <w:r>
              <w:rPr>
                <w:rFonts w:ascii="Times New Roman" w:hAnsi="Times New Roman"/>
                <w:sz w:val="20"/>
              </w:rPr>
              <w:t>MSK established</w:t>
            </w:r>
          </w:p>
        </w:tc>
        <w:tc>
          <w:tcPr>
            <w:tcW w:type="dxa" w:w="2381"/>
          </w:tcPr>
          <w:p>
            <w:r>
              <w:rPr>
                <w:rFonts w:ascii="Times New Roman" w:hAnsi="Times New Roman"/>
                <w:sz w:val="20"/>
              </w:rPr>
              <w:t>Pass</w:t>
            </w:r>
          </w:p>
        </w:tc>
      </w:tr>
      <w:tr>
        <w:tc>
          <w:tcPr>
            <w:tcW w:type="dxa" w:w="2381"/>
          </w:tcPr>
          <w:p>
            <w:r>
              <w:rPr>
                <w:rFonts w:ascii="Times New Roman" w:hAnsi="Times New Roman"/>
                <w:sz w:val="20"/>
              </w:rPr>
              <w:t>Invalid client signature</w:t>
            </w:r>
          </w:p>
        </w:tc>
        <w:tc>
          <w:tcPr>
            <w:tcW w:type="dxa" w:w="2381"/>
          </w:tcPr>
          <w:p>
            <w:r>
              <w:rPr>
                <w:rFonts w:ascii="Times New Roman" w:hAnsi="Times New Roman"/>
                <w:sz w:val="20"/>
              </w:rPr>
              <w:t>Reject at server</w:t>
            </w:r>
          </w:p>
        </w:tc>
        <w:tc>
          <w:tcPr>
            <w:tcW w:type="dxa" w:w="2381"/>
          </w:tcPr>
          <w:p>
            <w:r>
              <w:rPr>
                <w:rFonts w:ascii="Times New Roman" w:hAnsi="Times New Roman"/>
                <w:sz w:val="20"/>
              </w:rPr>
              <w:t>Pass</w:t>
            </w:r>
          </w:p>
        </w:tc>
      </w:tr>
      <w:tr>
        <w:tc>
          <w:tcPr>
            <w:tcW w:type="dxa" w:w="2381"/>
          </w:tcPr>
          <w:p>
            <w:r>
              <w:rPr>
                <w:rFonts w:ascii="Times New Roman" w:hAnsi="Times New Roman"/>
                <w:sz w:val="20"/>
              </w:rPr>
              <w:t>Invalid server signature</w:t>
            </w:r>
          </w:p>
        </w:tc>
        <w:tc>
          <w:tcPr>
            <w:tcW w:type="dxa" w:w="2381"/>
          </w:tcPr>
          <w:p>
            <w:r>
              <w:rPr>
                <w:rFonts w:ascii="Times New Roman" w:hAnsi="Times New Roman"/>
                <w:sz w:val="20"/>
              </w:rPr>
              <w:t>Reject at client</w:t>
            </w:r>
          </w:p>
        </w:tc>
        <w:tc>
          <w:tcPr>
            <w:tcW w:type="dxa" w:w="2381"/>
          </w:tcPr>
          <w:p>
            <w:r>
              <w:rPr>
                <w:rFonts w:ascii="Times New Roman" w:hAnsi="Times New Roman"/>
                <w:sz w:val="20"/>
              </w:rPr>
              <w:t>Pass</w:t>
            </w:r>
          </w:p>
        </w:tc>
      </w:tr>
      <w:tr>
        <w:tc>
          <w:tcPr>
            <w:tcW w:type="dxa" w:w="2381"/>
          </w:tcPr>
          <w:p>
            <w:r>
              <w:rPr>
                <w:rFonts w:ascii="Times New Roman" w:hAnsi="Times New Roman"/>
                <w:sz w:val="20"/>
              </w:rPr>
              <w:t>Wrong txn_nonce MAC</w:t>
            </w:r>
          </w:p>
        </w:tc>
        <w:tc>
          <w:tcPr>
            <w:tcW w:type="dxa" w:w="2381"/>
          </w:tcPr>
          <w:p>
            <w:r>
              <w:rPr>
                <w:rFonts w:ascii="Times New Roman" w:hAnsi="Times New Roman"/>
                <w:sz w:val="20"/>
              </w:rPr>
              <w:t>Reject at confirm</w:t>
            </w:r>
          </w:p>
        </w:tc>
        <w:tc>
          <w:tcPr>
            <w:tcW w:type="dxa" w:w="2381"/>
          </w:tcPr>
          <w:p>
            <w:r>
              <w:rPr>
                <w:rFonts w:ascii="Times New Roman" w:hAnsi="Times New Roman"/>
                <w:sz w:val="20"/>
              </w:rPr>
              <w:t>Pass</w:t>
            </w:r>
          </w:p>
        </w:tc>
      </w:tr>
      <w:tr>
        <w:tc>
          <w:tcPr>
            <w:tcW w:type="dxa" w:w="2381"/>
          </w:tcPr>
          <w:p>
            <w:r>
              <w:rPr>
                <w:rFonts w:ascii="Times New Roman" w:hAnsi="Times New Roman"/>
                <w:sz w:val="20"/>
              </w:rPr>
              <w:t>Unregistered client</w:t>
            </w:r>
          </w:p>
        </w:tc>
        <w:tc>
          <w:tcPr>
            <w:tcW w:type="dxa" w:w="2381"/>
          </w:tcPr>
          <w:p>
            <w:r>
              <w:rPr>
                <w:rFonts w:ascii="Times New Roman" w:hAnsi="Times New Roman"/>
                <w:sz w:val="20"/>
              </w:rPr>
              <w:t>HTTP 404 / error</w:t>
            </w:r>
          </w:p>
        </w:tc>
        <w:tc>
          <w:tcPr>
            <w:tcW w:type="dxa" w:w="2381"/>
          </w:tcPr>
          <w:p>
            <w:r>
              <w:rPr>
                <w:rFonts w:ascii="Times New Roman" w:hAnsi="Times New Roman"/>
                <w:sz w:val="20"/>
              </w:rPr>
              <w:t>Pass</w:t>
            </w:r>
          </w:p>
        </w:tc>
      </w:tr>
    </w:tbl>
    <w:p>
      <w:pPr>
        <w:jc w:val="center"/>
      </w:pPr>
      <w:r>
        <w:rPr>
          <w:rFonts w:ascii="Times New Roman" w:hAnsi="Times New Roman"/>
          <w:i/>
          <w:sz w:val="20"/>
        </w:rPr>
        <w:t>Table 4.2: ECC-DTB-AKA prototype test results.</w:t>
      </w:r>
    </w:p>
    <w:p/>
    <w:p>
      <w:pPr>
        <w:pStyle w:val="Heading3"/>
      </w:pPr>
      <w:r>
        <w:t>4.2.5 Key Derivation Implementation Details</w:t>
      </w:r>
    </w:p>
    <w:p>
      <w:pPr>
        <w:ind w:firstLine="567"/>
      </w:pPr>
      <w:r>
        <w:rPr>
          <w:rFonts w:ascii="Times New Roman" w:hAnsi="Times New Roman"/>
          <w:b w:val="0"/>
          <w:sz w:val="22"/>
        </w:rPr>
        <w:t>The HKDF implementation uses cryptography.hazmat.primitives.kdf.hkdf.HKDF with SHA-256 as the hash function. MSK derivation concatenates device_fp, nonce_c, and nonce_s as salt with info string 'ECC-DTB-AKA-v1'. TBK derivation uses txn_nonce as salt with info string 'TBK'. These domain-separated info strings prevent cross-protocol key reuse if additional derivation functions are added.</w:t>
      </w:r>
    </w:p>
    <w:p>
      <w:pPr>
        <w:pStyle w:val="Heading2"/>
      </w:pPr>
      <w:r>
        <w:t>4.3 Programmatic Implementation of ECC-HISE (Chapter 3)</w:t>
      </w:r>
    </w:p>
    <w:p>
      <w:pPr>
        <w:ind w:firstLine="567"/>
      </w:pPr>
      <w:r>
        <w:rPr>
          <w:rFonts w:ascii="Times New Roman" w:hAnsi="Times New Roman"/>
          <w:b w:val="0"/>
          <w:sz w:val="22"/>
        </w:rPr>
        <w:t>This section describes the software implementation of ECC-HISE for server-server batch data protection, including envelope construction, Merkle audit chain, and settlement API.</w:t>
      </w:r>
    </w:p>
    <w:p>
      <w:pPr>
        <w:pStyle w:val="Heading3"/>
      </w:pPr>
      <w:r>
        <w:t>4.3.1 Module Structure</w:t>
      </w:r>
    </w:p>
    <w:p>
      <w:pPr>
        <w:ind w:firstLine="567"/>
      </w:pPr>
      <w:r>
        <w:rPr>
          <w:rFonts w:ascii="Times New Roman" w:hAnsi="Times New Roman"/>
          <w:b w:val="0"/>
          <w:sz w:val="22"/>
        </w:rPr>
        <w:t>The ECC-HISE implementation resides in prototype/ecc_hise/ with modules: hierarchy.py — KeyHierarchy class for MK → DK → SK_batch derivation; merkle.py — merkle_root(), merkle_proof(), verify_merkle_proof(); envelope.py — ECC_HISE_Sender, ECC_HISE_Receiver, SecureBatch dataclass; demo.py — standalone batch demonstration.</w:t>
      </w:r>
    </w:p>
    <w:p>
      <w:pPr>
        <w:jc w:val="center"/>
      </w:pPr>
      <w:r>
        <w:drawing>
          <wp:inline xmlns:a="http://schemas.openxmlformats.org/drawingml/2006/main" xmlns:pic="http://schemas.openxmlformats.org/drawingml/2006/picture">
            <wp:extent cx="5040000" cy="2127273"/>
            <wp:docPr id="4" name="Picture 4"/>
            <wp:cNvGraphicFramePr>
              <a:graphicFrameLocks noChangeAspect="1"/>
            </wp:cNvGraphicFramePr>
            <a:graphic>
              <a:graphicData uri="http://schemas.openxmlformats.org/drawingml/2006/picture">
                <pic:pic>
                  <pic:nvPicPr>
                    <pic:cNvPr id="0" name="fig_4_4_hise_modules.png"/>
                    <pic:cNvPicPr/>
                  </pic:nvPicPr>
                  <pic:blipFill>
                    <a:blip r:embed="rId12"/>
                    <a:stretch>
                      <a:fillRect/>
                    </a:stretch>
                  </pic:blipFill>
                  <pic:spPr>
                    <a:xfrm>
                      <a:off x="0" y="0"/>
                      <a:ext cx="5040000" cy="2127273"/>
                    </a:xfrm>
                    <a:prstGeom prst="rect"/>
                  </pic:spPr>
                </pic:pic>
              </a:graphicData>
            </a:graphic>
          </wp:inline>
        </w:drawing>
      </w:r>
    </w:p>
    <w:p>
      <w:pPr>
        <w:jc w:val="center"/>
      </w:pPr>
      <w:r>
        <w:rPr>
          <w:rFonts w:ascii="Times New Roman" w:hAnsi="Times New Roman"/>
          <w:i/>
          <w:sz w:val="20"/>
        </w:rPr>
        <w:t>ECC-HISE software module diagram (Figure 4.4).</w:t>
      </w:r>
    </w:p>
    <w:p>
      <w:pPr>
        <w:pStyle w:val="Heading3"/>
      </w:pPr>
      <w:r>
        <w:t>4.3.2 Envelope Construction and Verification</w:t>
      </w:r>
    </w:p>
    <w:p>
      <w:pPr>
        <w:ind w:firstLine="567"/>
      </w:pPr>
      <w:r>
        <w:rPr>
          <w:rFonts w:ascii="Times New Roman" w:hAnsi="Times New Roman"/>
          <w:b w:val="0"/>
          <w:sz w:val="22"/>
        </w:rPr>
        <w:t>ECC_HISE_Sender.build_batch() accepts a list of record byte strings, batch_id, and domain_id. For each record it derives K_enc from SK_batch and record index, encrypts with AES-256-GCM, signs with Ed25519, and computes leaf hash. Merkle root is computed over all leaves and signed in the batch header.</w:t>
      </w:r>
    </w:p>
    <w:p>
      <w:pPr>
        <w:ind w:firstLine="567"/>
      </w:pPr>
      <w:r>
        <w:rPr>
          <w:rFonts w:ascii="Times New Roman" w:hAnsi="Times New Roman"/>
          <w:b w:val="0"/>
          <w:sz w:val="22"/>
        </w:rPr>
        <w:t>ECC_HISE_Receiver.verify_and_decrypt() validates header signature, Merkle root consistency, per-record signatures, and GCM authentication tags before returning plaintext records. Merkle inclusion proofs are verified for each record during decryption to demonstrate audit capability.</w:t>
      </w:r>
    </w:p>
    <w:p>
      <w:pPr>
        <w:pStyle w:val="Heading3"/>
      </w:pPr>
      <w:r>
        <w:t>4.3.3 Settlement API Integration</w:t>
      </w:r>
    </w:p>
    <w:p>
      <w:pPr>
        <w:ind w:firstLine="567"/>
      </w:pPr>
      <w:r>
        <w:rPr>
          <w:rFonts w:ascii="Times New Roman" w:hAnsi="Times New Roman"/>
          <w:b w:val="0"/>
          <w:sz w:val="22"/>
        </w:rPr>
        <w:t>POST /settlement/submit-batch accepts batch_id, domain_id, and list of record strings. The endpoint constructs an ECC-HISE envelope, verifies it internally (sender/receiver simulation), and returns merkle_root, record_count, total_bytes, and verified status. In production, sender and receiver would be separate services; the prototype validates cryptographic correctness within a single process for demonstration.</w:t>
      </w:r>
    </w:p>
    <w:p>
      <w:pPr>
        <w:pStyle w:val="Heading3"/>
      </w:pPr>
      <w:r>
        <w:t>4.3.4 Test Results and Performance</w:t>
      </w:r>
    </w:p>
    <w:p>
      <w:pPr>
        <w:ind w:firstLine="567"/>
      </w:pPr>
      <w:r>
        <w:rPr>
          <w:rFonts w:ascii="Times New Roman" w:hAnsi="Times New Roman"/>
          <w:b w:val="0"/>
          <w:sz w:val="22"/>
        </w:rPr>
        <w:t>Benchmark results for 100-record batches (Chapter 3, n=50): mean processing latency 23.32 ms, mean envelope size 37823 bytes. Integration demo processes 3-record batch with verified Merkle root. Tampering tests (modified ciphertext, wrong Merkle root, invalid signature) correctly raise verification errors.</w:t>
      </w:r>
    </w:p>
    <w:tbl>
      <w:tblPr>
        <w:tblStyle w:val="TableGrid"/>
        <w:tblW w:type="auto" w:w="0"/>
        <w:tblLook w:firstColumn="1" w:firstRow="1" w:lastColumn="0" w:lastRow="0" w:noHBand="0" w:noVBand="1" w:val="04A0"/>
      </w:tblPr>
      <w:tblGrid>
        <w:gridCol w:w="2381"/>
        <w:gridCol w:w="2381"/>
        <w:gridCol w:w="2381"/>
      </w:tblGrid>
      <w:tr>
        <w:tc>
          <w:tcPr>
            <w:tcW w:type="dxa" w:w="2381"/>
          </w:tcPr>
          <w:p>
            <w:r>
              <w:rPr>
                <w:rFonts w:ascii="Times New Roman" w:hAnsi="Times New Roman"/>
                <w:b/>
                <w:sz w:val="20"/>
              </w:rPr>
              <w:t>Test Case</w:t>
            </w:r>
          </w:p>
        </w:tc>
        <w:tc>
          <w:tcPr>
            <w:tcW w:type="dxa" w:w="2381"/>
          </w:tcPr>
          <w:p>
            <w:r>
              <w:rPr>
                <w:rFonts w:ascii="Times New Roman" w:hAnsi="Times New Roman"/>
                <w:b/>
                <w:sz w:val="20"/>
              </w:rPr>
              <w:t>Expected</w:t>
            </w:r>
          </w:p>
        </w:tc>
        <w:tc>
          <w:tcPr>
            <w:tcW w:type="dxa" w:w="2381"/>
          </w:tcPr>
          <w:p>
            <w:r>
              <w:rPr>
                <w:rFonts w:ascii="Times New Roman" w:hAnsi="Times New Roman"/>
                <w:b/>
                <w:sz w:val="20"/>
              </w:rPr>
              <w:t>Result</w:t>
            </w:r>
          </w:p>
        </w:tc>
      </w:tr>
      <w:tr>
        <w:tc>
          <w:tcPr>
            <w:tcW w:type="dxa" w:w="2381"/>
          </w:tcPr>
          <w:p>
            <w:r>
              <w:rPr>
                <w:rFonts w:ascii="Times New Roman" w:hAnsi="Times New Roman"/>
                <w:sz w:val="20"/>
              </w:rPr>
              <w:t>Valid batch encrypt/decrypt</w:t>
            </w:r>
          </w:p>
        </w:tc>
        <w:tc>
          <w:tcPr>
            <w:tcW w:type="dxa" w:w="2381"/>
          </w:tcPr>
          <w:p>
            <w:r>
              <w:rPr>
                <w:rFonts w:ascii="Times New Roman" w:hAnsi="Times New Roman"/>
                <w:sz w:val="20"/>
              </w:rPr>
              <w:t>Records match</w:t>
            </w:r>
          </w:p>
        </w:tc>
        <w:tc>
          <w:tcPr>
            <w:tcW w:type="dxa" w:w="2381"/>
          </w:tcPr>
          <w:p>
            <w:r>
              <w:rPr>
                <w:rFonts w:ascii="Times New Roman" w:hAnsi="Times New Roman"/>
                <w:sz w:val="20"/>
              </w:rPr>
              <w:t>Pass</w:t>
            </w:r>
          </w:p>
        </w:tc>
      </w:tr>
      <w:tr>
        <w:tc>
          <w:tcPr>
            <w:tcW w:type="dxa" w:w="2381"/>
          </w:tcPr>
          <w:p>
            <w:r>
              <w:rPr>
                <w:rFonts w:ascii="Times New Roman" w:hAnsi="Times New Roman"/>
                <w:sz w:val="20"/>
              </w:rPr>
              <w:t>Tampered ciphertext</w:t>
            </w:r>
          </w:p>
        </w:tc>
        <w:tc>
          <w:tcPr>
            <w:tcW w:type="dxa" w:w="2381"/>
          </w:tcPr>
          <w:p>
            <w:r>
              <w:rPr>
                <w:rFonts w:ascii="Times New Roman" w:hAnsi="Times New Roman"/>
                <w:sz w:val="20"/>
              </w:rPr>
              <w:t>GCM / sig failure</w:t>
            </w:r>
          </w:p>
        </w:tc>
        <w:tc>
          <w:tcPr>
            <w:tcW w:type="dxa" w:w="2381"/>
          </w:tcPr>
          <w:p>
            <w:r>
              <w:rPr>
                <w:rFonts w:ascii="Times New Roman" w:hAnsi="Times New Roman"/>
                <w:sz w:val="20"/>
              </w:rPr>
              <w:t>Pass</w:t>
            </w:r>
          </w:p>
        </w:tc>
      </w:tr>
      <w:tr>
        <w:tc>
          <w:tcPr>
            <w:tcW w:type="dxa" w:w="2381"/>
          </w:tcPr>
          <w:p>
            <w:r>
              <w:rPr>
                <w:rFonts w:ascii="Times New Roman" w:hAnsi="Times New Roman"/>
                <w:sz w:val="20"/>
              </w:rPr>
              <w:t>Wrong Merkle root</w:t>
            </w:r>
          </w:p>
        </w:tc>
        <w:tc>
          <w:tcPr>
            <w:tcW w:type="dxa" w:w="2381"/>
          </w:tcPr>
          <w:p>
            <w:r>
              <w:rPr>
                <w:rFonts w:ascii="Times New Roman" w:hAnsi="Times New Roman"/>
                <w:sz w:val="20"/>
              </w:rPr>
              <w:t>Root mismatch error</w:t>
            </w:r>
          </w:p>
        </w:tc>
        <w:tc>
          <w:tcPr>
            <w:tcW w:type="dxa" w:w="2381"/>
          </w:tcPr>
          <w:p>
            <w:r>
              <w:rPr>
                <w:rFonts w:ascii="Times New Roman" w:hAnsi="Times New Roman"/>
                <w:sz w:val="20"/>
              </w:rPr>
              <w:t>Pass</w:t>
            </w:r>
          </w:p>
        </w:tc>
      </w:tr>
      <w:tr>
        <w:tc>
          <w:tcPr>
            <w:tcW w:type="dxa" w:w="2381"/>
          </w:tcPr>
          <w:p>
            <w:r>
              <w:rPr>
                <w:rFonts w:ascii="Times New Roman" w:hAnsi="Times New Roman"/>
                <w:sz w:val="20"/>
              </w:rPr>
              <w:t>Merkle proof verify</w:t>
            </w:r>
          </w:p>
        </w:tc>
        <w:tc>
          <w:tcPr>
            <w:tcW w:type="dxa" w:w="2381"/>
          </w:tcPr>
          <w:p>
            <w:r>
              <w:rPr>
                <w:rFonts w:ascii="Times New Roman" w:hAnsi="Times New Roman"/>
                <w:sz w:val="20"/>
              </w:rPr>
              <w:t>Inclusion confirmed</w:t>
            </w:r>
          </w:p>
        </w:tc>
        <w:tc>
          <w:tcPr>
            <w:tcW w:type="dxa" w:w="2381"/>
          </w:tcPr>
          <w:p>
            <w:r>
              <w:rPr>
                <w:rFonts w:ascii="Times New Roman" w:hAnsi="Times New Roman"/>
                <w:sz w:val="20"/>
              </w:rPr>
              <w:t>Pass</w:t>
            </w:r>
          </w:p>
        </w:tc>
      </w:tr>
      <w:tr>
        <w:tc>
          <w:tcPr>
            <w:tcW w:type="dxa" w:w="2381"/>
          </w:tcPr>
          <w:p>
            <w:r>
              <w:rPr>
                <w:rFonts w:ascii="Times New Roman" w:hAnsi="Times New Roman"/>
                <w:sz w:val="20"/>
              </w:rPr>
              <w:t>100-record benchmark</w:t>
            </w:r>
          </w:p>
        </w:tc>
        <w:tc>
          <w:tcPr>
            <w:tcW w:type="dxa" w:w="2381"/>
          </w:tcPr>
          <w:p>
            <w:r>
              <w:rPr>
                <w:rFonts w:ascii="Times New Roman" w:hAnsi="Times New Roman"/>
                <w:sz w:val="20"/>
              </w:rPr>
              <w:t>&lt; 30s latency</w:t>
            </w:r>
          </w:p>
        </w:tc>
        <w:tc>
          <w:tcPr>
            <w:tcW w:type="dxa" w:w="2381"/>
          </w:tcPr>
          <w:p>
            <w:r>
              <w:rPr>
                <w:rFonts w:ascii="Times New Roman" w:hAnsi="Times New Roman"/>
                <w:sz w:val="20"/>
              </w:rPr>
              <w:t>Pass</w:t>
            </w:r>
          </w:p>
        </w:tc>
      </w:tr>
    </w:tbl>
    <w:p>
      <w:pPr>
        <w:jc w:val="center"/>
      </w:pPr>
      <w:r>
        <w:rPr>
          <w:rFonts w:ascii="Times New Roman" w:hAnsi="Times New Roman"/>
          <w:i/>
          <w:sz w:val="20"/>
        </w:rPr>
        <w:t>Table 4.3: ECC-HISE prototype test results.</w:t>
      </w:r>
    </w:p>
    <w:p/>
    <w:p>
      <w:pPr>
        <w:pStyle w:val="Heading3"/>
      </w:pPr>
      <w:r>
        <w:t>4.3.5 Merkle Tree Implementation</w:t>
      </w:r>
    </w:p>
    <w:p>
      <w:pPr>
        <w:ind w:firstLine="567"/>
      </w:pPr>
      <w:r>
        <w:rPr>
          <w:rFonts w:ascii="Times New Roman" w:hAnsi="Times New Roman"/>
          <w:b w:val="0"/>
          <w:sz w:val="22"/>
        </w:rPr>
        <w:t>The Merkle tree implementation (merkle.py) uses SHA-256 for internal nodes. Odd-length layers duplicate the last node (Bitcoin-style) to ensure deterministic root computation. Proof generation handles odd-layer promotion with self-pairing. Verification reconstructs the path from leaf to root in O(log n) hashes. For n=100 records, proof length is 7 hashes (224 bytes), enabling compact audit evidence.</w:t>
      </w:r>
    </w:p>
    <w:p>
      <w:pPr>
        <w:pStyle w:val="Heading2"/>
      </w:pPr>
      <w:r>
        <w:t>4.4 Integrated System Demonstration</w:t>
      </w:r>
    </w:p>
    <w:p>
      <w:pPr>
        <w:ind w:firstLine="567"/>
      </w:pPr>
      <w:r>
        <w:rPr>
          <w:rFonts w:ascii="Times New Roman" w:hAnsi="Times New Roman"/>
          <w:b w:val="0"/>
          <w:sz w:val="22"/>
        </w:rPr>
        <w:t>The integrated demonstration (prototype/api/demo_integration.py) executes a complete e-banking security workflow: device registration, ECC-DTB-AKA authentication handshake with transaction nonce, and ECC-HISE settlement batch submission with Merkle verification. This end-to-end test validates that both schemes operate correctly within a unified API framework and can be invoked sequentially in a realistic transaction lifecycle.</w:t>
      </w:r>
    </w:p>
    <w:p>
      <w:pPr>
        <w:pStyle w:val="Heading3"/>
      </w:pPr>
      <w:r>
        <w:t>4.4.1 Deployment Considerations</w:t>
      </w:r>
    </w:p>
    <w:p>
      <w:pPr>
        <w:ind w:firstLine="567"/>
      </w:pPr>
      <w:r>
        <w:rPr>
          <w:rFonts w:ascii="Times New Roman" w:hAnsi="Times New Roman"/>
          <w:b w:val="0"/>
          <w:sz w:val="22"/>
        </w:rPr>
        <w:t>Production deployment recommendations: (1) Store MK in HSM; never persist in application memory beyond derivation operations. (2) Deploy auth and settlement services in separate network segments with mTLS. (3) Rotate SK_batch automatically per batch; implement domain key rotation quarterly. (4) Persist audit logs (batch_id, Root, timestamp) to WORM storage. (5) Rate-limit handshake endpoints to prevent DoS.</w:t>
      </w:r>
    </w:p>
    <w:p>
      <w:pPr>
        <w:jc w:val="center"/>
      </w:pPr>
      <w:r>
        <w:drawing>
          <wp:inline xmlns:a="http://schemas.openxmlformats.org/drawingml/2006/main" xmlns:pic="http://schemas.openxmlformats.org/drawingml/2006/picture">
            <wp:extent cx="5040000" cy="2490909"/>
            <wp:docPr id="5" name="Picture 5"/>
            <wp:cNvGraphicFramePr>
              <a:graphicFrameLocks noChangeAspect="1"/>
            </wp:cNvGraphicFramePr>
            <a:graphic>
              <a:graphicData uri="http://schemas.openxmlformats.org/drawingml/2006/picture">
                <pic:pic>
                  <pic:nvPicPr>
                    <pic:cNvPr id="0" name="fig_4_5_deployment.png"/>
                    <pic:cNvPicPr/>
                  </pic:nvPicPr>
                  <pic:blipFill>
                    <a:blip r:embed="rId13"/>
                    <a:stretch>
                      <a:fillRect/>
                    </a:stretch>
                  </pic:blipFill>
                  <pic:spPr>
                    <a:xfrm>
                      <a:off x="0" y="0"/>
                      <a:ext cx="5040000" cy="2490909"/>
                    </a:xfrm>
                    <a:prstGeom prst="rect"/>
                  </pic:spPr>
                </pic:pic>
              </a:graphicData>
            </a:graphic>
          </wp:inline>
        </w:drawing>
      </w:r>
    </w:p>
    <w:p>
      <w:pPr>
        <w:jc w:val="center"/>
      </w:pPr>
      <w:r>
        <w:rPr>
          <w:rFonts w:ascii="Times New Roman" w:hAnsi="Times New Roman"/>
          <w:i/>
          <w:sz w:val="20"/>
        </w:rPr>
        <w:t>Deployment topology for prototype services (Figure 4.5).</w:t>
      </w:r>
    </w:p>
    <w:p>
      <w:pPr>
        <w:pStyle w:val="Heading3"/>
      </w:pPr>
      <w:r>
        <w:t>4.4.2 Limitations of the Prototype</w:t>
      </w:r>
    </w:p>
    <w:p>
      <w:pPr>
        <w:ind w:firstLine="567"/>
      </w:pPr>
      <w:r>
        <w:rPr>
          <w:rFonts w:ascii="Times New Roman" w:hAnsi="Times New Roman"/>
          <w:b w:val="0"/>
          <w:sz w:val="22"/>
        </w:rPr>
        <w:t>The prototype uses software-based key storage rather than HSM integration. Certificate management is simplified (server public key substituted for full X.509 chain). The settlement API performs sender and receiver verification in-process rather than across network boundaries. Persistent storage uses in-memory dictionaries. These simplifications do not affect the cryptographic correctness of the schemes but must be addressed before production deployment. Formal security proofs remain proof sketches as noted in Chapter 2.</w:t>
      </w:r>
    </w:p>
    <w:p>
      <w:pPr>
        <w:pStyle w:val="Heading2"/>
      </w:pPr>
      <w:r>
        <w:t>4.5 Chapter Summary</w:t>
      </w:r>
    </w:p>
    <w:p>
      <w:pPr>
        <w:ind w:firstLine="567"/>
      </w:pPr>
      <w:r>
        <w:rPr>
          <w:rFonts w:ascii="Times New Roman" w:hAnsi="Times New Roman"/>
          <w:b w:val="0"/>
          <w:sz w:val="22"/>
        </w:rPr>
        <w:t>This chapter presented the security system architecture and programmatic implementation of ECC-DTB-AKA and ECC-HISE in a unified e-financial service prototype. Section 4.1 defined four architectural tiers and component interactions. Sections 4.2 and 4.3 detailed module structure, API design, and test results for each scheme. Section 4.4 demonstrated end-to-end integration. Chapter 5 evaluates both schemes comprehensively, reviews prior work, and analyzes effectiveness against the attack mechanisms cataloged in Chapter 1.</w:t>
      </w:r>
    </w:p>
    <w:sectPr w:rsidR="00FC693F" w:rsidRPr="0006063C" w:rsidSect="00034616">
      <w:pgSz w:w="9978" w:h="14173"/>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