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A Dual-Layer ECC Methodology for Client-Server Authentication</w:t>
        <w:br/>
        <w:t>and Server-Server Data Protection in Electronic Finance Systems</w:t>
      </w:r>
    </w:p>
    <w:p>
      <w:pPr>
        <w:jc w:val="center"/>
      </w:pPr>
      <w:r>
        <w:rPr>
          <w:rFonts w:ascii="Times New Roman" w:hAnsi="Times New Roman"/>
          <w:sz w:val="24"/>
        </w:rPr>
        <w:t>PhD Dissertation in Information Security</w:t>
      </w:r>
    </w:p>
    <w:p/>
    <w:p/>
    <w:p/>
    <w:p/>
    <w:p/>
    <w:p/>
    <w:p/>
    <w:p/>
    <w:p>
      <w:pPr>
        <w:jc w:val="center"/>
      </w:pPr>
      <w:r>
        <w:rPr>
          <w:rFonts w:ascii="Times New Roman" w:hAnsi="Times New Roman"/>
          <w:sz w:val="24"/>
        </w:rPr>
        <w:t>Submitted in partial fulfillment of the requirements</w:t>
        <w:br/>
        <w:t>for the degree of Doctor of Philosophy</w:t>
      </w:r>
    </w:p>
    <w:p>
      <w:r>
        <w:br w:type="page"/>
      </w:r>
    </w:p>
    <w:p>
      <w:pPr>
        <w:pStyle w:val="Heading1"/>
      </w:pPr>
      <w:r>
        <w:t>Abstract</w:t>
      </w:r>
    </w:p>
    <w:p>
      <w:pPr>
        <w:ind w:firstLine="567"/>
      </w:pPr>
      <w:r>
        <w:rPr>
          <w:rFonts w:ascii="Times New Roman" w:hAnsi="Times New Roman"/>
          <w:b w:val="0"/>
          <w:sz w:val="22"/>
        </w:rPr>
        <w:t>This dissertation investigates information security challenges in electronic banking and electronic finance service systems, with particular emphasis on authentication, key exchange, data encryption, and integrity protection. A comprehensive analysis of contemporary attack mechanisms—including phishing, man-in-the-middle attacks, replay attacks, session hijacking, credential stuffing, and insider threats—establishes the threat landscape and identifies critical limitations in existing security mechanisms. Two novel elliptic curve cryptography (ECC) based schemes are proposed: ECC-DTB-AKA (Device- and Transaction-Bound Authenticated Key Agreement) for client-server channels, and ECC-HISE (Hierarchical Integrity-preserving Secure Envelope) for server-server batch data transfer. Both schemes are formally analyzed, quantitatively evaluated against established baselines, and implemented in a working software prototype. Experimental results demonstrate that ECC-DTB-AKA achieves mutual authentication in three communication rounds with device and transaction binding, while ECC-HISE provides hierarchical key management with Merkle-tree audit chains enabling efficient batch integrity verification. The dissertation contributes original methodologies, algorithms, and implementation artifacts that advance the state of the art in e-banking cryptographic security.</w:t>
      </w:r>
    </w:p>
    <w:p>
      <w:r>
        <w:br w:type="page"/>
      </w:r>
    </w:p>
    <w:p>
      <w:pPr>
        <w:pStyle w:val="Heading1"/>
      </w:pPr>
      <w:r>
        <w:t>Preface</w:t>
      </w:r>
    </w:p>
    <w:p>
      <w:pPr>
        <w:pStyle w:val="Heading2"/>
      </w:pPr>
      <w:r>
        <w:t>Background and Motivation</w:t>
      </w:r>
    </w:p>
    <w:p>
      <w:pPr>
        <w:ind w:firstLine="567"/>
      </w:pPr>
      <w:r>
        <w:rPr>
          <w:rFonts w:ascii="Times New Roman" w:hAnsi="Times New Roman"/>
          <w:b w:val="0"/>
          <w:sz w:val="22"/>
        </w:rPr>
        <w:t>Electronic banking and electronic finance service systems have undergone a profound transformation over the past three decades. What began in the 1980s as rudimentary home-banking terminals connected via dial-up modems has evolved into a globally interconnected ecosystem comprising mobile banking applications, real-time payment rails, open-banking APIs, cryptocurrency custody services, and algorithmic trading platforms. According to industry reports, more than three billion individuals worldwide now access financial services through digital channels, and the volume of electronic payment transactions exceeds one trillion events annually. This digitization has delivered unprecedented convenience, financial inclusion, and operational efficiency, yet it has simultaneously expanded the attack surface available to adversaries ranging from opportunistic cybercriminals to sophisticated nation-state actors.</w:t>
      </w:r>
    </w:p>
    <w:p>
      <w:pPr>
        <w:ind w:firstLine="567"/>
      </w:pPr>
      <w:r>
        <w:rPr>
          <w:rFonts w:ascii="Times New Roman" w:hAnsi="Times New Roman"/>
          <w:b w:val="0"/>
          <w:sz w:val="22"/>
        </w:rPr>
        <w:t>The security of e-banking and e-finance systems is not merely a technical concern; it is a foundational requirement for economic stability and public trust. A single successful breach can result in direct financial losses measured in hundreds of millions of dollars, regulatory penalties, reputational damage that persists for years, and erosion of confidence in the broader financial system. High-profile incidents—including the 2016 Bangladesh Bank heist involving fraudulent SWIFT messages, the 2017 Equifax data breach affecting 147 million consumers, and numerous credential-stuffing campaigns targeting retail banking portals—demonstrate that existing security architectures, despite decades of investment, remain vulnerable to both novel and well-known attack vectors.</w:t>
      </w:r>
    </w:p>
    <w:p>
      <w:pPr>
        <w:ind w:firstLine="567"/>
      </w:pPr>
      <w:r>
        <w:rPr>
          <w:rFonts w:ascii="Times New Roman" w:hAnsi="Times New Roman"/>
          <w:b w:val="0"/>
          <w:sz w:val="22"/>
        </w:rPr>
        <w:t>Cryptography serves as the bedrock upon which e-banking security is built. From the SSL/TLS protocols that protect data in transit, to the EMV chip-and-PIN standards governing card present transactions, to the hardware security modules (HSMs) safeguarding root keys in data centers, cryptographic mechanisms are deeply embedded in every layer of the financial technology stack. Among the cryptographic primitives available today, elliptic curve cryptography (ECC) has emerged as the dominant choice for new deployments due to its favorable security-to-key-size ratio: a 256-bit elliptic curve key provides security comparable to a 3072-bit RSA key, resulting in lower computational overhead, reduced bandwidth consumption, and improved performance on resource-constrained devices such as smartphones and IoT terminals.</w:t>
      </w:r>
    </w:p>
    <w:p>
      <w:pPr>
        <w:ind w:firstLine="567"/>
      </w:pPr>
      <w:r>
        <w:rPr>
          <w:rFonts w:ascii="Times New Roman" w:hAnsi="Times New Roman"/>
          <w:b w:val="0"/>
          <w:sz w:val="22"/>
        </w:rPr>
        <w:t>This dissertation addresses a critical gap at the intersection of ECC-based authentication, key exchange, and data protection in e-banking environments. While substantial prior research has investigated individual aspects of financial system security—ranging from multi-factor authentication protocols to blockchain-based audit trails—few works have proposed integrated methodologies that simultaneously strengthen client-server authentication channels and server-server data-transfer channels using coherent ECC-based designs, accompanied by rigorous analysis, quantitative evaluation, and practical implementation. The research presented herein aims to fill this gap by proposing, analyzing, implementing, and evaluating two novel schemes: ECC-DTB-AKA (Device- and Transaction-Bound Authenticated Key Agreement) and ECC-HISE (Hierarchical Integrity-preserving Secure Envelope).</w:t>
      </w:r>
    </w:p>
    <w:p>
      <w:pPr>
        <w:pStyle w:val="Heading2"/>
      </w:pPr>
      <w:r>
        <w:t>Development and Future Prospects of E-Banking and E-Finance</w:t>
      </w:r>
    </w:p>
    <w:p>
      <w:pPr>
        <w:ind w:firstLine="567"/>
      </w:pPr>
      <w:r>
        <w:rPr>
          <w:rFonts w:ascii="Times New Roman" w:hAnsi="Times New Roman"/>
          <w:b w:val="0"/>
          <w:sz w:val="22"/>
        </w:rPr>
        <w:t>The historical trajectory of electronic banking can be divided into four distinct generations. The first generation (1980s–1990s) featured proprietary dial-up systems with limited functionality, primarily balance inquiry and fund transfers between accounts at the same institution. The second generation (late 1990s–2000s) coincided with the commercialization of the World Wide Web, giving rise to internet banking portals protected by SSL/TLS and username-password authentication. The third generation (2010s) was driven by smartphone adoption, introducing mobile banking applications, biometric authentication, push notifications for transaction verification, and near-field communication (NFC) payments. We are now entering the fourth generation, characterized by open banking regulations (such as the European PSD2 directive and similar frameworks in the United Kingdom, Australia, and Brazil), real-time gross settlement (RTGS) systems operating 24/7, central bank digital currencies (CBDCs), and decentralized finance (DeFi) protocols that challenge traditional intermediation models.</w:t>
      </w:r>
    </w:p>
    <w:p>
      <w:pPr>
        <w:ind w:firstLine="567"/>
      </w:pPr>
      <w:r>
        <w:rPr>
          <w:rFonts w:ascii="Times New Roman" w:hAnsi="Times New Roman"/>
          <w:b w:val="0"/>
          <w:sz w:val="22"/>
        </w:rPr>
        <w:t>Several technological trends will shape the future of e-finance services and, by extension, the security requirements that must be satisfied. First, the proliferation of application programming interfaces (APIs) under open-banking mandates creates new client-server and server-server communication patterns in which third-party providers access customer account data and initiate payments on behalf of users. Each API endpoint represents a potential entry point for attackers, necessitating robust authentication and fine-grained authorization mechanisms. Second, the migration of banking workloads to cloud infrastructure introduces shared-responsibility security models in which traditional network perimeters dissolve and identity becomes the primary security boundary. Third, the increasing use of artificial intelligence and machine learning in fraud detection, credit scoring, and customer service creates new categories of adversarial attacks, including model poisoning and inference attacks on sensitive training data.</w:t>
      </w:r>
    </w:p>
    <w:p>
      <w:pPr>
        <w:ind w:firstLine="567"/>
      </w:pPr>
      <w:r>
        <w:rPr>
          <w:rFonts w:ascii="Times New Roman" w:hAnsi="Times New Roman"/>
          <w:b w:val="0"/>
          <w:sz w:val="22"/>
        </w:rPr>
        <w:t>Quantum computing poses a longer-term but strategically significant threat to current cryptographic infrastructure. Although cryptographically relevant quantum computers have not yet materialized, financial institutions with multi-decade data confidentiality requirements must begin planning for post-quantum migration. The U.S. National Institute of Standards and Technology (NIST) has standardized post-quantum algorithms (ML-KEM, ML-DSA, SLH-DSA), and regulatory bodies are expected to issue timelines for transition. The ECC-based schemes proposed in this dissertation are designed with algorithm agility in mind, enabling future replacement of specific primitives without altering the overall protocol architecture.</w:t>
      </w:r>
    </w:p>
    <w:p>
      <w:pPr>
        <w:ind w:firstLine="567"/>
      </w:pPr>
      <w:r>
        <w:rPr>
          <w:rFonts w:ascii="Times New Roman" w:hAnsi="Times New Roman"/>
          <w:b w:val="0"/>
          <w:sz w:val="22"/>
        </w:rPr>
        <w:t>Looking ahead, e-finance service systems will likely converge toward a hybrid architecture combining centralized trust anchors (banks, clearing houses, regulators) with distributed ledger technologies for settlement and audit. Security systems must evolve to protect not only traditional account-based transactions but also tokenized assets, smart-contract interactions, and cross-border payment corridors operating across heterogeneous regulatory jurisdictions. The methodologies developed in this thesis provide a foundation that can be extended to these emerging paradigms.</w:t>
      </w:r>
    </w:p>
    <w:p>
      <w:pPr>
        <w:pStyle w:val="Heading2"/>
      </w:pPr>
      <w:r>
        <w:t>The Importance of Security Systems in E-Banking and E-Finance</w:t>
      </w:r>
    </w:p>
    <w:p>
      <w:pPr>
        <w:ind w:firstLine="567"/>
      </w:pPr>
      <w:r>
        <w:rPr>
          <w:rFonts w:ascii="Times New Roman" w:hAnsi="Times New Roman"/>
          <w:b w:val="0"/>
          <w:sz w:val="22"/>
        </w:rPr>
        <w:t>Information security in electronic finance is commonly analyzed through the CIA triad (Confidentiality, Integrity, Availability) supplemented by authenticity, non-repudiation, and accountability. Each property carries particular significance in the banking domain.</w:t>
      </w:r>
    </w:p>
    <w:p>
      <w:pPr>
        <w:ind w:firstLine="567"/>
      </w:pPr>
      <w:r>
        <w:rPr>
          <w:rFonts w:ascii="Times New Roman" w:hAnsi="Times New Roman"/>
          <w:b w:val="0"/>
          <w:sz w:val="22"/>
        </w:rPr>
        <w:t>Confidentiality ensures that sensitive financial data—including account balances, transaction histories, personal identification information, and cryptographic keys—remains accessible only to authorized parties. Breaches of confidentiality can facilitate identity theft, targeted phishing, and insider trading. In e-banking systems, confidentiality must be maintained across multiple states: data at rest (stored in databases and backup systems), data in transit (moving across networks between clients, servers, and partner institutions), and data in use (being processed in memory during transaction authorization).</w:t>
      </w:r>
    </w:p>
    <w:p>
      <w:pPr>
        <w:ind w:firstLine="567"/>
      </w:pPr>
      <w:r>
        <w:rPr>
          <w:rFonts w:ascii="Times New Roman" w:hAnsi="Times New Roman"/>
          <w:b w:val="0"/>
          <w:sz w:val="22"/>
        </w:rPr>
        <w:t>Integrity guarantees that financial records and transaction messages have not been altered without detection. The integrity requirement is especially stringent in inter-bank settlement, where a modification to a single field in a payment instruction can redirect millions of dollars to an attacker-controlled account. Cryptographic mechanisms such as message authentication codes (MACs), digital signatures, and hash chains provide integrity protection, but their effectiveness depends on correct key management and comprehensive coverage of all data paths.</w:t>
      </w:r>
    </w:p>
    <w:p>
      <w:pPr>
        <w:ind w:firstLine="567"/>
      </w:pPr>
      <w:r>
        <w:rPr>
          <w:rFonts w:ascii="Times New Roman" w:hAnsi="Times New Roman"/>
          <w:b w:val="0"/>
          <w:sz w:val="22"/>
        </w:rPr>
        <w:t>Availability ensures that banking services remain accessible to legitimate users when needed. Distributed denial-of-service (DDoS) attacks against banking infrastructure have become increasingly common, with some attacks exceeding one terabit per second in traffic volume. While availability is often treated separately from cryptographic security, the two concerns intersect when authentication protocols are designed to resist resource-exhaustion attacks and when rate-limiting mechanisms must not inadvertently lock out legitimate customers.</w:t>
      </w:r>
    </w:p>
    <w:p>
      <w:pPr>
        <w:ind w:firstLine="567"/>
      </w:pPr>
      <w:r>
        <w:rPr>
          <w:rFonts w:ascii="Times New Roman" w:hAnsi="Times New Roman"/>
          <w:b w:val="0"/>
          <w:sz w:val="22"/>
        </w:rPr>
        <w:t>Authenticity and non-repudiation are particularly critical in financial contexts where disputes over transaction authorization arise frequently. A customer may claim that a wire transfer was unauthorized, while the bank asserts that valid credentials were presented. Strong mutual authentication protocols and digital signatures with long-term verifiability provide evidentiary support in such disputes. Regulatory frameworks including the Payment Card Industry Data Security Standard (PCI DSS), the Sarbanes-Oxley Act, and the General Data Protection Regulation (GDPR) impose legal obligations that translate directly into technical security requirements.</w:t>
      </w:r>
    </w:p>
    <w:p>
      <w:pPr>
        <w:ind w:firstLine="567"/>
      </w:pPr>
      <w:r>
        <w:rPr>
          <w:rFonts w:ascii="Times New Roman" w:hAnsi="Times New Roman"/>
          <w:b w:val="0"/>
          <w:sz w:val="22"/>
        </w:rPr>
        <w:t>The defense-in-depth principle dictates that no single security control should constitute a single point of failure. E-banking systems typically deploy firewalls, intrusion detection systems, security information and event management (SIEM) platforms, multi-factor authentication, encryption, and physical security for data centers in layered combination. However, the cryptographic layer—the focus of this dissertation—remains the ultimate guarantor of confidentiality and integrity when all other layers have been bypassed.</w:t>
      </w:r>
    </w:p>
    <w:p>
      <w:pPr>
        <w:pStyle w:val="Heading2"/>
      </w:pPr>
      <w:r>
        <w:t>Research Objectives and Scope</w:t>
      </w:r>
    </w:p>
    <w:p>
      <w:pPr>
        <w:ind w:firstLine="567"/>
      </w:pPr>
      <w:r>
        <w:rPr>
          <w:rFonts w:ascii="Times New Roman" w:hAnsi="Times New Roman"/>
          <w:b w:val="0"/>
          <w:sz w:val="22"/>
        </w:rPr>
        <w:t>The primary objective of this research is to design, analyze, implement, and evaluate novel ECC-based security schemes that address documented vulnerabilities in contemporary e-banking and e-finance systems. Specifically, the research pursues the following goals:</w:t>
      </w:r>
    </w:p>
    <w:p>
      <w:pPr>
        <w:ind w:firstLine="567"/>
      </w:pPr>
      <w:r>
        <w:rPr>
          <w:rFonts w:ascii="Times New Roman" w:hAnsi="Times New Roman"/>
          <w:b w:val="0"/>
          <w:sz w:val="22"/>
        </w:rPr>
        <w:t>First, to systematically catalog and analyze attack mechanisms currently deployed against e-banking and e-finance services, establishing a threat landscape that motivates the proposed countermeasures (Chapter 1). Second, to propose ECC-DTB-AKA, a device- and transaction-bound authenticated key agreement protocol for client-server channels, and to demonstrate its superiority over existing approaches in terms of security properties, communication efficiency, and computational overhead (Chapter 2). Third, to propose ECC-HISE, a hierarchical integrity-preserving secure envelope scheme for server-server data transfer, addressing limitations in current encryption and audit mechanisms (Chapter 3). Fourth, to implement both schemes in a working software prototype and to describe the security system architecture of an e-financial service system that integrates them (Chapter 4). Fifth, to conduct a comprehensive evaluation including review of prior work, quantitative performance comparison, and analysis of resistance to the attacks identified in Chapter 1 (Chapter 5).</w:t>
      </w:r>
    </w:p>
    <w:p>
      <w:pPr>
        <w:ind w:firstLine="567"/>
      </w:pPr>
      <w:r>
        <w:rPr>
          <w:rFonts w:ascii="Times New Roman" w:hAnsi="Times New Roman"/>
          <w:b w:val="0"/>
          <w:sz w:val="22"/>
        </w:rPr>
        <w:t>The scope of this dissertation is deliberately focused on the cryptographic and protocol layers of e-banking security. Physical security, social engineering, organizational policy, and regulatory compliance are acknowledged as important but are not the primary subject of investigation. The implementation prototype uses software-based key storage rather than hardware security modules, and the formal security proofs are presented as structured proof sketches rather than machine-verified derivations. These limitations are discussed frankly in the conclusions.</w:t>
      </w:r>
    </w:p>
    <w:p>
      <w:pPr>
        <w:pStyle w:val="Heading2"/>
      </w:pPr>
      <w:r>
        <w:t>Summary of Chapters</w:t>
      </w:r>
    </w:p>
    <w:p>
      <w:pPr>
        <w:ind w:firstLine="567"/>
      </w:pPr>
      <w:r>
        <w:rPr>
          <w:rFonts w:ascii="Times New Roman" w:hAnsi="Times New Roman"/>
          <w:b w:val="0"/>
          <w:sz w:val="22"/>
        </w:rPr>
        <w:t>Chapter 1 establishes the foundation of this dissertation by defining and categorizing attack mechanisms currently used against e-banking and e-finance services, including phishing, man-in-the-middle attacks, replay attacks, session hijacking, credential stuffing, and insider threats. The chapter presents real-world case studies illustrating the impact of successful attacks, reviews the current state of authentication and key-exchange mechanisms (Section 1.2) and data encryption and integrity mechanisms (Section 1.3), and identifies their respective limitations. Section 1.4 formalizes the threat model, system assumptions, and research questions that guide the subsequent chapters.</w:t>
      </w:r>
    </w:p>
    <w:p>
      <w:pPr>
        <w:ind w:firstLine="567"/>
      </w:pPr>
      <w:r>
        <w:rPr>
          <w:rFonts w:ascii="Times New Roman" w:hAnsi="Times New Roman"/>
          <w:b w:val="0"/>
          <w:sz w:val="22"/>
        </w:rPr>
        <w:t>Chapter 2 presents the first proposed methodology: ECC-DTB-AKA. This chapter describes an alternative approach to strengthening client-server security in e-banking systems through a novel authenticated key agreement protocol that binds session keys to device fingerprints and transaction nonces. The chapter includes detailed algorithmic descriptions, protocol flowcharts, a formal security analysis, and quantitative evaluation comparing ECC-DTB-AKA against TLS 1.3, standard ECDH, and OAuth 2.0 PKCE in terms of authentication latency, message overhead, and communication round trips.</w:t>
      </w:r>
    </w:p>
    <w:p>
      <w:pPr>
        <w:ind w:firstLine="567"/>
      </w:pPr>
      <w:r>
        <w:rPr>
          <w:rFonts w:ascii="Times New Roman" w:hAnsi="Times New Roman"/>
          <w:b w:val="0"/>
          <w:sz w:val="22"/>
        </w:rPr>
        <w:t>Chapter 3 presents the second proposed methodology: ECC-HISE. Taking a fundamentally different approach from Chapter 2, this chapter addresses server-server data protection through a hierarchical key management scheme combined with authenticated encryption and Merkle-tree audit chains. The scheme overcomes drawbacks of prior data-security approaches identified in Section 1.3, and the chapter provides algorithmic specifications, architectural diagrams, and effectiveness analysis.</w:t>
      </w:r>
    </w:p>
    <w:p>
      <w:pPr>
        <w:ind w:firstLine="567"/>
      </w:pPr>
      <w:r>
        <w:rPr>
          <w:rFonts w:ascii="Times New Roman" w:hAnsi="Times New Roman"/>
          <w:b w:val="0"/>
          <w:sz w:val="22"/>
        </w:rPr>
        <w:t>Chapter 4 describes the practical application of both proposed schemes. Section 4.1 presents the security system architecture of an e-financial service system integrating ECC-DTB-AKA and ECC-HISE. Sections 4.2 and 4.3 detail the programmatic implementation of the Chapter 2 and Chapter 3 schemes, respectively, including module structure, API design, and deployment considerations. Block diagrams and flowcharts visually represent the integrated system.</w:t>
      </w:r>
    </w:p>
    <w:p>
      <w:pPr>
        <w:ind w:firstLine="567"/>
      </w:pPr>
      <w:r>
        <w:rPr>
          <w:rFonts w:ascii="Times New Roman" w:hAnsi="Times New Roman"/>
          <w:b w:val="0"/>
          <w:sz w:val="22"/>
        </w:rPr>
        <w:t>Chapter 5 provides comprehensive analysis and evaluation. Section 5.1 assesses the effectiveness of the proposed methods against the attacks cataloged in Chapter 1. Section 5.2 reviews prior work on authentication and key exchange in server-server and client-server environments. Section 5.3 reviews prior work on data encryption, data security, and integrity in e-banking. Section 5.4 synthesizes findings from Sections 5.1 through 5.3, lists security vulnerabilities present in existing systems, and identifies the issues addressed by this dissertation.</w:t>
      </w:r>
    </w:p>
    <w:p>
      <w:pPr>
        <w:ind w:firstLine="567"/>
      </w:pPr>
      <w:r>
        <w:rPr>
          <w:rFonts w:ascii="Times New Roman" w:hAnsi="Times New Roman"/>
          <w:b w:val="0"/>
          <w:sz w:val="22"/>
        </w:rPr>
        <w:t>The concluding remarks summarize the contributions of this research, acknowledge limitations, and suggest directions for future work. The appendix provides complete algorithm listings, test vectors, benchmark raw data, and API specifications to support reproducibility.</w:t>
      </w:r>
    </w:p>
    <w:p>
      <w:pPr>
        <w:pStyle w:val="Heading2"/>
      </w:pPr>
      <w:r>
        <w:t>Acknowledgments</w:t>
      </w:r>
    </w:p>
    <w:p>
      <w:pPr>
        <w:ind w:firstLine="567"/>
      </w:pPr>
      <w:r>
        <w:rPr>
          <w:rFonts w:ascii="Times New Roman" w:hAnsi="Times New Roman"/>
          <w:b w:val="0"/>
          <w:sz w:val="22"/>
        </w:rPr>
        <w:t>The completion of this dissertation would not have been possible without the support and guidance of numerous individuals and institutions. I express my sincere gratitude to my doctoral supervisor for invaluable advice throughout the research process. I thank the faculty and staff of the Department of Information Security for providing an environment conducive to rigorous scholarship. I am also grateful to the developers of open-source cryptographic libraries whose tools enabled the implementation work described in Chapter 4, and to the authors of the foundational papers reviewed in Chapter 5, whose contributions form the intellectual context within which this research is situated.</w:t>
      </w:r>
    </w:p>
    <w:p>
      <w:pPr>
        <w:pStyle w:val="Heading2"/>
      </w:pPr>
      <w:r>
        <w:t>Methodological Approach</w:t>
      </w:r>
    </w:p>
    <w:p>
      <w:pPr>
        <w:ind w:firstLine="567"/>
      </w:pPr>
      <w:r>
        <w:rPr>
          <w:rFonts w:ascii="Times New Roman" w:hAnsi="Times New Roman"/>
          <w:b w:val="0"/>
          <w:sz w:val="22"/>
        </w:rPr>
        <w:t>The research methodology employed in this dissertation follows a design-science research paradigm, which is well suited to information security investigations that aim to create and evaluate novel artifacts (in this case, cryptographic protocols and their software implementations) to solve identified organizational and technical problems. The methodology comprises five iterative phases: problem identification, solution design, prototype development, demonstration, and evaluation.</w:t>
      </w:r>
    </w:p>
    <w:p>
      <w:pPr>
        <w:ind w:firstLine="567"/>
      </w:pPr>
      <w:r>
        <w:rPr>
          <w:rFonts w:ascii="Times New Roman" w:hAnsi="Times New Roman"/>
          <w:b w:val="0"/>
          <w:sz w:val="22"/>
        </w:rPr>
        <w:t>In the problem identification phase (Chapter 1), we systematically catalog attack mechanisms and analyze limitations of existing authentication, key-exchange, and data-protection mechanisms in e-banking systems. The solution design phase (Chapters 2 and 3) produces formal protocol specifications for ECC-DTB-AKA and ECC-HISE, accompanied by security analysis and comparative evaluation against established baselines. The prototype development phase (Chapter 4) translates protocol specifications into working software modules using Python and the OpenSSL-backed cryptography library. The demonstration phase exercises the prototype through representative e-banking scenarios including customer login, fund transfer, and inter-bank settlement batch processing. The evaluation phase (Chapter 5) measures quantitative performance metrics and assesses qualitative security properties against the threat model defined in Section 1.4.</w:t>
      </w:r>
    </w:p>
    <w:p>
      <w:pPr>
        <w:ind w:firstLine="567"/>
      </w:pPr>
      <w:r>
        <w:rPr>
          <w:rFonts w:ascii="Times New Roman" w:hAnsi="Times New Roman"/>
          <w:b w:val="0"/>
          <w:sz w:val="22"/>
        </w:rPr>
        <w:t>Elliptic curve cryptography is selected as the foundational primitive for both proposed schemes based on three criteria: (1) security efficiency — ECC P-256 provides approximately 128 bits of security with a 256-bit key, compared to 3072-bit RSA keys for equivalent strength; (2) industry adoption — ECC is mandated or recommended by NIST, EMV, FIDO2, and TLS 1.3 specifications; and (3) implementation maturity — production-grade open-source libraries (OpenSSL, libsodium, Python cryptography) provide audited implementations of ECDH, ECDSA, and Ed25519 on standard curves.</w:t>
      </w:r>
    </w:p>
    <w:p>
      <w:pPr>
        <w:pStyle w:val="Heading2"/>
      </w:pPr>
      <w:r>
        <w:t>Structure of the E-Financial Service System</w:t>
      </w:r>
    </w:p>
    <w:p>
      <w:pPr>
        <w:ind w:firstLine="567"/>
      </w:pPr>
      <w:r>
        <w:rPr>
          <w:rFonts w:ascii="Times New Roman" w:hAnsi="Times New Roman"/>
          <w:b w:val="0"/>
          <w:sz w:val="22"/>
        </w:rPr>
        <w:t>Throughout this dissertation, we reference a conceptual e-financial service system that serves as the deployment context for the proposed security schemes. This system comprises four logical tiers: the client tier, the application tier, the settlement tier, and the governance tier.</w:t>
      </w:r>
    </w:p>
    <w:p>
      <w:pPr>
        <w:ind w:firstLine="567"/>
      </w:pPr>
      <w:r>
        <w:rPr>
          <w:rFonts w:ascii="Times New Roman" w:hAnsi="Times New Roman"/>
          <w:b w:val="0"/>
          <w:sz w:val="22"/>
        </w:rPr>
        <w:t>The client tier includes mobile banking applications, web browsers, and ATM terminals that customers use to access financial services. Clients communicate with the application tier over public networks (the Internet) and must authenticate themselves and establish encrypted sessions before performing transactions. The ECC-DTB-AKA protocol operates primarily in this tier, securing the client-server channel.</w:t>
      </w:r>
    </w:p>
    <w:p>
      <w:pPr>
        <w:ind w:firstLine="567"/>
      </w:pPr>
      <w:r>
        <w:rPr>
          <w:rFonts w:ascii="Times New Roman" w:hAnsi="Times New Roman"/>
          <w:b w:val="0"/>
          <w:sz w:val="22"/>
        </w:rPr>
        <w:t>The application tier consists of API gateways, authentication services, account management services, and transaction processing engines. These components are deployed as containerized microservices behind load balancers, with mutual TLS providing transport security between services. Application-tier services validate customer requests, enforce business rules, and initiate settlement operations.</w:t>
      </w:r>
    </w:p>
    <w:p>
      <w:pPr>
        <w:ind w:firstLine="567"/>
      </w:pPr>
      <w:r>
        <w:rPr>
          <w:rFonts w:ascii="Times New Roman" w:hAnsi="Times New Roman"/>
          <w:b w:val="0"/>
          <w:sz w:val="22"/>
        </w:rPr>
        <w:t>The settlement tier handles inter-bank and intra-bank batch processing, including end-of-day reconciliation, regulatory reporting, and payment clearing. Data transferred between settlement servers at different institutions requires confidentiality, integrity, and auditability beyond what transport-layer security alone provides. The ECC-HISE scheme operates in this tier, protecting batch data with hierarchical keys and Merkle audit chains.</w:t>
      </w:r>
    </w:p>
    <w:p>
      <w:pPr>
        <w:ind w:firstLine="567"/>
      </w:pPr>
      <w:r>
        <w:rPr>
          <w:rFonts w:ascii="Times New Roman" w:hAnsi="Times New Roman"/>
          <w:b w:val="0"/>
          <w:sz w:val="22"/>
        </w:rPr>
        <w:t>The governance tier encompasses certificate authorities, hardware security modules, security operations centers, and regulatory reporting interfaces. The clearing-house authority manages the master key for ECC-HISE's hierarchical key derivation, while the bank's internal CA issues certificates used in ECC-DTB-AKA server authentication.</w:t>
      </w:r>
    </w:p>
    <w:p>
      <w:pPr>
        <w:pStyle w:val="Heading2"/>
      </w:pPr>
      <w:r>
        <w:t>E-Banking in the Global Context</w:t>
      </w:r>
    </w:p>
    <w:p>
      <w:pPr>
        <w:ind w:firstLine="567"/>
      </w:pPr>
      <w:r>
        <w:rPr>
          <w:rFonts w:ascii="Times New Roman" w:hAnsi="Times New Roman"/>
          <w:b w:val="0"/>
          <w:sz w:val="22"/>
        </w:rPr>
        <w:t>The global e-banking landscape exhibits significant regional variation in technology adoption, regulatory frameworks, and security postures. In Scandinavia, nearly 100% of banking customers use digital channels, with mobile payment systems such as Swish and MobilePay achieving near-universal adoption. Strong government digital identity infrastructure (BankID in Sweden and Norway, NemID/MitID in Denmark) provides a foundation for cryptographic authentication that exceeds the security of username-password systems common in other regions.</w:t>
      </w:r>
    </w:p>
    <w:p>
      <w:pPr>
        <w:ind w:firstLine="567"/>
      </w:pPr>
      <w:r>
        <w:rPr>
          <w:rFonts w:ascii="Times New Roman" w:hAnsi="Times New Roman"/>
          <w:b w:val="0"/>
          <w:sz w:val="22"/>
        </w:rPr>
        <w:t>In East Asia, super-app ecosystems integrate banking, payments, social media, and e-commerce into single platforms (WeChat Pay, Alipay, LINE Pay). These platforms process transaction volumes exceeding those of entire countries' GDP, creating unique scalability and security challenges. QR-code-based payment authentication, while convenient, has been targeted by attackers who replace legitimate merchant QR codes with fraudulent ones—a threat vector that requires binding payment authorization to verified merchant identity.</w:t>
      </w:r>
    </w:p>
    <w:p>
      <w:pPr>
        <w:ind w:firstLine="567"/>
      </w:pPr>
      <w:r>
        <w:rPr>
          <w:rFonts w:ascii="Times New Roman" w:hAnsi="Times New Roman"/>
          <w:b w:val="0"/>
          <w:sz w:val="22"/>
        </w:rPr>
        <w:t>In Africa, mobile money services (M-Pesa, MTN Mobile Money) have brought banking to underbanked populations through feature phones and SMS-based interfaces. The security models for these systems often rely on SIM-card identity and PIN codes, making them vulnerable to SIM-swapping attacks that have resulted in significant financial losses. The ECC-DTB-AKA scheme's device-binding property is particularly relevant in markets where SIM-based identity is the primary authentication factor.</w:t>
      </w:r>
    </w:p>
    <w:p>
      <w:pPr>
        <w:ind w:firstLine="567"/>
      </w:pPr>
      <w:r>
        <w:rPr>
          <w:rFonts w:ascii="Times New Roman" w:hAnsi="Times New Roman"/>
          <w:b w:val="0"/>
          <w:sz w:val="22"/>
        </w:rPr>
        <w:t>In North America and Western Europe, open-banking initiatives are reshaping the competitive landscape by requiring banks to expose APIs to licensed third-party providers. This architectural shift multiplies the number of authentication and authorization endpoints, each requiring robust protection. The server-server security requirements for inter-institutional data exchange—addressed by ECC-HISE—become increasingly critical as payment initiation flows traverse multiple service providers before reaching the customer's bank.</w:t>
      </w:r>
    </w:p>
    <w:p>
      <w:pPr>
        <w:pStyle w:val="Heading2"/>
      </w:pPr>
      <w:r>
        <w:t>Notation and Conventions</w:t>
      </w:r>
    </w:p>
    <w:p>
      <w:pPr>
        <w:ind w:firstLine="567"/>
      </w:pPr>
      <w:r>
        <w:rPr>
          <w:rFonts w:ascii="Times New Roman" w:hAnsi="Times New Roman"/>
          <w:b w:val="0"/>
          <w:sz w:val="22"/>
        </w:rPr>
        <w:t>Throughout this dissertation, the following notation and typographic conventions are employed unless otherwise stated. Scalar values and binary strings are denoted in lowercase italic (e.g., k, nonce). Group elements on elliptic curves are denoted in uppercase italic (e.g., P, Q, G). Functions and algorithms are denoted in upright font (e.g., H, HKDF, ECDH). Sets are denoted in calligraphic or blackboard-bold font (e.g., Z_q for integers modulo q).</w:t>
      </w:r>
    </w:p>
    <w:p>
      <w:pPr>
        <w:ind w:firstLine="567"/>
      </w:pPr>
      <w:r>
        <w:rPr>
          <w:rFonts w:ascii="Times New Roman" w:hAnsi="Times New Roman"/>
          <w:b w:val="0"/>
          <w:sz w:val="22"/>
        </w:rPr>
        <w:t>The symbol || denotes concatenation of bit strings. The symbol ← denotes uniform random sampling from a set. The symbol → denotes deterministic output of a function. A →_P B indicates that entity A sends message to entity B over protocol P. Security parameters are expressed in bits (e.g., 128-bit security, 256-bit key).</w:t>
      </w:r>
    </w:p>
    <w:p>
      <w:pPr>
        <w:ind w:firstLine="567"/>
      </w:pPr>
      <w:r>
        <w:rPr>
          <w:rFonts w:ascii="Times New Roman" w:hAnsi="Times New Roman"/>
          <w:b w:val="0"/>
          <w:sz w:val="22"/>
        </w:rPr>
        <w:t>Chapter and section references use decimal notation (e.g., Section 1.2.3). Figure and table references use chapter-qualified numbering (e.g., Figure 1.2, Table 1.3). Algorithm pseudocode is presented in numbered blocks in the appendix and referenced from the main text. All cryptographic algorithms use well-established standards: SHA-256 per FIPS 180-4, HKDF per RFC 5869, AES-256-GCM per NIST SP 800-38D, ECDSA per FIPS 186-5, and Ed25519 per RFC 8032.</w:t>
      </w:r>
    </w:p>
    <w:p>
      <w:r>
        <w:br w:type="page"/>
      </w:r>
    </w:p>
    <w:p>
      <w:pPr>
        <w:pStyle w:val="Heading1"/>
      </w:pPr>
      <w:r>
        <w:t>Chapter 1</w:t>
      </w:r>
    </w:p>
    <w:p>
      <w:r>
        <w:rPr>
          <w:rFonts w:ascii="Times New Roman" w:hAnsi="Times New Roman"/>
          <w:b/>
          <w:sz w:val="22"/>
        </w:rPr>
        <w:t>Attack Mechanisms, Threat Landscape, and Security Gaps in E-Banking Systems</w:t>
      </w:r>
    </w:p>
    <w:p/>
    <w:p>
      <w:pPr>
        <w:pStyle w:val="Heading2"/>
      </w:pPr>
      <w:r>
        <w:t>1.1 Attack Mechanisms in E-Banking and E-Finance Services</w:t>
      </w:r>
    </w:p>
    <w:p>
      <w:pPr>
        <w:ind w:firstLine="567"/>
      </w:pPr>
      <w:r>
        <w:rPr>
          <w:rFonts w:ascii="Times New Roman" w:hAnsi="Times New Roman"/>
          <w:b w:val="0"/>
          <w:sz w:val="22"/>
        </w:rPr>
        <w:t>Electronic banking and electronic finance service systems operate in one of the most adversarial computing environments in existence. The concentration of monetary value, the interconnectivity of financial networks, and the diversity of access channels create opportunities for attackers at every layer of the technology stack. This section provides a systematic definition and taxonomy of attack mechanisms currently employed against e-banking and e-finance services, supported by representative case studies drawn from documented security incidents.</w:t>
      </w:r>
    </w:p>
    <w:p>
      <w:pPr>
        <w:ind w:firstLine="567"/>
      </w:pPr>
      <w:r>
        <w:rPr>
          <w:rFonts w:ascii="Times New Roman" w:hAnsi="Times New Roman"/>
          <w:b w:val="0"/>
          <w:sz w:val="22"/>
        </w:rPr>
        <w:t>An attack mechanism, in the context of this dissertation, is defined as a systematic method or technique employed by an adversary to exploit a vulnerability in an e-banking or e-finance system component—whether technical, procedural, or human—in order to achieve an unauthorized objective such as theft of funds, exfiltration of sensitive data, disruption of service, or compromise of system integrity. Attack mechanisms differ from individual exploits in that they describe reusable patterns that can be adapted to multiple targets and environments.</w:t>
      </w:r>
    </w:p>
    <w:p>
      <w:pPr>
        <w:pStyle w:val="Heading3"/>
      </w:pPr>
      <w:r>
        <w:t>1.1.1 Taxonomy of Attacks</w:t>
      </w:r>
    </w:p>
    <w:p>
      <w:pPr>
        <w:ind w:firstLine="567"/>
      </w:pPr>
      <w:r>
        <w:rPr>
          <w:rFonts w:ascii="Times New Roman" w:hAnsi="Times New Roman"/>
          <w:b w:val="0"/>
          <w:sz w:val="22"/>
        </w:rPr>
        <w:t>We classify attack mechanisms against e-banking systems into six primary categories based on the attacker's objective and the layer of the system stack targeted: (1) credential and authentication attacks, (2) communication channel attacks, (3) application-layer attacks, (4) infrastructure attacks, (5) insider and supply-chain attacks, and (6) social engineering attacks. Table 1.1 summarizes these categories with representative techniques.</w:t>
      </w:r>
    </w:p>
    <w:p>
      <w:pPr>
        <w:ind w:firstLine="567"/>
      </w:pPr>
      <w:r>
        <w:rPr>
          <w:rFonts w:ascii="Times New Roman" w:hAnsi="Times New Roman"/>
          <w:b w:val="0"/>
          <w:sz w:val="22"/>
        </w:rPr>
        <w:t>Credential and authentication attacks target the mechanisms by which users and systems prove their identity. Techniques include credential stuffing (automated injection of username-password pairs leaked from unrelated breaches), brute-force password guessing, pass-the-hash attacks against Windows authentication in bank internal networks, and exploitation of weak multi-factor authentication implementations that rely on SMS one-time passwords (OTPs) vulnerable to SIM-swapping.</w:t>
      </w:r>
    </w:p>
    <w:p>
      <w:pPr>
        <w:ind w:firstLine="567"/>
      </w:pPr>
      <w:r>
        <w:rPr>
          <w:rFonts w:ascii="Times New Roman" w:hAnsi="Times New Roman"/>
          <w:b w:val="0"/>
          <w:sz w:val="22"/>
        </w:rPr>
        <w:t>Communication channel attacks intercept, modify, or replay data in transit between clients and servers or between server nodes. The classic man-in-the-middle (MITM) attack positions the adversary between communicating parties, potentially decrypting, altering, and re-encrypting messages. SSL stripping downgrades HTTPS connections to HTTP, while BGP hijacking reroutes network traffic through attacker-controlled routers. Replay attacks capture valid authentication messages and retransmit them to gain unauthorized access.</w:t>
      </w:r>
    </w:p>
    <w:p>
      <w:pPr>
        <w:ind w:firstLine="567"/>
      </w:pPr>
      <w:r>
        <w:rPr>
          <w:rFonts w:ascii="Times New Roman" w:hAnsi="Times New Roman"/>
          <w:b w:val="0"/>
          <w:sz w:val="22"/>
        </w:rPr>
        <w:t>Application-layer attacks exploit vulnerabilities in banking software itself. SQL injection manipulates database queries through unsanitized user input. Cross-site scripting (XSS) injects malicious scripts into banking web pages viewed by other users. Cross-site request forgery (CSRF) tricks authenticated users into submitting unintended transactions. Business logic flaws may allow negative-amount transfers or bypass of transaction limits.</w:t>
      </w:r>
    </w:p>
    <w:p>
      <w:pPr>
        <w:ind w:firstLine="567"/>
      </w:pPr>
      <w:r>
        <w:rPr>
          <w:rFonts w:ascii="Times New Roman" w:hAnsi="Times New Roman"/>
          <w:b w:val="0"/>
          <w:sz w:val="22"/>
        </w:rPr>
        <w:t>Infrastructure attacks target the servers, networks, and cloud platforms hosting banking services. Distributed denial-of-service (DDoS) attacks overwhelm servers with traffic, rendering services unavailable. Ransomware encrypts critical banking data and demands payment for decryption keys. Container escape attacks in cloud-hosted banking microservices can compromise co-located workloads.</w:t>
      </w:r>
    </w:p>
    <w:p>
      <w:pPr>
        <w:ind w:firstLine="567"/>
      </w:pPr>
      <w:r>
        <w:rPr>
          <w:rFonts w:ascii="Times New Roman" w:hAnsi="Times New Roman"/>
          <w:b w:val="0"/>
          <w:sz w:val="22"/>
        </w:rPr>
        <w:t>Insider and supply-chain attacks leverage trusted positions or compromised third-party components. Malicious insiders with database access can exfiltrate customer records or manipulate account balances. Supply-chain compromises, such as the 2020 SolarWinds incident, insert backdoors into software updates distributed to thousands of organizations including financial institutions.</w:t>
      </w:r>
    </w:p>
    <w:p>
      <w:pPr>
        <w:ind w:firstLine="567"/>
      </w:pPr>
      <w:r>
        <w:rPr>
          <w:rFonts w:ascii="Times New Roman" w:hAnsi="Times New Roman"/>
          <w:b w:val="0"/>
          <w:sz w:val="22"/>
        </w:rPr>
        <w:t>Social engineering attacks manipulate human psychology rather than technical vulnerabilities. Phishing emails impersonate banks to harvest credentials. Vishing (voice phishing) uses phone calls to trick customers into revealing authentication codes. Pretexting creates fabricated scenarios to persuade bank employees to override security controls.</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Category</w:t>
            </w:r>
          </w:p>
        </w:tc>
        <w:tc>
          <w:tcPr>
            <w:tcW w:type="dxa" w:w="1786"/>
          </w:tcPr>
          <w:p>
            <w:r>
              <w:rPr>
                <w:rFonts w:ascii="Times New Roman" w:hAnsi="Times New Roman"/>
                <w:b/>
                <w:sz w:val="20"/>
              </w:rPr>
              <w:t>Techniques</w:t>
            </w:r>
          </w:p>
        </w:tc>
        <w:tc>
          <w:tcPr>
            <w:tcW w:type="dxa" w:w="1786"/>
          </w:tcPr>
          <w:p>
            <w:r>
              <w:rPr>
                <w:rFonts w:ascii="Times New Roman" w:hAnsi="Times New Roman"/>
                <w:b/>
                <w:sz w:val="20"/>
              </w:rPr>
              <w:t>Primary Target</w:t>
            </w:r>
          </w:p>
        </w:tc>
        <w:tc>
          <w:tcPr>
            <w:tcW w:type="dxa" w:w="1786"/>
          </w:tcPr>
          <w:p>
            <w:r>
              <w:rPr>
                <w:rFonts w:ascii="Times New Roman" w:hAnsi="Times New Roman"/>
                <w:b/>
                <w:sz w:val="20"/>
              </w:rPr>
              <w:t>Impact</w:t>
            </w:r>
          </w:p>
        </w:tc>
      </w:tr>
      <w:tr>
        <w:tc>
          <w:tcPr>
            <w:tcW w:type="dxa" w:w="1786"/>
          </w:tcPr>
          <w:p>
            <w:r>
              <w:rPr>
                <w:rFonts w:ascii="Times New Roman" w:hAnsi="Times New Roman"/>
                <w:sz w:val="20"/>
              </w:rPr>
              <w:t>Credential/Auth</w:t>
            </w:r>
          </w:p>
        </w:tc>
        <w:tc>
          <w:tcPr>
            <w:tcW w:type="dxa" w:w="1786"/>
          </w:tcPr>
          <w:p>
            <w:r>
              <w:rPr>
                <w:rFonts w:ascii="Times New Roman" w:hAnsi="Times New Roman"/>
                <w:sz w:val="20"/>
              </w:rPr>
              <w:t>Stuffing, brute force, SIM-swap</w:t>
            </w:r>
          </w:p>
        </w:tc>
        <w:tc>
          <w:tcPr>
            <w:tcW w:type="dxa" w:w="1786"/>
          </w:tcPr>
          <w:p>
            <w:r>
              <w:rPr>
                <w:rFonts w:ascii="Times New Roman" w:hAnsi="Times New Roman"/>
                <w:sz w:val="20"/>
              </w:rPr>
              <w:t>Login systems</w:t>
            </w:r>
          </w:p>
        </w:tc>
        <w:tc>
          <w:tcPr>
            <w:tcW w:type="dxa" w:w="1786"/>
          </w:tcPr>
          <w:p>
            <w:r>
              <w:rPr>
                <w:rFonts w:ascii="Times New Roman" w:hAnsi="Times New Roman"/>
                <w:sz w:val="20"/>
              </w:rPr>
              <w:t>Account takeover</w:t>
            </w:r>
          </w:p>
        </w:tc>
      </w:tr>
      <w:tr>
        <w:tc>
          <w:tcPr>
            <w:tcW w:type="dxa" w:w="1786"/>
          </w:tcPr>
          <w:p>
            <w:r>
              <w:rPr>
                <w:rFonts w:ascii="Times New Roman" w:hAnsi="Times New Roman"/>
                <w:sz w:val="20"/>
              </w:rPr>
              <w:t>Channel</w:t>
            </w:r>
          </w:p>
        </w:tc>
        <w:tc>
          <w:tcPr>
            <w:tcW w:type="dxa" w:w="1786"/>
          </w:tcPr>
          <w:p>
            <w:r>
              <w:rPr>
                <w:rFonts w:ascii="Times New Roman" w:hAnsi="Times New Roman"/>
                <w:sz w:val="20"/>
              </w:rPr>
              <w:t>MITM, SSL strip, replay, BGP hijack</w:t>
            </w:r>
          </w:p>
        </w:tc>
        <w:tc>
          <w:tcPr>
            <w:tcW w:type="dxa" w:w="1786"/>
          </w:tcPr>
          <w:p>
            <w:r>
              <w:rPr>
                <w:rFonts w:ascii="Times New Roman" w:hAnsi="Times New Roman"/>
                <w:sz w:val="20"/>
              </w:rPr>
              <w:t>Network layer</w:t>
            </w:r>
          </w:p>
        </w:tc>
        <w:tc>
          <w:tcPr>
            <w:tcW w:type="dxa" w:w="1786"/>
          </w:tcPr>
          <w:p>
            <w:r>
              <w:rPr>
                <w:rFonts w:ascii="Times New Roman" w:hAnsi="Times New Roman"/>
                <w:sz w:val="20"/>
              </w:rPr>
              <w:t>Data theft, fraud</w:t>
            </w:r>
          </w:p>
        </w:tc>
      </w:tr>
      <w:tr>
        <w:tc>
          <w:tcPr>
            <w:tcW w:type="dxa" w:w="1786"/>
          </w:tcPr>
          <w:p>
            <w:r>
              <w:rPr>
                <w:rFonts w:ascii="Times New Roman" w:hAnsi="Times New Roman"/>
                <w:sz w:val="20"/>
              </w:rPr>
              <w:t>Application</w:t>
            </w:r>
          </w:p>
        </w:tc>
        <w:tc>
          <w:tcPr>
            <w:tcW w:type="dxa" w:w="1786"/>
          </w:tcPr>
          <w:p>
            <w:r>
              <w:rPr>
                <w:rFonts w:ascii="Times New Roman" w:hAnsi="Times New Roman"/>
                <w:sz w:val="20"/>
              </w:rPr>
              <w:t>SQLi, XSS, CSRF, logic flaws</w:t>
            </w:r>
          </w:p>
        </w:tc>
        <w:tc>
          <w:tcPr>
            <w:tcW w:type="dxa" w:w="1786"/>
          </w:tcPr>
          <w:p>
            <w:r>
              <w:rPr>
                <w:rFonts w:ascii="Times New Roman" w:hAnsi="Times New Roman"/>
                <w:sz w:val="20"/>
              </w:rPr>
              <w:t>Banking apps</w:t>
            </w:r>
          </w:p>
        </w:tc>
        <w:tc>
          <w:tcPr>
            <w:tcW w:type="dxa" w:w="1786"/>
          </w:tcPr>
          <w:p>
            <w:r>
              <w:rPr>
                <w:rFonts w:ascii="Times New Roman" w:hAnsi="Times New Roman"/>
                <w:sz w:val="20"/>
              </w:rPr>
              <w:t>Data breach, fraud</w:t>
            </w:r>
          </w:p>
        </w:tc>
      </w:tr>
      <w:tr>
        <w:tc>
          <w:tcPr>
            <w:tcW w:type="dxa" w:w="1786"/>
          </w:tcPr>
          <w:p>
            <w:r>
              <w:rPr>
                <w:rFonts w:ascii="Times New Roman" w:hAnsi="Times New Roman"/>
                <w:sz w:val="20"/>
              </w:rPr>
              <w:t>Infrastructure</w:t>
            </w:r>
          </w:p>
        </w:tc>
        <w:tc>
          <w:tcPr>
            <w:tcW w:type="dxa" w:w="1786"/>
          </w:tcPr>
          <w:p>
            <w:r>
              <w:rPr>
                <w:rFonts w:ascii="Times New Roman" w:hAnsi="Times New Roman"/>
                <w:sz w:val="20"/>
              </w:rPr>
              <w:t>DDoS, ransomware, container escape</w:t>
            </w:r>
          </w:p>
        </w:tc>
        <w:tc>
          <w:tcPr>
            <w:tcW w:type="dxa" w:w="1786"/>
          </w:tcPr>
          <w:p>
            <w:r>
              <w:rPr>
                <w:rFonts w:ascii="Times New Roman" w:hAnsi="Times New Roman"/>
                <w:sz w:val="20"/>
              </w:rPr>
              <w:t>Servers/cloud</w:t>
            </w:r>
          </w:p>
        </w:tc>
        <w:tc>
          <w:tcPr>
            <w:tcW w:type="dxa" w:w="1786"/>
          </w:tcPr>
          <w:p>
            <w:r>
              <w:rPr>
                <w:rFonts w:ascii="Times New Roman" w:hAnsi="Times New Roman"/>
                <w:sz w:val="20"/>
              </w:rPr>
              <w:t>Outage, data loss</w:t>
            </w:r>
          </w:p>
        </w:tc>
      </w:tr>
      <w:tr>
        <w:tc>
          <w:tcPr>
            <w:tcW w:type="dxa" w:w="1786"/>
          </w:tcPr>
          <w:p>
            <w:r>
              <w:rPr>
                <w:rFonts w:ascii="Times New Roman" w:hAnsi="Times New Roman"/>
                <w:sz w:val="20"/>
              </w:rPr>
              <w:t>Insider/Supply-chain</w:t>
            </w:r>
          </w:p>
        </w:tc>
        <w:tc>
          <w:tcPr>
            <w:tcW w:type="dxa" w:w="1786"/>
          </w:tcPr>
          <w:p>
            <w:r>
              <w:rPr>
                <w:rFonts w:ascii="Times New Roman" w:hAnsi="Times New Roman"/>
                <w:sz w:val="20"/>
              </w:rPr>
              <w:t>Data exfiltration, backdoors</w:t>
            </w:r>
          </w:p>
        </w:tc>
        <w:tc>
          <w:tcPr>
            <w:tcW w:type="dxa" w:w="1786"/>
          </w:tcPr>
          <w:p>
            <w:r>
              <w:rPr>
                <w:rFonts w:ascii="Times New Roman" w:hAnsi="Times New Roman"/>
                <w:sz w:val="20"/>
              </w:rPr>
              <w:t>Internal systems</w:t>
            </w:r>
          </w:p>
        </w:tc>
        <w:tc>
          <w:tcPr>
            <w:tcW w:type="dxa" w:w="1786"/>
          </w:tcPr>
          <w:p>
            <w:r>
              <w:rPr>
                <w:rFonts w:ascii="Times New Roman" w:hAnsi="Times New Roman"/>
                <w:sz w:val="20"/>
              </w:rPr>
              <w:t>Mass breach</w:t>
            </w:r>
          </w:p>
        </w:tc>
      </w:tr>
      <w:tr>
        <w:tc>
          <w:tcPr>
            <w:tcW w:type="dxa" w:w="1786"/>
          </w:tcPr>
          <w:p>
            <w:r>
              <w:rPr>
                <w:rFonts w:ascii="Times New Roman" w:hAnsi="Times New Roman"/>
                <w:sz w:val="20"/>
              </w:rPr>
              <w:t>Social engineering</w:t>
            </w:r>
          </w:p>
        </w:tc>
        <w:tc>
          <w:tcPr>
            <w:tcW w:type="dxa" w:w="1786"/>
          </w:tcPr>
          <w:p>
            <w:r>
              <w:rPr>
                <w:rFonts w:ascii="Times New Roman" w:hAnsi="Times New Roman"/>
                <w:sz w:val="20"/>
              </w:rPr>
              <w:t>Phishing, vishing, pretexting</w:t>
            </w:r>
          </w:p>
        </w:tc>
        <w:tc>
          <w:tcPr>
            <w:tcW w:type="dxa" w:w="1786"/>
          </w:tcPr>
          <w:p>
            <w:r>
              <w:rPr>
                <w:rFonts w:ascii="Times New Roman" w:hAnsi="Times New Roman"/>
                <w:sz w:val="20"/>
              </w:rPr>
              <w:t>Users/employees</w:t>
            </w:r>
          </w:p>
        </w:tc>
        <w:tc>
          <w:tcPr>
            <w:tcW w:type="dxa" w:w="1786"/>
          </w:tcPr>
          <w:p>
            <w:r>
              <w:rPr>
                <w:rFonts w:ascii="Times New Roman" w:hAnsi="Times New Roman"/>
                <w:sz w:val="20"/>
              </w:rPr>
              <w:t>Credential theft</w:t>
            </w:r>
          </w:p>
        </w:tc>
      </w:tr>
    </w:tbl>
    <w:p>
      <w:pPr>
        <w:jc w:val="center"/>
      </w:pPr>
      <w:r>
        <w:rPr>
          <w:rFonts w:ascii="Times New Roman" w:hAnsi="Times New Roman"/>
          <w:i/>
          <w:sz w:val="20"/>
        </w:rPr>
        <w:t>Table 1.1: Taxonomy of attack mechanisms against e-banking systems.</w:t>
      </w:r>
    </w:p>
    <w:p/>
    <w:p>
      <w:pPr>
        <w:pStyle w:val="Heading3"/>
      </w:pPr>
      <w:r>
        <w:t>1.1.2 Case Studies</w:t>
      </w:r>
    </w:p>
    <w:p>
      <w:pPr>
        <w:ind w:firstLine="567"/>
      </w:pPr>
      <w:r>
        <w:rPr>
          <w:rFonts w:ascii="Times New Roman" w:hAnsi="Times New Roman"/>
          <w:b w:val="0"/>
          <w:sz w:val="22"/>
        </w:rPr>
        <w:t>Case Study 1 — Bangladesh Bank Heist (2016): Attackers gained access to the Bangladesh Bank's internal network, likely through a phishing email, and installed malware that monitored SWIFT Alliance Access software. Over several days, the attackers sent 35 fraudulent SWIFT transfer requests totaling $951 million. While most transfers were blocked, $81 million was successfully transferred to accounts in the Philippines. This case illustrates the catastrophic potential of server-server communication compromise when authentication and integrity controls on inter-bank messaging are insufficient.</w:t>
      </w:r>
    </w:p>
    <w:p>
      <w:pPr>
        <w:ind w:firstLine="567"/>
      </w:pPr>
      <w:r>
        <w:rPr>
          <w:rFonts w:ascii="Times New Roman" w:hAnsi="Times New Roman"/>
          <w:b w:val="0"/>
          <w:sz w:val="22"/>
        </w:rPr>
        <w:t>Case Study 2 — Capital One Data Breach (2019): A former cloud services employee exploited a misconfigured web application firewall to access an AWS S3 bucket containing personal data of over 100 million credit card applicants. The breach demonstrates that cloud-hosted e-finance systems introduce new attack vectors related to identity and access management misconfigurations, and that data-at-rest encryption alone is insufficient without proper access controls.</w:t>
      </w:r>
    </w:p>
    <w:p>
      <w:pPr>
        <w:ind w:firstLine="567"/>
      </w:pPr>
      <w:r>
        <w:rPr>
          <w:rFonts w:ascii="Times New Roman" w:hAnsi="Times New Roman"/>
          <w:b w:val="0"/>
          <w:sz w:val="22"/>
        </w:rPr>
        <w:t>Case Study 3 — Credential Stuffing Campaigns (2018–2024): Multiple major banks reported surges in account takeover fraud resulting from credential stuffing attacks using billions of leaked username-password pairs from non-financial breaches. Despite banks implementing account lockout and anomaly detection, the sheer volume of attempts (sometimes exceeding 50 million per day across the industry) results in a non-trivial success rate. These campaigns highlight the inadequacy of password-only authentication and the need for device-bound cryptographic authentication.</w:t>
      </w:r>
    </w:p>
    <w:p>
      <w:pPr>
        <w:ind w:firstLine="567"/>
      </w:pPr>
      <w:r>
        <w:rPr>
          <w:rFonts w:ascii="Times New Roman" w:hAnsi="Times New Roman"/>
          <w:b w:val="0"/>
          <w:sz w:val="22"/>
        </w:rPr>
        <w:t>Case Study 4 — EMV Relay Attacks (2020–2023): Researchers demonstrated relay attacks against contactless payment cards, where a proxy device near the victim's card relays NFC communication to a accomplice's device at a point-of-sale terminal hundreds of kilometers away. While EMV cryptography prevents card cloning, the relay attack bypasses proximity assumptions, showing that authentication protocols must bind cryptographic proofs to physical context.</w:t>
      </w:r>
    </w:p>
    <w:p>
      <w:pPr>
        <w:jc w:val="center"/>
      </w:pPr>
      <w:r>
        <w:drawing>
          <wp:inline xmlns:a="http://schemas.openxmlformats.org/drawingml/2006/main" xmlns:pic="http://schemas.openxmlformats.org/drawingml/2006/picture">
            <wp:extent cx="5040000" cy="1763636"/>
            <wp:docPr id="1" name="Picture 1"/>
            <wp:cNvGraphicFramePr>
              <a:graphicFrameLocks noChangeAspect="1"/>
            </wp:cNvGraphicFramePr>
            <a:graphic>
              <a:graphicData uri="http://schemas.openxmlformats.org/drawingml/2006/picture">
                <pic:pic>
                  <pic:nvPicPr>
                    <pic:cNvPr id="0" name="fig_1_1_attack_lifecycle.png"/>
                    <pic:cNvPicPr/>
                  </pic:nvPicPr>
                  <pic:blipFill>
                    <a:blip r:embed="rId9"/>
                    <a:stretch>
                      <a:fillRect/>
                    </a:stretch>
                  </pic:blipFill>
                  <pic:spPr>
                    <a:xfrm>
                      <a:off x="0" y="0"/>
                      <a:ext cx="5040000" cy="1763636"/>
                    </a:xfrm>
                    <a:prstGeom prst="rect"/>
                  </pic:spPr>
                </pic:pic>
              </a:graphicData>
            </a:graphic>
          </wp:inline>
        </w:drawing>
      </w:r>
    </w:p>
    <w:p>
      <w:pPr>
        <w:jc w:val="center"/>
      </w:pPr>
      <w:r>
        <w:rPr>
          <w:rFonts w:ascii="Times New Roman" w:hAnsi="Times New Roman"/>
          <w:i/>
          <w:sz w:val="20"/>
        </w:rPr>
        <w:t>Attack lifecycle flowchart: reconnaissance → initial access → lateral movement → privilege escalation → data exfiltration/fraud → cover tracks (Figure 1.1).</w:t>
      </w:r>
    </w:p>
    <w:p>
      <w:pPr>
        <w:pStyle w:val="Heading3"/>
      </w:pPr>
      <w:r>
        <w:t>1.1.3 Attack Trends and Statistics</w:t>
      </w:r>
    </w:p>
    <w:p>
      <w:pPr>
        <w:ind w:firstLine="567"/>
      </w:pPr>
      <w:r>
        <w:rPr>
          <w:rFonts w:ascii="Times New Roman" w:hAnsi="Times New Roman"/>
          <w:b w:val="0"/>
          <w:sz w:val="22"/>
        </w:rPr>
        <w:t>The financial services sector consistently ranks among the top three industries targeted by cyberattacks. The IBM Cost of a Data Breach Report (2024) reports that the average cost of a data breach in the financial sector is $5.9 million, compared to a cross-industry average of $4.45 million. Phishing remains the most common initial access vector, accounting for approximately 41% of breaches in financial services according to the Verizon Data Breach Investigations Report (2024).</w:t>
      </w:r>
    </w:p>
    <w:p>
      <w:pPr>
        <w:ind w:firstLine="567"/>
      </w:pPr>
      <w:r>
        <w:rPr>
          <w:rFonts w:ascii="Times New Roman" w:hAnsi="Times New Roman"/>
          <w:b w:val="0"/>
          <w:sz w:val="22"/>
        </w:rPr>
        <w:t>The adoption of mobile banking has shifted attack patterns: mobile malware targeting banking applications grew by 32% year-over-year, with trojans such as Anubis, Cerberus, and SharkBot employing overlay attacks to capture credentials and intercept SMS OTPs. Concurrently, API attacks against open-banking endpoints have emerged as a new threat category, with the OWASP API Security Top 10 identifying broken authentication and excessive data exposure as the most prevalent vulnerabilities.</w:t>
      </w:r>
    </w:p>
    <w:p>
      <w:pPr>
        <w:ind w:firstLine="567"/>
      </w:pPr>
      <w:r>
        <w:rPr>
          <w:rFonts w:ascii="Times New Roman" w:hAnsi="Times New Roman"/>
          <w:b w:val="0"/>
          <w:sz w:val="22"/>
        </w:rPr>
        <w:t>Ransomware groups have increasingly targeted financial institutions, with groups such as LockBit, ALPHV/BlackCat, and Cl0p claiming attacks on banks, insurance companies, and payment processors. The double-extortion model—encrypting data and threatening to publish stolen records—amplifies the pressure on victims to pay.</w:t>
      </w:r>
    </w:p>
    <w:p>
      <w:pPr>
        <w:ind w:firstLine="567"/>
      </w:pPr>
      <w:r>
        <w:rPr>
          <w:rFonts w:ascii="Times New Roman" w:hAnsi="Times New Roman"/>
          <w:b w:val="0"/>
          <w:sz w:val="22"/>
        </w:rPr>
        <w:t>From a defensive standpoint, understanding attack trends enables prioritization of security investments. The shift from perimeter-focused defenses to zero-trust architectures reflects the recognition that network boundaries have dissolved. In a zero-trust model, every access request—regardless of origin—is authenticated, authorized, and encrypted. The cryptographic schemes proposed in this dissertation align with zero-trust principles by providing device-bound, transaction-scoped authentication (ECC-DTB-AKA) and persistent integrity proofs that survive service-boundary crossings (ECC-HISE).</w:t>
      </w:r>
    </w:p>
    <w:p>
      <w:pPr>
        <w:pStyle w:val="Heading3"/>
      </w:pPr>
      <w:r>
        <w:t>1.1.4 Regulatory and Standards Landscape</w:t>
      </w:r>
    </w:p>
    <w:p>
      <w:pPr>
        <w:ind w:firstLine="567"/>
      </w:pPr>
      <w:r>
        <w:rPr>
          <w:rFonts w:ascii="Times New Roman" w:hAnsi="Times New Roman"/>
          <w:b w:val="0"/>
          <w:sz w:val="22"/>
        </w:rPr>
        <w:t>The regulatory environment surrounding e-banking security provides both constraints and guidance for cryptographic system design. The Payment Card Industry Data Security Standard (PCI DSS) v4.0 mandates strong cryptography for cardholder data protection, requiring TLS 1.2 or higher for transmission and AES-256 for storage. The European Union's Revised Payment Services Directive (PSD2) requires strong customer authentication (SCA) for electronic payments, implemented through two of three factors: knowledge (password), possession (device/token), and inherence (biometric).</w:t>
      </w:r>
    </w:p>
    <w:p>
      <w:pPr>
        <w:ind w:firstLine="567"/>
      </w:pPr>
      <w:r>
        <w:rPr>
          <w:rFonts w:ascii="Times New Roman" w:hAnsi="Times New Roman"/>
          <w:b w:val="0"/>
          <w:sz w:val="22"/>
        </w:rPr>
        <w:t>NIST Special Publication 800-52 Rev. 2 provides guidelines for TLS implementations in government and commercial systems, recommending TLS 1.3 with specific cipher suites. NIST SP 800-57 Part 1 offers key-management guidance, recommending ECC P-256 for protection through 2030 and P-384 for longer-term requirements. ISO/IEC 27001:2022 specifies information security management system requirements applicable to financial institutions globally.</w:t>
      </w:r>
    </w:p>
    <w:p>
      <w:pPr>
        <w:ind w:firstLine="567"/>
      </w:pPr>
      <w:r>
        <w:rPr>
          <w:rFonts w:ascii="Times New Roman" w:hAnsi="Times New Roman"/>
          <w:b w:val="0"/>
          <w:sz w:val="22"/>
        </w:rPr>
        <w:t>The SWIFT Customer Security Programme (CSP) mandates 32 mandatory and advisory controls for institutions connected to the SWIFT network, including multi-factor authentication for operator sessions, network segmentation, and attestation of security compliance annually. Non-compliance can result in reporting to regulators and potential disconnection from the SWIFT network.</w:t>
      </w:r>
    </w:p>
    <w:p>
      <w:pPr>
        <w:ind w:firstLine="567"/>
      </w:pPr>
      <w:r>
        <w:rPr>
          <w:rFonts w:ascii="Times New Roman" w:hAnsi="Times New Roman"/>
          <w:b w:val="0"/>
          <w:sz w:val="22"/>
        </w:rPr>
        <w:t>These standards collectively establish minimum baselines but do not prescribe integrated methodologies for binding authentication to key exchange or for hierarchical data-protection envelopes. The gap between compliance and comprehensive security motivates the research contributions of this dissertation.</w:t>
      </w:r>
    </w:p>
    <w:p>
      <w:pPr>
        <w:pStyle w:val="Heading3"/>
      </w:pPr>
      <w:r>
        <w:t>1.1.5 Detailed Analysis of Selected Attack Vectors</w:t>
      </w:r>
    </w:p>
    <w:p>
      <w:pPr>
        <w:ind w:firstLine="567"/>
      </w:pPr>
      <w:r>
        <w:rPr>
          <w:rFonts w:ascii="Times New Roman" w:hAnsi="Times New Roman"/>
          <w:b w:val="0"/>
          <w:sz w:val="22"/>
        </w:rPr>
        <w:t>To provide depth beyond the taxonomy presented in Section 1.1.1, this subsection examines three high-impact attack vectors in detail: man-in-the-middle attacks on banking sessions, session hijacking via token theft, and advanced persistent threats (APTs) targeting financial infrastructure.</w:t>
      </w:r>
    </w:p>
    <w:p>
      <w:pPr>
        <w:ind w:firstLine="567"/>
      </w:pPr>
      <w:r>
        <w:rPr>
          <w:rFonts w:ascii="Times New Roman" w:hAnsi="Times New Roman"/>
          <w:b w:val="0"/>
          <w:sz w:val="22"/>
        </w:rPr>
        <w:t>Man-in-the-middle (MITM) attacks on banking sessions exploit the fact that users often cannot distinguish legitimate bank servers from impersonating proxies. In a typical MITM scenario, the attacker positions a proxy between the client and the bank server. If the client does not validate the server's certificate chain correctly—or if the attacker has compromised a trusted CA or uses a corporate SSL-inspection proxy—the attacker can decrypt, inspect, and modify transaction data in real time. Tools such as mitmproxy and Burp Suite, while designed for legitimate security testing, demonstrate the feasibility of this attack class. Banking trojans such as Zeus and Emotet have historically automated MITM against banking websites by injecting fraudulent transaction fields into otherwise legitimate sessions, redirecting wire transfers to attacker-controlled accounts without altering the confirmation screen displayed to the user.</w:t>
      </w:r>
    </w:p>
    <w:p>
      <w:pPr>
        <w:ind w:firstLine="567"/>
      </w:pPr>
      <w:r>
        <w:rPr>
          <w:rFonts w:ascii="Times New Roman" w:hAnsi="Times New Roman"/>
          <w:b w:val="0"/>
          <w:sz w:val="22"/>
        </w:rPr>
        <w:t>Session hijacking via token theft represents a distinct but related threat. After successful authentication, the banking application issues a session token (cookie or bearer token) that the client presents with each subsequent request. If an attacker obtains this token—through XSS, malware memory scraping, or network sniffing on unencrypted channels—the attacker can impersonate the victim without knowing their password or MFA code. The OWASP Session Management Cheat Sheet recommends token rotation, binding tokens to client IP addresses, and using HttpOnly/Secure cookie flags, but these mitigations are not universally implemented and do not provide cryptographic binding between the token and the underlying key-exchange material.</w:t>
      </w:r>
    </w:p>
    <w:p>
      <w:pPr>
        <w:ind w:firstLine="567"/>
      </w:pPr>
      <w:r>
        <w:rPr>
          <w:rFonts w:ascii="Times New Roman" w:hAnsi="Times New Roman"/>
          <w:b w:val="0"/>
          <w:sz w:val="22"/>
        </w:rPr>
        <w:t>Advanced persistent threats (APTs) targeting financial infrastructure operate over extended time periods (weeks to months), maintaining covert access to bank networks while exfiltrating data or preparing fraudulent transactions. APT groups such as Carbanak (also known as FIN7) and Lazarus Group have demonstrated the ability to compromise bank internal networks, learn internal transaction workflows, and execute fraudulent transfers through the same channels used by legitimate operators. APT attacks often begin with spear-phishing emails containing weaponized documents, progress through lateral movement using stolen credentials, and culminate in access to SWIFT terminals or core banking systems. The Bangladesh Bank heist exemplifies an APT-style operation against financial infrastructure.</w:t>
      </w:r>
    </w:p>
    <w:p>
      <w:pPr>
        <w:pStyle w:val="Heading3"/>
      </w:pPr>
      <w:r>
        <w:t>1.1.6 Impact Assessment Framework</w:t>
      </w:r>
    </w:p>
    <w:p>
      <w:pPr>
        <w:ind w:firstLine="567"/>
      </w:pPr>
      <w:r>
        <w:rPr>
          <w:rFonts w:ascii="Times New Roman" w:hAnsi="Times New Roman"/>
          <w:b w:val="0"/>
          <w:sz w:val="22"/>
        </w:rPr>
        <w:t>Assessing the impact of attacks on e-banking systems requires a multidimensional framework that goes beyond simple financial loss figures. We adopt a framework with four impact dimensions: financial, operational, reputational, and regulatory.</w:t>
      </w:r>
    </w:p>
    <w:p>
      <w:pPr>
        <w:ind w:firstLine="567"/>
      </w:pPr>
      <w:r>
        <w:rPr>
          <w:rFonts w:ascii="Times New Roman" w:hAnsi="Times New Roman"/>
          <w:b w:val="0"/>
          <w:sz w:val="22"/>
        </w:rPr>
        <w:t>Financial impact encompasses direct losses (fraudulent transfers, ransom payments), indirect losses (customer compensation, legal fees), and recovery costs (forensic investigation, system restoration). The Ponemon Institute and IBM jointly publish annual cost-of-breach figures; for financial services in 2024, the average total cost was $5.9 million per breach, with an average of 258 days to identify and contain the breach.</w:t>
      </w:r>
    </w:p>
    <w:p>
      <w:pPr>
        <w:ind w:firstLine="567"/>
      </w:pPr>
      <w:r>
        <w:rPr>
          <w:rFonts w:ascii="Times New Roman" w:hAnsi="Times New Roman"/>
          <w:b w:val="0"/>
          <w:sz w:val="22"/>
        </w:rPr>
        <w:t>Operational impact includes service downtime, degraded performance during attacks, and diversion of IT resources from planned projects to incident response. A DDoS attack against a major bank's online banking portal can prevent millions of customers from accessing services for hours, generating call-center surges and transaction backlogs. The operational resilience requirements of the Bank of England and the European Central Bank mandate maximum tolerable downtime thresholds for critical payment systems.</w:t>
      </w:r>
    </w:p>
    <w:p>
      <w:pPr>
        <w:ind w:firstLine="567"/>
      </w:pPr>
      <w:r>
        <w:rPr>
          <w:rFonts w:ascii="Times New Roman" w:hAnsi="Times New Roman"/>
          <w:b w:val="0"/>
          <w:sz w:val="22"/>
        </w:rPr>
        <w:t>Reputational impact manifests as customer attrition, negative media coverage, and reduced stock valuation. Studies indicate that publicly traded banks experience an average stock price decline of 5–7% in the week following a major breach announcement, with partial recovery over subsequent months. Customer trust, once eroded, requires sustained investment in transparency and security improvements to rebuild.</w:t>
      </w:r>
    </w:p>
    <w:p>
      <w:pPr>
        <w:ind w:firstLine="567"/>
      </w:pPr>
      <w:r>
        <w:rPr>
          <w:rFonts w:ascii="Times New Roman" w:hAnsi="Times New Roman"/>
          <w:b w:val="0"/>
          <w:sz w:val="22"/>
        </w:rPr>
        <w:t>Regulatory impact includes fines, consent orders, and increased supervisory scrutiny. The GDPR permits fines up to 4% of global annual revenue for serious data protection violations. The U.S. Office of the Comptroller of the Currency (OCC) and the Federal Reserve have issued consent orders against banks with deficient cybersecurity programs, requiring multi-year remediation plans and independent third-party assessments.</w:t>
      </w:r>
    </w:p>
    <w:p>
      <w:pPr>
        <w:pStyle w:val="Heading2"/>
      </w:pPr>
      <w:r>
        <w:t>1.2 Authentication and Key Exchange in E-Banking Systems</w:t>
      </w:r>
    </w:p>
    <w:p>
      <w:pPr>
        <w:ind w:firstLine="567"/>
      </w:pPr>
      <w:r>
        <w:rPr>
          <w:rFonts w:ascii="Times New Roman" w:hAnsi="Times New Roman"/>
          <w:b w:val="0"/>
          <w:sz w:val="22"/>
        </w:rPr>
        <w:t>Authentication and key exchange form the first line of cryptographic defense in e-banking systems. Before any financial transaction can be authorized, the participating parties must establish mutual confidence in each other's identity and agree upon cryptographic keys for protecting subsequent communication. This section reviews the authentication and key-exchange mechanisms currently deployed in client-server and server-server environments of e-banking and e-finance services, analyzes their operational characteristics, and identifies limitations that motivate the scheme proposed in Chapter 2.</w:t>
      </w:r>
    </w:p>
    <w:p>
      <w:pPr>
        <w:pStyle w:val="Heading3"/>
      </w:pPr>
      <w:r>
        <w:t>1.2.1 Client-Server Authentication Mechanisms</w:t>
      </w:r>
    </w:p>
    <w:p>
      <w:pPr>
        <w:ind w:firstLine="567"/>
      </w:pPr>
      <w:r>
        <w:rPr>
          <w:rFonts w:ascii="Times New Roman" w:hAnsi="Times New Roman"/>
          <w:b w:val="0"/>
          <w:sz w:val="22"/>
        </w:rPr>
        <w:t>The dominant client-server authentication model in retail e-banking comprises TLS 1.2/1.3 transport layer security combined with application-layer username-password authentication, often supplemented by a second factor (SMS OTP, hardware token, or mobile push notification). In this model, TLS provides server authentication via X.509 certificates and establishes encrypted channels, while the application layer authenticates the user independently.</w:t>
      </w:r>
    </w:p>
    <w:p>
      <w:pPr>
        <w:ind w:firstLine="567"/>
      </w:pPr>
      <w:r>
        <w:rPr>
          <w:rFonts w:ascii="Times New Roman" w:hAnsi="Times New Roman"/>
          <w:b w:val="0"/>
          <w:sz w:val="22"/>
        </w:rPr>
        <w:t>The TLS 1.3 handshake protocol operates as follows: the client sends a ClientHello message specifying supported cipher suites and a key share (typically ECDHE on curve X25519 or P-256). The server responds with ServerHello, its certificate chain, and a key share. Both parties derive handshake traffic keys and application traffic keys using HKDF. The full handshake requires one round trip (1-RTT); a subsequent resumption using pre-shared keys achieves 0-RTT, though 0-RTT data is vulnerable to replay attacks and is therefore restricted by banking applications.</w:t>
      </w:r>
    </w:p>
    <w:p>
      <w:pPr>
        <w:ind w:firstLine="567"/>
      </w:pPr>
      <w:r>
        <w:rPr>
          <w:rFonts w:ascii="Times New Roman" w:hAnsi="Times New Roman"/>
          <w:b w:val="0"/>
          <w:sz w:val="22"/>
        </w:rPr>
        <w:t>Application-layer authentication typically follows the TLS handshake. The client submits credentials (username, password hash, or token) over the encrypted channel. The server validates credentials against a stored database, often using bcrypt, scrypt, or Argon2 password hashing. Upon success, the server issues a session token (commonly a JSON Web Token or opaque server-side session identifier) that the client presents with subsequent requests.</w:t>
      </w:r>
    </w:p>
    <w:p>
      <w:pPr>
        <w:ind w:firstLine="567"/>
      </w:pPr>
      <w:r>
        <w:rPr>
          <w:rFonts w:ascii="Times New Roman" w:hAnsi="Times New Roman"/>
          <w:b w:val="0"/>
          <w:sz w:val="22"/>
        </w:rPr>
        <w:t>Multi-factor authentication (MFA) adds a second verification step. SMS-based OTP remains prevalent despite known vulnerabilities to SIM-swapping and SS7 protocol attacks. Time-based one-time passwords (TOTP) per RFC 6238, implemented by applications such as Google Authenticator, provide stronger security but are susceptible to real-time phishing proxies (e.g., Evilginx) that relay OTPs to the attacker. FIDO2/WebAuthn, based on public-key cryptography with hardware security keys or platform authenticators (biometrics), represents the current state of the art for phishing-resistant MFA.</w:t>
      </w:r>
    </w:p>
    <w:p>
      <w:pPr>
        <w:jc w:val="center"/>
      </w:pPr>
      <w:r>
        <w:drawing>
          <wp:inline xmlns:a="http://schemas.openxmlformats.org/drawingml/2006/main" xmlns:pic="http://schemas.openxmlformats.org/drawingml/2006/picture">
            <wp:extent cx="5040000" cy="2856606"/>
            <wp:docPr id="2" name="Picture 2"/>
            <wp:cNvGraphicFramePr>
              <a:graphicFrameLocks noChangeAspect="1"/>
            </wp:cNvGraphicFramePr>
            <a:graphic>
              <a:graphicData uri="http://schemas.openxmlformats.org/drawingml/2006/picture">
                <pic:pic>
                  <pic:nvPicPr>
                    <pic:cNvPr id="0" name="fig_1_2_client_auth_flow.png"/>
                    <pic:cNvPicPr/>
                  </pic:nvPicPr>
                  <pic:blipFill>
                    <a:blip r:embed="rId10"/>
                    <a:stretch>
                      <a:fillRect/>
                    </a:stretch>
                  </pic:blipFill>
                  <pic:spPr>
                    <a:xfrm>
                      <a:off x="0" y="0"/>
                      <a:ext cx="5040000" cy="2856606"/>
                    </a:xfrm>
                    <a:prstGeom prst="rect"/>
                  </pic:spPr>
                </pic:pic>
              </a:graphicData>
            </a:graphic>
          </wp:inline>
        </w:drawing>
      </w:r>
    </w:p>
    <w:p>
      <w:pPr>
        <w:jc w:val="center"/>
      </w:pPr>
      <w:r>
        <w:rPr>
          <w:rFonts w:ascii="Times New Roman" w:hAnsi="Times New Roman"/>
          <w:i/>
          <w:sz w:val="20"/>
        </w:rPr>
        <w:t>Current client-server authentication flow: TLS handshake → credential submission → MFA challenge → session token issuance (Figure 1.2).</w:t>
      </w:r>
    </w:p>
    <w:p>
      <w:pPr>
        <w:pStyle w:val="Heading3"/>
      </w:pPr>
      <w:r>
        <w:t>1.2.2 Server-Server Authentication and Key Exchange</w:t>
      </w:r>
    </w:p>
    <w:p>
      <w:pPr>
        <w:ind w:firstLine="567"/>
      </w:pPr>
      <w:r>
        <w:rPr>
          <w:rFonts w:ascii="Times New Roman" w:hAnsi="Times New Roman"/>
          <w:b w:val="0"/>
          <w:sz w:val="22"/>
        </w:rPr>
        <w:t>Server-server authentication in e-finance encompasses communication between a bank's internal microservices, inter-bank payment networks (SWIFT, ACH, Fedwire, SEPA), card network processors (Visa, Mastercard), and third-party open-banking aggregators. These channels typically employ mutual TLS (mTLS) with client certificates, VPN tunnels, or dedicated leased lines with link-layer encryption.</w:t>
      </w:r>
    </w:p>
    <w:p>
      <w:pPr>
        <w:ind w:firstLine="567"/>
      </w:pPr>
      <w:r>
        <w:rPr>
          <w:rFonts w:ascii="Times New Roman" w:hAnsi="Times New Roman"/>
          <w:b w:val="0"/>
          <w:sz w:val="22"/>
        </w:rPr>
        <w:t>In the SWIFT network, authentication relies on the SWIFT Alliance Access software and bilateral key exchange (BKE) between institutions. Message authentication uses symmetric keys distributed through SWIFT's Secure Channel protocol. The 2016 Bangladesh Bank heist exposed weaknesses in institutions' local security practices surrounding SWIFT terminal access rather than fundamental flaws in SWIFT's cryptographic protocols, but the incident nonetheless highlighted the importance of end-to-end authentication binding.</w:t>
      </w:r>
    </w:p>
    <w:p>
      <w:pPr>
        <w:ind w:firstLine="567"/>
      </w:pPr>
      <w:r>
        <w:rPr>
          <w:rFonts w:ascii="Times New Roman" w:hAnsi="Times New Roman"/>
          <w:b w:val="0"/>
          <w:sz w:val="22"/>
        </w:rPr>
        <w:t>Modern microservice architectures within banks increasingly use service mesh platforms (e.g., Istio, Linkerd) that automate mTLS between services. Certificate authorities internal to the bank issue short-lived certificates (typically 24-hour validity) to each service instance. While mTLS provides strong transport security, it does not address application-level authorization, message-level integrity for stored records, or auditability requirements for regulatory compliance.</w:t>
      </w:r>
    </w:p>
    <w:p>
      <w:pPr>
        <w:ind w:firstLine="567"/>
      </w:pPr>
      <w:r>
        <w:rPr>
          <w:rFonts w:ascii="Times New Roman" w:hAnsi="Times New Roman"/>
          <w:b w:val="0"/>
          <w:sz w:val="22"/>
        </w:rPr>
        <w:t>API-based open-banking connections (under PSD2, Open Banking UK, and similar frameworks) use OAuth 2.0 with PKCE (Proof Key for Code Exchange) for customer consent and access-token issuance. The authorization server authenticates the third-party provider, while the resource server (bank API) validates access tokens. Limitations include token theft via XSS, insufficient scope granularity, and the absence of transaction-level cryptographic binding.</w:t>
      </w:r>
    </w:p>
    <w:p>
      <w:pPr>
        <w:jc w:val="center"/>
      </w:pPr>
      <w:r>
        <w:drawing>
          <wp:inline xmlns:a="http://schemas.openxmlformats.org/drawingml/2006/main" xmlns:pic="http://schemas.openxmlformats.org/drawingml/2006/picture">
            <wp:extent cx="5040000" cy="2854545"/>
            <wp:docPr id="3" name="Picture 3"/>
            <wp:cNvGraphicFramePr>
              <a:graphicFrameLocks noChangeAspect="1"/>
            </wp:cNvGraphicFramePr>
            <a:graphic>
              <a:graphicData uri="http://schemas.openxmlformats.org/drawingml/2006/picture">
                <pic:pic>
                  <pic:nvPicPr>
                    <pic:cNvPr id="0" name="fig_1_3_server_mesh.png"/>
                    <pic:cNvPicPr/>
                  </pic:nvPicPr>
                  <pic:blipFill>
                    <a:blip r:embed="rId11"/>
                    <a:stretch>
                      <a:fillRect/>
                    </a:stretch>
                  </pic:blipFill>
                  <pic:spPr>
                    <a:xfrm>
                      <a:off x="0" y="0"/>
                      <a:ext cx="5040000" cy="2854545"/>
                    </a:xfrm>
                    <a:prstGeom prst="rect"/>
                  </pic:spPr>
                </pic:pic>
              </a:graphicData>
            </a:graphic>
          </wp:inline>
        </w:drawing>
      </w:r>
    </w:p>
    <w:p>
      <w:pPr>
        <w:jc w:val="center"/>
      </w:pPr>
      <w:r>
        <w:rPr>
          <w:rFonts w:ascii="Times New Roman" w:hAnsi="Times New Roman"/>
          <w:i/>
          <w:sz w:val="20"/>
        </w:rPr>
        <w:t>Server-server authentication in a microservice e-finance architecture with mTLS service mesh (Figure 1.3).</w:t>
      </w:r>
    </w:p>
    <w:p>
      <w:pPr>
        <w:pStyle w:val="Heading3"/>
      </w:pPr>
      <w:r>
        <w:t>1.2.3 Identified Limitations and Drawbacks</w:t>
      </w:r>
    </w:p>
    <w:p>
      <w:pPr>
        <w:ind w:firstLine="567"/>
      </w:pPr>
      <w:r>
        <w:rPr>
          <w:rFonts w:ascii="Times New Roman" w:hAnsi="Times New Roman"/>
          <w:b w:val="0"/>
          <w:sz w:val="22"/>
        </w:rPr>
        <w:t>Despite the breadth of deployed mechanisms, significant limitations persist in current client-server and server-server authentication and key-exchange practices. These limitations directly motivate the ECC-DTB-AKA scheme proposed in Chapter 2.</w:t>
      </w:r>
    </w:p>
    <w:p>
      <w:pPr>
        <w:ind w:firstLine="567"/>
      </w:pPr>
      <w:r>
        <w:rPr>
          <w:rFonts w:ascii="Times New Roman" w:hAnsi="Times New Roman"/>
          <w:b w:val="0"/>
          <w:sz w:val="22"/>
        </w:rPr>
        <w:t>Limitation 1 — Decoupled transport and application authentication: TLS authenticates the server (and optionally the client via mTLS) at the transport layer, while user authentication occurs separately at the application layer. This decoupling creates a gap: a valid TLS session does not cryptographically bind the authenticated user identity to the encryption keys. An attacker who compromises a session token can hijack the application session even though the TLS channel remains intact.</w:t>
      </w:r>
    </w:p>
    <w:p>
      <w:pPr>
        <w:ind w:firstLine="567"/>
      </w:pPr>
      <w:r>
        <w:rPr>
          <w:rFonts w:ascii="Times New Roman" w:hAnsi="Times New Roman"/>
          <w:b w:val="0"/>
          <w:sz w:val="22"/>
        </w:rPr>
        <w:t>Limitation 2 — Absence of device binding in key exchange: Standard TLS ECDHE derives session keys from ephemeral key pairs only, without incorporating device characteristics. If a session token is exfiltrated, it can be replayed from a different device. FIDO2 addresses this for the authentication step but does not integrate device binding into the key-exchange derivation itself.</w:t>
      </w:r>
    </w:p>
    <w:p>
      <w:pPr>
        <w:ind w:firstLine="567"/>
      </w:pPr>
      <w:r>
        <w:rPr>
          <w:rFonts w:ascii="Times New Roman" w:hAnsi="Times New Roman"/>
          <w:b w:val="0"/>
          <w:sz w:val="22"/>
        </w:rPr>
        <w:t>Limitation 3 — No transaction-level key derivation: Once a session is established, the same application traffic keys protect all transactions within the session. Compromise of session keys exposes all transactions, not merely the current one. Per-transaction key derivation without additional round trips is not supported by TLS or OAuth 2.0.</w:t>
      </w:r>
    </w:p>
    <w:p>
      <w:pPr>
        <w:ind w:firstLine="567"/>
      </w:pPr>
      <w:r>
        <w:rPr>
          <w:rFonts w:ascii="Times New Roman" w:hAnsi="Times New Roman"/>
          <w:b w:val="0"/>
          <w:sz w:val="22"/>
        </w:rPr>
        <w:t>Limitation 4 — Session token vulnerability: Opaque session tokens and JWTs are bearer credentials—whoever possesses the token is authenticated. Token theft via XSS, malware, or network interception remains a prevalent attack vector. Binding tokens to cryptographic key material established during authenticated key agreement would limit the impact of token compromise.</w:t>
      </w:r>
    </w:p>
    <w:p>
      <w:pPr>
        <w:ind w:firstLine="567"/>
      </w:pPr>
      <w:r>
        <w:rPr>
          <w:rFonts w:ascii="Times New Roman" w:hAnsi="Times New Roman"/>
          <w:b w:val="0"/>
          <w:sz w:val="22"/>
        </w:rPr>
        <w:t>Limitation 5 — Server-server channels lack message-level security: mTLS protects data in transit between services but does not provide persistent integrity proofs for stored or forwarded messages. If a message is intercepted after TLS termination and before re-encryption, it is vulnerable to tampering.</w:t>
      </w:r>
    </w:p>
    <w:p>
      <w:pPr>
        <w:ind w:firstLine="567"/>
      </w:pPr>
      <w:r>
        <w:rPr>
          <w:rFonts w:ascii="Times New Roman" w:hAnsi="Times New Roman"/>
          <w:b w:val="0"/>
          <w:sz w:val="22"/>
        </w:rPr>
        <w:t>Limitation 6 — Insufficient forward secrecy in legacy deployments: Although TLS 1.3 mandates forward secrecy, many e-banking systems still support TLS 1.2 with cipher suites that do not use ephemeral Diffie-Hellman (e.g., RSA key transport). Legacy load balancers and API gateways may terminate TLS and re-encrypt with weaker configurations, creating forward-secrecy gaps.</w:t>
      </w:r>
    </w:p>
    <w:p>
      <w:pPr>
        <w:ind w:firstLine="567"/>
      </w:pPr>
      <w:r>
        <w:rPr>
          <w:rFonts w:ascii="Times New Roman" w:hAnsi="Times New Roman"/>
          <w:b w:val="0"/>
          <w:sz w:val="22"/>
        </w:rPr>
        <w:t>These six limitations collectively demonstrate that current authentication and key-exchange practices in e-banking systems, while adequate for baseline compliance, fail to provide the cryptographic binding of identity, device, and transaction context necessary to resist the attack mechanisms cataloged in Section 1.1. Chapter 2 addresses these limitations through the ECC-DTB-AKA protocol, which integrates mutual authentication, ECDH-based forward secrecy, device fingerprint binding, and on-demand transaction key derivation into a unified three-round handshake.</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Limitation</w:t>
            </w:r>
          </w:p>
        </w:tc>
        <w:tc>
          <w:tcPr>
            <w:tcW w:type="dxa" w:w="1786"/>
          </w:tcPr>
          <w:p>
            <w:r>
              <w:rPr>
                <w:rFonts w:ascii="Times New Roman" w:hAnsi="Times New Roman"/>
                <w:b/>
                <w:sz w:val="20"/>
              </w:rPr>
              <w:t>Affected Mechanism</w:t>
            </w:r>
          </w:p>
        </w:tc>
        <w:tc>
          <w:tcPr>
            <w:tcW w:type="dxa" w:w="1786"/>
          </w:tcPr>
          <w:p>
            <w:r>
              <w:rPr>
                <w:rFonts w:ascii="Times New Roman" w:hAnsi="Times New Roman"/>
                <w:b/>
                <w:sz w:val="20"/>
              </w:rPr>
              <w:t>Attack Enabled</w:t>
            </w:r>
          </w:p>
        </w:tc>
        <w:tc>
          <w:tcPr>
            <w:tcW w:type="dxa" w:w="1786"/>
          </w:tcPr>
          <w:p>
            <w:r>
              <w:rPr>
                <w:rFonts w:ascii="Times New Roman" w:hAnsi="Times New Roman"/>
                <w:b/>
                <w:sz w:val="20"/>
              </w:rPr>
              <w:t>Severity</w:t>
            </w:r>
          </w:p>
        </w:tc>
      </w:tr>
      <w:tr>
        <w:tc>
          <w:tcPr>
            <w:tcW w:type="dxa" w:w="1786"/>
          </w:tcPr>
          <w:p>
            <w:r>
              <w:rPr>
                <w:rFonts w:ascii="Times New Roman" w:hAnsi="Times New Roman"/>
                <w:sz w:val="20"/>
              </w:rPr>
              <w:t>Decoupled auth layers</w:t>
            </w:r>
          </w:p>
        </w:tc>
        <w:tc>
          <w:tcPr>
            <w:tcW w:type="dxa" w:w="1786"/>
          </w:tcPr>
          <w:p>
            <w:r>
              <w:rPr>
                <w:rFonts w:ascii="Times New Roman" w:hAnsi="Times New Roman"/>
                <w:sz w:val="20"/>
              </w:rPr>
              <w:t>TLS + app login</w:t>
            </w:r>
          </w:p>
        </w:tc>
        <w:tc>
          <w:tcPr>
            <w:tcW w:type="dxa" w:w="1786"/>
          </w:tcPr>
          <w:p>
            <w:r>
              <w:rPr>
                <w:rFonts w:ascii="Times New Roman" w:hAnsi="Times New Roman"/>
                <w:sz w:val="20"/>
              </w:rPr>
              <w:t>Session hijacking</w:t>
            </w:r>
          </w:p>
        </w:tc>
        <w:tc>
          <w:tcPr>
            <w:tcW w:type="dxa" w:w="1786"/>
          </w:tcPr>
          <w:p>
            <w:r>
              <w:rPr>
                <w:rFonts w:ascii="Times New Roman" w:hAnsi="Times New Roman"/>
                <w:sz w:val="20"/>
              </w:rPr>
              <w:t>High</w:t>
            </w:r>
          </w:p>
        </w:tc>
      </w:tr>
      <w:tr>
        <w:tc>
          <w:tcPr>
            <w:tcW w:type="dxa" w:w="1786"/>
          </w:tcPr>
          <w:p>
            <w:r>
              <w:rPr>
                <w:rFonts w:ascii="Times New Roman" w:hAnsi="Times New Roman"/>
                <w:sz w:val="20"/>
              </w:rPr>
              <w:t>No device binding</w:t>
            </w:r>
          </w:p>
        </w:tc>
        <w:tc>
          <w:tcPr>
            <w:tcW w:type="dxa" w:w="1786"/>
          </w:tcPr>
          <w:p>
            <w:r>
              <w:rPr>
                <w:rFonts w:ascii="Times New Roman" w:hAnsi="Times New Roman"/>
                <w:sz w:val="20"/>
              </w:rPr>
              <w:t>TLS ECDHE</w:t>
            </w:r>
          </w:p>
        </w:tc>
        <w:tc>
          <w:tcPr>
            <w:tcW w:type="dxa" w:w="1786"/>
          </w:tcPr>
          <w:p>
            <w:r>
              <w:rPr>
                <w:rFonts w:ascii="Times New Roman" w:hAnsi="Times New Roman"/>
                <w:sz w:val="20"/>
              </w:rPr>
              <w:t>Credential replay from new device</w:t>
            </w:r>
          </w:p>
        </w:tc>
        <w:tc>
          <w:tcPr>
            <w:tcW w:type="dxa" w:w="1786"/>
          </w:tcPr>
          <w:p>
            <w:r>
              <w:rPr>
                <w:rFonts w:ascii="Times New Roman" w:hAnsi="Times New Roman"/>
                <w:sz w:val="20"/>
              </w:rPr>
              <w:t>High</w:t>
            </w:r>
          </w:p>
        </w:tc>
      </w:tr>
      <w:tr>
        <w:tc>
          <w:tcPr>
            <w:tcW w:type="dxa" w:w="1786"/>
          </w:tcPr>
          <w:p>
            <w:r>
              <w:rPr>
                <w:rFonts w:ascii="Times New Roman" w:hAnsi="Times New Roman"/>
                <w:sz w:val="20"/>
              </w:rPr>
              <w:t>No per-txn key derivation</w:t>
            </w:r>
          </w:p>
        </w:tc>
        <w:tc>
          <w:tcPr>
            <w:tcW w:type="dxa" w:w="1786"/>
          </w:tcPr>
          <w:p>
            <w:r>
              <w:rPr>
                <w:rFonts w:ascii="Times New Roman" w:hAnsi="Times New Roman"/>
                <w:sz w:val="20"/>
              </w:rPr>
              <w:t>TLS session keys</w:t>
            </w:r>
          </w:p>
        </w:tc>
        <w:tc>
          <w:tcPr>
            <w:tcW w:type="dxa" w:w="1786"/>
          </w:tcPr>
          <w:p>
            <w:r>
              <w:rPr>
                <w:rFonts w:ascii="Times New Roman" w:hAnsi="Times New Roman"/>
                <w:sz w:val="20"/>
              </w:rPr>
              <w:t>Bulk transaction exposure</w:t>
            </w:r>
          </w:p>
        </w:tc>
        <w:tc>
          <w:tcPr>
            <w:tcW w:type="dxa" w:w="1786"/>
          </w:tcPr>
          <w:p>
            <w:r>
              <w:rPr>
                <w:rFonts w:ascii="Times New Roman" w:hAnsi="Times New Roman"/>
                <w:sz w:val="20"/>
              </w:rPr>
              <w:t>Medium</w:t>
            </w:r>
          </w:p>
        </w:tc>
      </w:tr>
      <w:tr>
        <w:tc>
          <w:tcPr>
            <w:tcW w:type="dxa" w:w="1786"/>
          </w:tcPr>
          <w:p>
            <w:r>
              <w:rPr>
                <w:rFonts w:ascii="Times New Roman" w:hAnsi="Times New Roman"/>
                <w:sz w:val="20"/>
              </w:rPr>
              <w:t>Bearer session tokens</w:t>
            </w:r>
          </w:p>
        </w:tc>
        <w:tc>
          <w:tcPr>
            <w:tcW w:type="dxa" w:w="1786"/>
          </w:tcPr>
          <w:p>
            <w:r>
              <w:rPr>
                <w:rFonts w:ascii="Times New Roman" w:hAnsi="Times New Roman"/>
                <w:sz w:val="20"/>
              </w:rPr>
              <w:t>JWT / opaque tokens</w:t>
            </w:r>
          </w:p>
        </w:tc>
        <w:tc>
          <w:tcPr>
            <w:tcW w:type="dxa" w:w="1786"/>
          </w:tcPr>
          <w:p>
            <w:r>
              <w:rPr>
                <w:rFonts w:ascii="Times New Roman" w:hAnsi="Times New Roman"/>
                <w:sz w:val="20"/>
              </w:rPr>
              <w:t>Token theft (XSS, malware)</w:t>
            </w:r>
          </w:p>
        </w:tc>
        <w:tc>
          <w:tcPr>
            <w:tcW w:type="dxa" w:w="1786"/>
          </w:tcPr>
          <w:p>
            <w:r>
              <w:rPr>
                <w:rFonts w:ascii="Times New Roman" w:hAnsi="Times New Roman"/>
                <w:sz w:val="20"/>
              </w:rPr>
              <w:t>High</w:t>
            </w:r>
          </w:p>
        </w:tc>
      </w:tr>
      <w:tr>
        <w:tc>
          <w:tcPr>
            <w:tcW w:type="dxa" w:w="1786"/>
          </w:tcPr>
          <w:p>
            <w:r>
              <w:rPr>
                <w:rFonts w:ascii="Times New Roman" w:hAnsi="Times New Roman"/>
                <w:sz w:val="20"/>
              </w:rPr>
              <w:t>No message-level integrity</w:t>
            </w:r>
          </w:p>
        </w:tc>
        <w:tc>
          <w:tcPr>
            <w:tcW w:type="dxa" w:w="1786"/>
          </w:tcPr>
          <w:p>
            <w:r>
              <w:rPr>
                <w:rFonts w:ascii="Times New Roman" w:hAnsi="Times New Roman"/>
                <w:sz w:val="20"/>
              </w:rPr>
              <w:t>mTLS only</w:t>
            </w:r>
          </w:p>
        </w:tc>
        <w:tc>
          <w:tcPr>
            <w:tcW w:type="dxa" w:w="1786"/>
          </w:tcPr>
          <w:p>
            <w:r>
              <w:rPr>
                <w:rFonts w:ascii="Times New Roman" w:hAnsi="Times New Roman"/>
                <w:sz w:val="20"/>
              </w:rPr>
              <w:t>Post-termination tampering</w:t>
            </w:r>
          </w:p>
        </w:tc>
        <w:tc>
          <w:tcPr>
            <w:tcW w:type="dxa" w:w="1786"/>
          </w:tcPr>
          <w:p>
            <w:r>
              <w:rPr>
                <w:rFonts w:ascii="Times New Roman" w:hAnsi="Times New Roman"/>
                <w:sz w:val="20"/>
              </w:rPr>
              <w:t>Medium</w:t>
            </w:r>
          </w:p>
        </w:tc>
      </w:tr>
      <w:tr>
        <w:tc>
          <w:tcPr>
            <w:tcW w:type="dxa" w:w="1786"/>
          </w:tcPr>
          <w:p>
            <w:r>
              <w:rPr>
                <w:rFonts w:ascii="Times New Roman" w:hAnsi="Times New Roman"/>
                <w:sz w:val="20"/>
              </w:rPr>
              <w:t>Legacy TLS configurations</w:t>
            </w:r>
          </w:p>
        </w:tc>
        <w:tc>
          <w:tcPr>
            <w:tcW w:type="dxa" w:w="1786"/>
          </w:tcPr>
          <w:p>
            <w:r>
              <w:rPr>
                <w:rFonts w:ascii="Times New Roman" w:hAnsi="Times New Roman"/>
                <w:sz w:val="20"/>
              </w:rPr>
              <w:t>TLS 1.2 RSA suites</w:t>
            </w:r>
          </w:p>
        </w:tc>
        <w:tc>
          <w:tcPr>
            <w:tcW w:type="dxa" w:w="1786"/>
          </w:tcPr>
          <w:p>
            <w:r>
              <w:rPr>
                <w:rFonts w:ascii="Times New Roman" w:hAnsi="Times New Roman"/>
                <w:sz w:val="20"/>
              </w:rPr>
              <w:t>Retroactive decryption</w:t>
            </w:r>
          </w:p>
        </w:tc>
        <w:tc>
          <w:tcPr>
            <w:tcW w:type="dxa" w:w="1786"/>
          </w:tcPr>
          <w:p>
            <w:r>
              <w:rPr>
                <w:rFonts w:ascii="Times New Roman" w:hAnsi="Times New Roman"/>
                <w:sz w:val="20"/>
              </w:rPr>
              <w:t>Medium</w:t>
            </w:r>
          </w:p>
        </w:tc>
      </w:tr>
    </w:tbl>
    <w:p>
      <w:pPr>
        <w:jc w:val="center"/>
      </w:pPr>
      <w:r>
        <w:rPr>
          <w:rFonts w:ascii="Times New Roman" w:hAnsi="Times New Roman"/>
          <w:i/>
          <w:sz w:val="20"/>
        </w:rPr>
        <w:t>Table 1.2: Limitations of current authentication and key-exchange mechanisms.</w:t>
      </w:r>
    </w:p>
    <w:p/>
    <w:p>
      <w:pPr>
        <w:pStyle w:val="Heading3"/>
      </w:pPr>
      <w:r>
        <w:t>1.2.4 Elliptic Curve Cryptography in Financial Authentication</w:t>
      </w:r>
    </w:p>
    <w:p>
      <w:pPr>
        <w:ind w:firstLine="567"/>
      </w:pPr>
      <w:r>
        <w:rPr>
          <w:rFonts w:ascii="Times New Roman" w:hAnsi="Times New Roman"/>
          <w:b w:val="0"/>
          <w:sz w:val="22"/>
        </w:rPr>
        <w:t>Elliptic curve cryptography has become the preferred public-key primitive for new financial authentication deployments. Understanding its role in current systems is essential context for the novel schemes proposed in Chapters 2 and 3.</w:t>
      </w:r>
    </w:p>
    <w:p>
      <w:pPr>
        <w:ind w:firstLine="567"/>
      </w:pPr>
      <w:r>
        <w:rPr>
          <w:rFonts w:ascii="Times New Roman" w:hAnsi="Times New Roman"/>
          <w:b w:val="0"/>
          <w:sz w:val="22"/>
        </w:rPr>
        <w:t>An elliptic curve E over a finite field F_p is the set of points (x, y) satisfying the Weierstrass equation y² = x³ + ax + b (mod p), together with a point at infinity forming an abelian group. Cryptographic security relies on the hardness of the elliptic curve discrete logarithm problem (ECDLP): given points P and Q = [k]P, find scalar k. For properly chosen curves with sufficiently large prime subgroups, the best known algorithms require exponential time, providing security proportional to half the bit length of the subgroup order.</w:t>
      </w:r>
    </w:p>
    <w:p>
      <w:pPr>
        <w:ind w:firstLine="567"/>
      </w:pPr>
      <w:r>
        <w:rPr>
          <w:rFonts w:ascii="Times New Roman" w:hAnsi="Times New Roman"/>
          <w:b w:val="0"/>
          <w:sz w:val="22"/>
        </w:rPr>
        <w:t>In TLS 1.3, the default key-exchange mechanism is ECDHE (Elliptic Curve Diffie-Hellman Ephemeral), using curves X25519 or P-256. The ephemeral nature of ECDHE provides forward secrecy: compromise of the server's long-term private key does not enable decryption of previously recorded sessions. EMV chip cards use ECDSA on curve secp256r1 for offline and online transaction authentication. FIDO2/WebAuthn employs ECDSA or Ed25519 for credential key pairs stored in hardware authenticators.</w:t>
      </w:r>
    </w:p>
    <w:p>
      <w:pPr>
        <w:ind w:firstLine="567"/>
      </w:pPr>
      <w:r>
        <w:rPr>
          <w:rFonts w:ascii="Times New Roman" w:hAnsi="Times New Roman"/>
          <w:b w:val="0"/>
          <w:sz w:val="22"/>
        </w:rPr>
        <w:t>Despite widespread ECC adoption, current deployments use ECC primarily for individual cryptographic operations (key agreement, signing) rather than as an integrated methodology binding authentication, key exchange, device context, and transaction scope. The ECC-DTB-AKA scheme proposed in Chapter 2 extends ECC key agreement with additional binding inputs (device fingerprint, transaction nonce) in the HKDF derivation, creating a cohesive protocol rather than a stack of independent cryptographic layers.</w:t>
      </w:r>
    </w:p>
    <w:p>
      <w:pPr>
        <w:pStyle w:val="Heading3"/>
      </w:pPr>
      <w:r>
        <w:t>1.2.5 Comparative Overview of Authentication Protocols</w:t>
      </w:r>
    </w:p>
    <w:p>
      <w:pPr>
        <w:ind w:firstLine="567"/>
      </w:pPr>
      <w:r>
        <w:rPr>
          <w:rFonts w:ascii="Times New Roman" w:hAnsi="Times New Roman"/>
          <w:b w:val="0"/>
          <w:sz w:val="22"/>
        </w:rPr>
        <w:t>Table 1.4 provides a comparative overview of authentication and key-exchange protocols commonly used in e-banking systems, highlighting properties relevant to the limitations identified in Section 1.2.3.</w:t>
      </w:r>
    </w:p>
    <w:p>
      <w:pPr>
        <w:ind w:firstLine="567"/>
      </w:pPr>
      <w:r>
        <w:rPr>
          <w:rFonts w:ascii="Times New Roman" w:hAnsi="Times New Roman"/>
          <w:b w:val="0"/>
          <w:sz w:val="22"/>
        </w:rPr>
        <w:t>TLS 1.3 full handshake provides server authentication and forward-secure key agreement in one round trip but does not authenticate the user at the cryptographic layer. OAuth 2.0 with PKCE adds authorization delegation for third-party API access but relies on bearer tokens vulnerable to theft. FIDO2 provides phishing-resistant user authentication but does not integrate with key-exchange derivation. Kerberos with PKINIT (public-key initialization) supports mutual authentication in enterprise environments but is rarely deployed in retail e-banking client-server channels.</w:t>
      </w:r>
    </w:p>
    <w:p>
      <w:pPr>
        <w:ind w:firstLine="567"/>
      </w:pPr>
      <w:r>
        <w:rPr>
          <w:rFonts w:ascii="Times New Roman" w:hAnsi="Times New Roman"/>
          <w:b w:val="0"/>
          <w:sz w:val="22"/>
        </w:rPr>
        <w:t>None of these protocols simultaneously achieves: (a) mutual authentication at the cryptographic layer, (b) device binding in key derivation, (c) per-transaction key derivation without additional round trips, and (d) three-round handshake efficiency. This gap is the design target for ECC-DTB-AKA.</w:t>
      </w:r>
    </w:p>
    <w:tbl>
      <w:tblPr>
        <w:tblStyle w:val="TableGrid"/>
        <w:tblW w:type="auto" w:w="0"/>
        <w:tblLook w:firstColumn="1" w:firstRow="1" w:lastColumn="0" w:lastRow="0" w:noHBand="0" w:noVBand="1" w:val="04A0"/>
      </w:tblPr>
      <w:tblGrid>
        <w:gridCol w:w="1191"/>
        <w:gridCol w:w="1191"/>
        <w:gridCol w:w="1191"/>
        <w:gridCol w:w="1191"/>
        <w:gridCol w:w="1191"/>
        <w:gridCol w:w="1191"/>
      </w:tblGrid>
      <w:tr>
        <w:tc>
          <w:tcPr>
            <w:tcW w:type="dxa" w:w="1191"/>
          </w:tcPr>
          <w:p>
            <w:r>
              <w:rPr>
                <w:rFonts w:ascii="Times New Roman" w:hAnsi="Times New Roman"/>
                <w:b/>
                <w:sz w:val="20"/>
              </w:rPr>
              <w:t>Protocol</w:t>
            </w:r>
          </w:p>
        </w:tc>
        <w:tc>
          <w:tcPr>
            <w:tcW w:type="dxa" w:w="1191"/>
          </w:tcPr>
          <w:p>
            <w:r>
              <w:rPr>
                <w:rFonts w:ascii="Times New Roman" w:hAnsi="Times New Roman"/>
                <w:b/>
                <w:sz w:val="20"/>
              </w:rPr>
              <w:t>Mutual Auth</w:t>
            </w:r>
          </w:p>
        </w:tc>
        <w:tc>
          <w:tcPr>
            <w:tcW w:type="dxa" w:w="1191"/>
          </w:tcPr>
          <w:p>
            <w:r>
              <w:rPr>
                <w:rFonts w:ascii="Times New Roman" w:hAnsi="Times New Roman"/>
                <w:b/>
                <w:sz w:val="20"/>
              </w:rPr>
              <w:t>Forward Secrecy</w:t>
            </w:r>
          </w:p>
        </w:tc>
        <w:tc>
          <w:tcPr>
            <w:tcW w:type="dxa" w:w="1191"/>
          </w:tcPr>
          <w:p>
            <w:r>
              <w:rPr>
                <w:rFonts w:ascii="Times New Roman" w:hAnsi="Times New Roman"/>
                <w:b/>
                <w:sz w:val="20"/>
              </w:rPr>
              <w:t>Device Bind</w:t>
            </w:r>
          </w:p>
        </w:tc>
        <w:tc>
          <w:tcPr>
            <w:tcW w:type="dxa" w:w="1191"/>
          </w:tcPr>
          <w:p>
            <w:r>
              <w:rPr>
                <w:rFonts w:ascii="Times New Roman" w:hAnsi="Times New Roman"/>
                <w:b/>
                <w:sz w:val="20"/>
              </w:rPr>
              <w:t>Per-Txn Key</w:t>
            </w:r>
          </w:p>
        </w:tc>
        <w:tc>
          <w:tcPr>
            <w:tcW w:type="dxa" w:w="1191"/>
          </w:tcPr>
          <w:p>
            <w:r>
              <w:rPr>
                <w:rFonts w:ascii="Times New Roman" w:hAnsi="Times New Roman"/>
                <w:b/>
                <w:sz w:val="20"/>
              </w:rPr>
              <w:t>Rounds</w:t>
            </w:r>
          </w:p>
        </w:tc>
      </w:tr>
      <w:tr>
        <w:tc>
          <w:tcPr>
            <w:tcW w:type="dxa" w:w="1191"/>
          </w:tcPr>
          <w:p>
            <w:r>
              <w:rPr>
                <w:rFonts w:ascii="Times New Roman" w:hAnsi="Times New Roman"/>
                <w:sz w:val="20"/>
              </w:rPr>
              <w:t>TLS 1.3</w:t>
            </w:r>
          </w:p>
        </w:tc>
        <w:tc>
          <w:tcPr>
            <w:tcW w:type="dxa" w:w="1191"/>
          </w:tcPr>
          <w:p>
            <w:r>
              <w:rPr>
                <w:rFonts w:ascii="Times New Roman" w:hAnsi="Times New Roman"/>
                <w:sz w:val="20"/>
              </w:rPr>
              <w:t>Server only</w:t>
            </w:r>
          </w:p>
        </w:tc>
        <w:tc>
          <w:tcPr>
            <w:tcW w:type="dxa" w:w="1191"/>
          </w:tcPr>
          <w:p>
            <w:r>
              <w:rPr>
                <w:rFonts w:ascii="Times New Roman" w:hAnsi="Times New Roman"/>
                <w:sz w:val="20"/>
              </w:rPr>
              <w:t>Yes</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1</w:t>
            </w:r>
          </w:p>
        </w:tc>
      </w:tr>
      <w:tr>
        <w:tc>
          <w:tcPr>
            <w:tcW w:type="dxa" w:w="1191"/>
          </w:tcPr>
          <w:p>
            <w:r>
              <w:rPr>
                <w:rFonts w:ascii="Times New Roman" w:hAnsi="Times New Roman"/>
                <w:sz w:val="20"/>
              </w:rPr>
              <w:t>OAuth 2.0 PKCE</w:t>
            </w:r>
          </w:p>
        </w:tc>
        <w:tc>
          <w:tcPr>
            <w:tcW w:type="dxa" w:w="1191"/>
          </w:tcPr>
          <w:p>
            <w:r>
              <w:rPr>
                <w:rFonts w:ascii="Times New Roman" w:hAnsi="Times New Roman"/>
                <w:sz w:val="20"/>
              </w:rPr>
              <w:t>Delegated</w:t>
            </w:r>
          </w:p>
        </w:tc>
        <w:tc>
          <w:tcPr>
            <w:tcW w:type="dxa" w:w="1191"/>
          </w:tcPr>
          <w:p>
            <w:r>
              <w:rPr>
                <w:rFonts w:ascii="Times New Roman" w:hAnsi="Times New Roman"/>
                <w:sz w:val="20"/>
              </w:rPr>
              <w:t>Via TLS</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3+</w:t>
            </w:r>
          </w:p>
        </w:tc>
      </w:tr>
      <w:tr>
        <w:tc>
          <w:tcPr>
            <w:tcW w:type="dxa" w:w="1191"/>
          </w:tcPr>
          <w:p>
            <w:r>
              <w:rPr>
                <w:rFonts w:ascii="Times New Roman" w:hAnsi="Times New Roman"/>
                <w:sz w:val="20"/>
              </w:rPr>
              <w:t>FIDO2/WebAuthn</w:t>
            </w:r>
          </w:p>
        </w:tc>
        <w:tc>
          <w:tcPr>
            <w:tcW w:type="dxa" w:w="1191"/>
          </w:tcPr>
          <w:p>
            <w:r>
              <w:rPr>
                <w:rFonts w:ascii="Times New Roman" w:hAnsi="Times New Roman"/>
                <w:sz w:val="20"/>
              </w:rPr>
              <w:t>User auth</w:t>
            </w:r>
          </w:p>
        </w:tc>
        <w:tc>
          <w:tcPr>
            <w:tcW w:type="dxa" w:w="1191"/>
          </w:tcPr>
          <w:p>
            <w:r>
              <w:rPr>
                <w:rFonts w:ascii="Times New Roman" w:hAnsi="Times New Roman"/>
                <w:sz w:val="20"/>
              </w:rPr>
              <w:t>N/A</w:t>
            </w:r>
          </w:p>
        </w:tc>
        <w:tc>
          <w:tcPr>
            <w:tcW w:type="dxa" w:w="1191"/>
          </w:tcPr>
          <w:p>
            <w:r>
              <w:rPr>
                <w:rFonts w:ascii="Times New Roman" w:hAnsi="Times New Roman"/>
                <w:sz w:val="20"/>
              </w:rPr>
              <w:t>Partial</w:t>
            </w:r>
          </w:p>
        </w:tc>
        <w:tc>
          <w:tcPr>
            <w:tcW w:type="dxa" w:w="1191"/>
          </w:tcPr>
          <w:p>
            <w:r>
              <w:rPr>
                <w:rFonts w:ascii="Times New Roman" w:hAnsi="Times New Roman"/>
                <w:sz w:val="20"/>
              </w:rPr>
              <w:t>No</w:t>
            </w:r>
          </w:p>
        </w:tc>
        <w:tc>
          <w:tcPr>
            <w:tcW w:type="dxa" w:w="1191"/>
          </w:tcPr>
          <w:p>
            <w:r>
              <w:rPr>
                <w:rFonts w:ascii="Times New Roman" w:hAnsi="Times New Roman"/>
                <w:sz w:val="20"/>
              </w:rPr>
              <w:t>2</w:t>
            </w:r>
          </w:p>
        </w:tc>
      </w:tr>
      <w:tr>
        <w:tc>
          <w:tcPr>
            <w:tcW w:type="dxa" w:w="1191"/>
          </w:tcPr>
          <w:p>
            <w:r>
              <w:rPr>
                <w:rFonts w:ascii="Times New Roman" w:hAnsi="Times New Roman"/>
                <w:sz w:val="20"/>
              </w:rPr>
              <w:t>ECDH + JWT</w:t>
            </w:r>
          </w:p>
        </w:tc>
        <w:tc>
          <w:tcPr>
            <w:tcW w:type="dxa" w:w="1191"/>
          </w:tcPr>
          <w:p>
            <w:r>
              <w:rPr>
                <w:rFonts w:ascii="Times New Roman" w:hAnsi="Times New Roman"/>
                <w:sz w:val="20"/>
              </w:rPr>
              <w:t>App layer</w:t>
            </w:r>
          </w:p>
        </w:tc>
        <w:tc>
          <w:tcPr>
            <w:tcW w:type="dxa" w:w="1191"/>
          </w:tcPr>
          <w:p>
            <w:r>
              <w:rPr>
                <w:rFonts w:ascii="Times New Roman" w:hAnsi="Times New Roman"/>
                <w:sz w:val="20"/>
              </w:rPr>
              <w:t>Yes</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2</w:t>
            </w:r>
          </w:p>
        </w:tc>
      </w:tr>
      <w:tr>
        <w:tc>
          <w:tcPr>
            <w:tcW w:type="dxa" w:w="1191"/>
          </w:tcPr>
          <w:p>
            <w:r>
              <w:rPr>
                <w:rFonts w:ascii="Times New Roman" w:hAnsi="Times New Roman"/>
                <w:sz w:val="20"/>
              </w:rPr>
              <w:t>ECC-DTB-AKA (Ch.2)</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3</w:t>
            </w:r>
          </w:p>
        </w:tc>
      </w:tr>
    </w:tbl>
    <w:p>
      <w:pPr>
        <w:jc w:val="center"/>
      </w:pPr>
      <w:r>
        <w:rPr>
          <w:rFonts w:ascii="Times New Roman" w:hAnsi="Times New Roman"/>
          <w:i/>
          <w:sz w:val="20"/>
        </w:rPr>
        <w:t>Table 1.4: Comparative overview of authentication protocols for e-banking.</w:t>
      </w:r>
    </w:p>
    <w:p/>
    <w:p>
      <w:pPr>
        <w:pStyle w:val="Heading3"/>
      </w:pPr>
      <w:r>
        <w:t>1.2.6 Password-Based Authentication Vulnerabilities</w:t>
      </w:r>
    </w:p>
    <w:p>
      <w:pPr>
        <w:ind w:firstLine="567"/>
      </w:pPr>
      <w:r>
        <w:rPr>
          <w:rFonts w:ascii="Times New Roman" w:hAnsi="Times New Roman"/>
          <w:b w:val="0"/>
          <w:sz w:val="22"/>
        </w:rPr>
        <w:t>Despite decades of security guidance, password-based authentication remains the default for retail e-banking in most jurisdictions. Understanding its inherent vulnerabilities is essential for motivating cryptographic alternatives.</w:t>
      </w:r>
    </w:p>
    <w:p>
      <w:pPr>
        <w:ind w:firstLine="567"/>
      </w:pPr>
      <w:r>
        <w:rPr>
          <w:rFonts w:ascii="Times New Roman" w:hAnsi="Times New Roman"/>
          <w:b w:val="0"/>
          <w:sz w:val="22"/>
        </w:rPr>
        <w:t>Human-chosen passwords exhibit highly skewed distributions. Analysis of breached password databases consistently shows that the top 100 passwords account for approximately 17% of all passwords, with '123456', 'password', and 'qwerty' appearing in virtually every corpus. Password complexity rules (requiring uppercase, numbers, symbols) often result in predictable substitutions (P@ssw0rd) that provide minimal additional entropy.</w:t>
      </w:r>
    </w:p>
    <w:p>
      <w:pPr>
        <w:ind w:firstLine="567"/>
      </w:pPr>
      <w:r>
        <w:rPr>
          <w:rFonts w:ascii="Times New Roman" w:hAnsi="Times New Roman"/>
          <w:b w:val="0"/>
          <w:sz w:val="22"/>
        </w:rPr>
        <w:t>Password hashing algorithms mitigate offline attacks against stolen databases. Bcrypt, scrypt, and Argon2 are designed to be computationally expensive, limiting the rate at which attackers can test guessed passwords. However, weak passwords remain vulnerable even with strong hashing, and credential stuffing attacks bypass hashing entirely by testing leaked credentials from other breaches against banking login portals.</w:t>
      </w:r>
    </w:p>
    <w:p>
      <w:pPr>
        <w:ind w:firstLine="567"/>
      </w:pPr>
      <w:r>
        <w:rPr>
          <w:rFonts w:ascii="Times New Roman" w:hAnsi="Times New Roman"/>
          <w:b w:val="0"/>
          <w:sz w:val="22"/>
        </w:rPr>
        <w:t>Password reset mechanisms introduce additional attack surfaces. Knowledge-based authentication questions (mother's maiden name, first pet) are often guessable from social media. Email-based reset links can be intercepted if the email account is compromised. SMS-based reset codes inherit SIM-swapping vulnerabilities. These weaknesses reinforce the need for cryptographic authentication mechanisms that do not rely solely on shared secrets memorized by humans.</w:t>
      </w:r>
    </w:p>
    <w:p>
      <w:pPr>
        <w:pStyle w:val="Heading2"/>
      </w:pPr>
      <w:r>
        <w:t>1.3 Data Encryption, Security, and Integrity in E-Banking</w:t>
      </w:r>
    </w:p>
    <w:p>
      <w:pPr>
        <w:ind w:firstLine="567"/>
      </w:pPr>
      <w:r>
        <w:rPr>
          <w:rFonts w:ascii="Times New Roman" w:hAnsi="Times New Roman"/>
          <w:b w:val="0"/>
          <w:sz w:val="22"/>
        </w:rPr>
        <w:t>Beyond authentication and key establishment, e-banking systems must protect the confidentiality, integrity, and availability of financial data throughout its lifecycle. This section examines the data encryption, security, and integrity mechanisms currently employed in e-banking and e-finance services, with emphasis on server-server data transfer and storage, and identifies drawbacks that motivate the ECC-HISE scheme proposed in Chapter 3.</w:t>
      </w:r>
    </w:p>
    <w:p>
      <w:pPr>
        <w:pStyle w:val="Heading3"/>
      </w:pPr>
      <w:r>
        <w:t>1.3.1 Data Encryption Mechanisms</w:t>
      </w:r>
    </w:p>
    <w:p>
      <w:pPr>
        <w:ind w:firstLine="567"/>
      </w:pPr>
      <w:r>
        <w:rPr>
          <w:rFonts w:ascii="Times New Roman" w:hAnsi="Times New Roman"/>
          <w:b w:val="0"/>
          <w:sz w:val="22"/>
        </w:rPr>
        <w:t>Data-at-rest encryption in banking systems typically employs AES-256 in Galois/Counter Mode (GCM) or XTS mode. Database-level encryption (transparent data encryption, TDE) protects entire tablespaces, while column-level encryption targets sensitive fields (account numbers, social security numbers). Key management is performed by HSMs certified to FIPS 140-2 Level 3 or higher, with key-encryption keys (KEKs) stored in hardware and data-encryption keys (DEKs) wrapped under KEKs.</w:t>
      </w:r>
    </w:p>
    <w:p>
      <w:pPr>
        <w:ind w:firstLine="567"/>
      </w:pPr>
      <w:r>
        <w:rPr>
          <w:rFonts w:ascii="Times New Roman" w:hAnsi="Times New Roman"/>
          <w:b w:val="0"/>
          <w:sz w:val="22"/>
        </w:rPr>
        <w:t>Data-in-transit encryption relies primarily on TLS as described in Section 1.2. For server-server bulk data transfer (e.g., end-of-day settlement files, regulatory reporting batches), institutions may additionally employ PGP/GPG encryption or proprietary file-encryption tools with pre-shared symmetric keys distributed via out-of-band channels.</w:t>
      </w:r>
    </w:p>
    <w:p>
      <w:pPr>
        <w:ind w:firstLine="567"/>
      </w:pPr>
      <w:r>
        <w:rPr>
          <w:rFonts w:ascii="Times New Roman" w:hAnsi="Times New Roman"/>
          <w:b w:val="0"/>
          <w:sz w:val="22"/>
        </w:rPr>
        <w:t>Elliptic curve cryptography appears in data-protection contexts primarily through ECIES (Elliptic Curve Integrated Encryption Scheme), which combines ECDH key agreement with a symmetric cipher and MAC. ECIES is standardized in IEEE 1363a and SEC 1, and provides semantic security under chosen-ciphertext attacks when implemented with appropriate KDF and MAC (or authenticated encryption). However, standard ECIES operates at the message level without hierarchical key management or batch audit capabilities required for inter-bank settlement.</w:t>
      </w:r>
    </w:p>
    <w:p>
      <w:pPr>
        <w:jc w:val="center"/>
      </w:pPr>
      <w:r>
        <w:drawing>
          <wp:inline xmlns:a="http://schemas.openxmlformats.org/drawingml/2006/main" xmlns:pic="http://schemas.openxmlformats.org/drawingml/2006/picture">
            <wp:extent cx="5040000" cy="2127273"/>
            <wp:docPr id="4" name="Picture 4"/>
            <wp:cNvGraphicFramePr>
              <a:graphicFrameLocks noChangeAspect="1"/>
            </wp:cNvGraphicFramePr>
            <a:graphic>
              <a:graphicData uri="http://schemas.openxmlformats.org/drawingml/2006/picture">
                <pic:pic>
                  <pic:nvPicPr>
                    <pic:cNvPr id="0" name="fig_1_4_data_layers.png"/>
                    <pic:cNvPicPr/>
                  </pic:nvPicPr>
                  <pic:blipFill>
                    <a:blip r:embed="rId12"/>
                    <a:stretch>
                      <a:fillRect/>
                    </a:stretch>
                  </pic:blipFill>
                  <pic:spPr>
                    <a:xfrm>
                      <a:off x="0" y="0"/>
                      <a:ext cx="5040000" cy="2127273"/>
                    </a:xfrm>
                    <a:prstGeom prst="rect"/>
                  </pic:spPr>
                </pic:pic>
              </a:graphicData>
            </a:graphic>
          </wp:inline>
        </w:drawing>
      </w:r>
    </w:p>
    <w:p>
      <w:pPr>
        <w:jc w:val="center"/>
      </w:pPr>
      <w:r>
        <w:rPr>
          <w:rFonts w:ascii="Times New Roman" w:hAnsi="Times New Roman"/>
          <w:i/>
          <w:sz w:val="20"/>
        </w:rPr>
        <w:t>Data protection layers in e-banking: at-rest (TDE), in-transit (TLS), in-use (confidential computing) (Figure 1.4).</w:t>
      </w:r>
    </w:p>
    <w:p>
      <w:pPr>
        <w:pStyle w:val="Heading3"/>
      </w:pPr>
      <w:r>
        <w:t>1.3.2 Data Integrity and Audit Mechanisms</w:t>
      </w:r>
    </w:p>
    <w:p>
      <w:pPr>
        <w:ind w:firstLine="567"/>
      </w:pPr>
      <w:r>
        <w:rPr>
          <w:rFonts w:ascii="Times New Roman" w:hAnsi="Times New Roman"/>
          <w:b w:val="0"/>
          <w:sz w:val="22"/>
        </w:rPr>
        <w:t>Integrity protection for individual messages is commonly provided by HMAC-SHA256 or by the authenticated encryption inherent in AES-GCM. Digital signatures using RSA or ECDSA provide non-repudiation for high-value transactions and regulatory submissions. However, per-message signatures do not efficiently support batch verification of large settlement files containing millions of records.</w:t>
      </w:r>
    </w:p>
    <w:p>
      <w:pPr>
        <w:ind w:firstLine="567"/>
      </w:pPr>
      <w:r>
        <w:rPr>
          <w:rFonts w:ascii="Times New Roman" w:hAnsi="Times New Roman"/>
          <w:b w:val="0"/>
          <w:sz w:val="22"/>
        </w:rPr>
        <w:t>Audit trails in e-banking systems log transaction events, access attempts, and administrative actions to tamper-evident storage. Common implementations include append-only databases, write-once-read-many (WORM) storage, and centralized SIEM platforms. Blockchain and distributed-ledger technologies have been proposed and piloted for settlement audit (e.g., JPMorgan's Onyx, R3 Corda), offering Merkle-tree-based integrity guarantees but introducing latency and scalability trade-offs unsuitable for all use cases.</w:t>
      </w:r>
    </w:p>
    <w:p>
      <w:pPr>
        <w:ind w:firstLine="567"/>
      </w:pPr>
      <w:r>
        <w:rPr>
          <w:rFonts w:ascii="Times New Roman" w:hAnsi="Times New Roman"/>
          <w:b w:val="0"/>
          <w:sz w:val="22"/>
        </w:rPr>
        <w:t>Hash chains—where each log entry includes the hash of the previous entry—provide lightweight tamper evidence without the overhead of full blockchain consensus. Merkle trees enable efficient verification that a specific record is included in a batch without reprocessing the entire batch, a property essential for regulatory audit of large settlement files.</w:t>
      </w:r>
    </w:p>
    <w:p>
      <w:pPr>
        <w:pStyle w:val="Heading3"/>
      </w:pPr>
      <w:r>
        <w:t>1.3.3 Identified Limitations and Drawbacks</w:t>
      </w:r>
    </w:p>
    <w:p>
      <w:pPr>
        <w:ind w:firstLine="567"/>
      </w:pPr>
      <w:r>
        <w:rPr>
          <w:rFonts w:ascii="Times New Roman" w:hAnsi="Times New Roman"/>
          <w:b w:val="0"/>
          <w:sz w:val="22"/>
        </w:rPr>
        <w:t>The following limitations in current data encryption, security, and integrity mechanisms motivate the ECC-HISE scheme proposed in Chapter 3.</w:t>
      </w:r>
    </w:p>
    <w:p>
      <w:pPr>
        <w:ind w:firstLine="567"/>
      </w:pPr>
      <w:r>
        <w:rPr>
          <w:rFonts w:ascii="Times New Roman" w:hAnsi="Times New Roman"/>
          <w:b w:val="0"/>
          <w:sz w:val="22"/>
        </w:rPr>
        <w:t>Limitation 1 — Flat key management hierarchies: Many institutions use a small number of long-lived symmetric keys for bulk encryption, increasing the blast radius of key compromise. Hierarchical key derivation that scopes keys to business domains and individual batches limits exposure.</w:t>
      </w:r>
    </w:p>
    <w:p>
      <w:pPr>
        <w:ind w:firstLine="567"/>
      </w:pPr>
      <w:r>
        <w:rPr>
          <w:rFonts w:ascii="Times New Roman" w:hAnsi="Times New Roman"/>
          <w:b w:val="0"/>
          <w:sz w:val="22"/>
        </w:rPr>
        <w:t>Limitation 2 — Disconnected encryption and audit: Encryption and audit logging are typically implemented as independent systems. An encrypted batch file may be stored without a cryptographically linked integrity proof that enables third-party verification of completeness and ordering.</w:t>
      </w:r>
    </w:p>
    <w:p>
      <w:pPr>
        <w:ind w:firstLine="567"/>
      </w:pPr>
      <w:r>
        <w:rPr>
          <w:rFonts w:ascii="Times New Roman" w:hAnsi="Times New Roman"/>
          <w:b w:val="0"/>
          <w:sz w:val="22"/>
        </w:rPr>
        <w:t>Limitation 3 — Inefficient batch integrity verification: Per-record digital signatures do not scale to settlement batches containing millions of entries. A Merkle-tree-based approach enables O(log n) verification per record while maintaining O(1) batch-level integrity evidence.</w:t>
      </w:r>
    </w:p>
    <w:p>
      <w:pPr>
        <w:ind w:firstLine="567"/>
      </w:pPr>
      <w:r>
        <w:rPr>
          <w:rFonts w:ascii="Times New Roman" w:hAnsi="Times New Roman"/>
          <w:b w:val="0"/>
          <w:sz w:val="22"/>
        </w:rPr>
        <w:t>Limitation 4 — Static pre-shared keys in server-server channels: Inter-bank file transfer often relies on symmetric keys distributed manually and rotated infrequently (annually or biannually). ECC-based ephemeral key agreement per batch eliminates long-lived shared secrets.</w:t>
      </w:r>
    </w:p>
    <w:p>
      <w:pPr>
        <w:ind w:firstLine="567"/>
      </w:pPr>
      <w:r>
        <w:rPr>
          <w:rFonts w:ascii="Times New Roman" w:hAnsi="Times New Roman"/>
          <w:b w:val="0"/>
          <w:sz w:val="22"/>
        </w:rPr>
        <w:t>Limitation 5 — Lack of end-to-end integrity across service boundaries: In microservice architectures, a message may be decrypted at each service boundary (TLS termination), processed in plaintext, and re-encrypted. Envelope encryption that persists integrity proofs across service boundaries addresses this gap.</w:t>
      </w:r>
    </w:p>
    <w:p>
      <w:pPr>
        <w:ind w:firstLine="567"/>
      </w:pPr>
      <w:r>
        <w:rPr>
          <w:rFonts w:ascii="Times New Roman" w:hAnsi="Times New Roman"/>
          <w:b w:val="0"/>
          <w:sz w:val="22"/>
        </w:rPr>
        <w:t>Limitation 6 — Regulatory audit friction: Demonstrating to auditors that no records were added, removed, or reordered in a settlement batch currently requires manual reconciliation or expensive full-batch reprocessing. Cryptographic audit chains reduce audit cost and increase confidence.</w:t>
      </w:r>
    </w:p>
    <w:p>
      <w:pPr>
        <w:ind w:firstLine="567"/>
      </w:pPr>
      <w:r>
        <w:rPr>
          <w:rFonts w:ascii="Times New Roman" w:hAnsi="Times New Roman"/>
          <w:b w:val="0"/>
          <w:sz w:val="22"/>
        </w:rPr>
        <w:t>These six limitations in data-security mechanisms parallel the authentication gaps identified in Section 1.2, but operate at a different layer of the system stack. While Section 1.2 concerns who is communicating and how keys are established, this section concerns what data is protected, how integrity is maintained, and how compliance can be demonstrated. Chapter 3 addresses these limitations through ECC-HISE, which combines hierarchical ECC key derivation, authenticated envelope encryption, and Merkle-tree audit chains into a cohesive server-server data-protection methodology.</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Limitation</w:t>
            </w:r>
          </w:p>
        </w:tc>
        <w:tc>
          <w:tcPr>
            <w:tcW w:type="dxa" w:w="1786"/>
          </w:tcPr>
          <w:p>
            <w:r>
              <w:rPr>
                <w:rFonts w:ascii="Times New Roman" w:hAnsi="Times New Roman"/>
                <w:b/>
                <w:sz w:val="20"/>
              </w:rPr>
              <w:t>Current Practice</w:t>
            </w:r>
          </w:p>
        </w:tc>
        <w:tc>
          <w:tcPr>
            <w:tcW w:type="dxa" w:w="1786"/>
          </w:tcPr>
          <w:p>
            <w:r>
              <w:rPr>
                <w:rFonts w:ascii="Times New Roman" w:hAnsi="Times New Roman"/>
                <w:b/>
                <w:sz w:val="20"/>
              </w:rPr>
              <w:t>Proposed Direction (Ch.3)</w:t>
            </w:r>
          </w:p>
        </w:tc>
        <w:tc>
          <w:tcPr>
            <w:tcW w:type="dxa" w:w="1786"/>
          </w:tcPr>
          <w:p>
            <w:r>
              <w:rPr>
                <w:rFonts w:ascii="Times New Roman" w:hAnsi="Times New Roman"/>
                <w:b/>
                <w:sz w:val="20"/>
              </w:rPr>
              <w:t>Impact</w:t>
            </w:r>
          </w:p>
        </w:tc>
      </w:tr>
      <w:tr>
        <w:tc>
          <w:tcPr>
            <w:tcW w:type="dxa" w:w="1786"/>
          </w:tcPr>
          <w:p>
            <w:r>
              <w:rPr>
                <w:rFonts w:ascii="Times New Roman" w:hAnsi="Times New Roman"/>
                <w:sz w:val="20"/>
              </w:rPr>
              <w:t>Flat key hierarchy</w:t>
            </w:r>
          </w:p>
        </w:tc>
        <w:tc>
          <w:tcPr>
            <w:tcW w:type="dxa" w:w="1786"/>
          </w:tcPr>
          <w:p>
            <w:r>
              <w:rPr>
                <w:rFonts w:ascii="Times New Roman" w:hAnsi="Times New Roman"/>
                <w:sz w:val="20"/>
              </w:rPr>
              <w:t>Few long-lived DEKs</w:t>
            </w:r>
          </w:p>
        </w:tc>
        <w:tc>
          <w:tcPr>
            <w:tcW w:type="dxa" w:w="1786"/>
          </w:tcPr>
          <w:p>
            <w:r>
              <w:rPr>
                <w:rFonts w:ascii="Times New Roman" w:hAnsi="Times New Roman"/>
                <w:sz w:val="20"/>
              </w:rPr>
              <w:t>ECC hierarchical derivation</w:t>
            </w:r>
          </w:p>
        </w:tc>
        <w:tc>
          <w:tcPr>
            <w:tcW w:type="dxa" w:w="1786"/>
          </w:tcPr>
          <w:p>
            <w:r>
              <w:rPr>
                <w:rFonts w:ascii="Times New Roman" w:hAnsi="Times New Roman"/>
                <w:sz w:val="20"/>
              </w:rPr>
              <w:t>Key compromise scope</w:t>
            </w:r>
          </w:p>
        </w:tc>
      </w:tr>
      <w:tr>
        <w:tc>
          <w:tcPr>
            <w:tcW w:type="dxa" w:w="1786"/>
          </w:tcPr>
          <w:p>
            <w:r>
              <w:rPr>
                <w:rFonts w:ascii="Times New Roman" w:hAnsi="Times New Roman"/>
                <w:sz w:val="20"/>
              </w:rPr>
              <w:t>Disconnected audit</w:t>
            </w:r>
          </w:p>
        </w:tc>
        <w:tc>
          <w:tcPr>
            <w:tcW w:type="dxa" w:w="1786"/>
          </w:tcPr>
          <w:p>
            <w:r>
              <w:rPr>
                <w:rFonts w:ascii="Times New Roman" w:hAnsi="Times New Roman"/>
                <w:sz w:val="20"/>
              </w:rPr>
              <w:t>Separate log systems</w:t>
            </w:r>
          </w:p>
        </w:tc>
        <w:tc>
          <w:tcPr>
            <w:tcW w:type="dxa" w:w="1786"/>
          </w:tcPr>
          <w:p>
            <w:r>
              <w:rPr>
                <w:rFonts w:ascii="Times New Roman" w:hAnsi="Times New Roman"/>
                <w:sz w:val="20"/>
              </w:rPr>
              <w:t>Merkle-linked envelopes</w:t>
            </w:r>
          </w:p>
        </w:tc>
        <w:tc>
          <w:tcPr>
            <w:tcW w:type="dxa" w:w="1786"/>
          </w:tcPr>
          <w:p>
            <w:r>
              <w:rPr>
                <w:rFonts w:ascii="Times New Roman" w:hAnsi="Times New Roman"/>
                <w:sz w:val="20"/>
              </w:rPr>
              <w:t>Tamper detection</w:t>
            </w:r>
          </w:p>
        </w:tc>
      </w:tr>
      <w:tr>
        <w:tc>
          <w:tcPr>
            <w:tcW w:type="dxa" w:w="1786"/>
          </w:tcPr>
          <w:p>
            <w:r>
              <w:rPr>
                <w:rFonts w:ascii="Times New Roman" w:hAnsi="Times New Roman"/>
                <w:sz w:val="20"/>
              </w:rPr>
              <w:t>Batch verification cost</w:t>
            </w:r>
          </w:p>
        </w:tc>
        <w:tc>
          <w:tcPr>
            <w:tcW w:type="dxa" w:w="1786"/>
          </w:tcPr>
          <w:p>
            <w:r>
              <w:rPr>
                <w:rFonts w:ascii="Times New Roman" w:hAnsi="Times New Roman"/>
                <w:sz w:val="20"/>
              </w:rPr>
              <w:t>Per-record signatures</w:t>
            </w:r>
          </w:p>
        </w:tc>
        <w:tc>
          <w:tcPr>
            <w:tcW w:type="dxa" w:w="1786"/>
          </w:tcPr>
          <w:p>
            <w:r>
              <w:rPr>
                <w:rFonts w:ascii="Times New Roman" w:hAnsi="Times New Roman"/>
                <w:sz w:val="20"/>
              </w:rPr>
              <w:t>Merkle tree batch proofs</w:t>
            </w:r>
          </w:p>
        </w:tc>
        <w:tc>
          <w:tcPr>
            <w:tcW w:type="dxa" w:w="1786"/>
          </w:tcPr>
          <w:p>
            <w:r>
              <w:rPr>
                <w:rFonts w:ascii="Times New Roman" w:hAnsi="Times New Roman"/>
                <w:sz w:val="20"/>
              </w:rPr>
              <w:t>Scalability</w:t>
            </w:r>
          </w:p>
        </w:tc>
      </w:tr>
      <w:tr>
        <w:tc>
          <w:tcPr>
            <w:tcW w:type="dxa" w:w="1786"/>
          </w:tcPr>
          <w:p>
            <w:r>
              <w:rPr>
                <w:rFonts w:ascii="Times New Roman" w:hAnsi="Times New Roman"/>
                <w:sz w:val="20"/>
              </w:rPr>
              <w:t>Static PSKs</w:t>
            </w:r>
          </w:p>
        </w:tc>
        <w:tc>
          <w:tcPr>
            <w:tcW w:type="dxa" w:w="1786"/>
          </w:tcPr>
          <w:p>
            <w:r>
              <w:rPr>
                <w:rFonts w:ascii="Times New Roman" w:hAnsi="Times New Roman"/>
                <w:sz w:val="20"/>
              </w:rPr>
              <w:t>Annual manual rotation</w:t>
            </w:r>
          </w:p>
        </w:tc>
        <w:tc>
          <w:tcPr>
            <w:tcW w:type="dxa" w:w="1786"/>
          </w:tcPr>
          <w:p>
            <w:r>
              <w:rPr>
                <w:rFonts w:ascii="Times New Roman" w:hAnsi="Times New Roman"/>
                <w:sz w:val="20"/>
              </w:rPr>
              <w:t>Ephemeral ECDH per batch</w:t>
            </w:r>
          </w:p>
        </w:tc>
        <w:tc>
          <w:tcPr>
            <w:tcW w:type="dxa" w:w="1786"/>
          </w:tcPr>
          <w:p>
            <w:r>
              <w:rPr>
                <w:rFonts w:ascii="Times New Roman" w:hAnsi="Times New Roman"/>
                <w:sz w:val="20"/>
              </w:rPr>
              <w:t>Long-term exposure</w:t>
            </w:r>
          </w:p>
        </w:tc>
      </w:tr>
      <w:tr>
        <w:tc>
          <w:tcPr>
            <w:tcW w:type="dxa" w:w="1786"/>
          </w:tcPr>
          <w:p>
            <w:r>
              <w:rPr>
                <w:rFonts w:ascii="Times New Roman" w:hAnsi="Times New Roman"/>
                <w:sz w:val="20"/>
              </w:rPr>
              <w:t>Service-boundary gaps</w:t>
            </w:r>
          </w:p>
        </w:tc>
        <w:tc>
          <w:tcPr>
            <w:tcW w:type="dxa" w:w="1786"/>
          </w:tcPr>
          <w:p>
            <w:r>
              <w:rPr>
                <w:rFonts w:ascii="Times New Roman" w:hAnsi="Times New Roman"/>
                <w:sz w:val="20"/>
              </w:rPr>
              <w:t>TLS terminate/decrypt</w:t>
            </w:r>
          </w:p>
        </w:tc>
        <w:tc>
          <w:tcPr>
            <w:tcW w:type="dxa" w:w="1786"/>
          </w:tcPr>
          <w:p>
            <w:r>
              <w:rPr>
                <w:rFonts w:ascii="Times New Roman" w:hAnsi="Times New Roman"/>
                <w:sz w:val="20"/>
              </w:rPr>
              <w:t>Persistent envelope integrity</w:t>
            </w:r>
          </w:p>
        </w:tc>
        <w:tc>
          <w:tcPr>
            <w:tcW w:type="dxa" w:w="1786"/>
          </w:tcPr>
          <w:p>
            <w:r>
              <w:rPr>
                <w:rFonts w:ascii="Times New Roman" w:hAnsi="Times New Roman"/>
                <w:sz w:val="20"/>
              </w:rPr>
              <w:t>Insider tampering</w:t>
            </w:r>
          </w:p>
        </w:tc>
      </w:tr>
      <w:tr>
        <w:tc>
          <w:tcPr>
            <w:tcW w:type="dxa" w:w="1786"/>
          </w:tcPr>
          <w:p>
            <w:r>
              <w:rPr>
                <w:rFonts w:ascii="Times New Roman" w:hAnsi="Times New Roman"/>
                <w:sz w:val="20"/>
              </w:rPr>
              <w:t>Audit friction</w:t>
            </w:r>
          </w:p>
        </w:tc>
        <w:tc>
          <w:tcPr>
            <w:tcW w:type="dxa" w:w="1786"/>
          </w:tcPr>
          <w:p>
            <w:r>
              <w:rPr>
                <w:rFonts w:ascii="Times New Roman" w:hAnsi="Times New Roman"/>
                <w:sz w:val="20"/>
              </w:rPr>
              <w:t>Manual reconciliation</w:t>
            </w:r>
          </w:p>
        </w:tc>
        <w:tc>
          <w:tcPr>
            <w:tcW w:type="dxa" w:w="1786"/>
          </w:tcPr>
          <w:p>
            <w:r>
              <w:rPr>
                <w:rFonts w:ascii="Times New Roman" w:hAnsi="Times New Roman"/>
                <w:sz w:val="20"/>
              </w:rPr>
              <w:t>Cryptographic audit chain</w:t>
            </w:r>
          </w:p>
        </w:tc>
        <w:tc>
          <w:tcPr>
            <w:tcW w:type="dxa" w:w="1786"/>
          </w:tcPr>
          <w:p>
            <w:r>
              <w:rPr>
                <w:rFonts w:ascii="Times New Roman" w:hAnsi="Times New Roman"/>
                <w:sz w:val="20"/>
              </w:rPr>
              <w:t>Compliance cost</w:t>
            </w:r>
          </w:p>
        </w:tc>
      </w:tr>
    </w:tbl>
    <w:p>
      <w:pPr>
        <w:jc w:val="center"/>
      </w:pPr>
      <w:r>
        <w:rPr>
          <w:rFonts w:ascii="Times New Roman" w:hAnsi="Times New Roman"/>
          <w:i/>
          <w:sz w:val="20"/>
        </w:rPr>
        <w:t>Table 1.3: Limitations of current data security mechanisms and proposed directions.</w:t>
      </w:r>
    </w:p>
    <w:p/>
    <w:p>
      <w:pPr>
        <w:pStyle w:val="Heading3"/>
      </w:pPr>
      <w:r>
        <w:t>1.3.4 Key Management in Financial Institutions</w:t>
      </w:r>
    </w:p>
    <w:p>
      <w:pPr>
        <w:ind w:firstLine="567"/>
      </w:pPr>
      <w:r>
        <w:rPr>
          <w:rFonts w:ascii="Times New Roman" w:hAnsi="Times New Roman"/>
          <w:b w:val="0"/>
          <w:sz w:val="22"/>
        </w:rPr>
        <w:t>Effective data encryption in e-banking depends critically on key management—the generation, distribution, storage, rotation, and destruction of cryptographic keys. Poor key management can render even the strongest encryption algorithms ineffective, as demonstrated by numerous breaches where encryption was deployed but keys were stored alongside encrypted data in accessible locations.</w:t>
      </w:r>
    </w:p>
    <w:p>
      <w:pPr>
        <w:ind w:firstLine="567"/>
      </w:pPr>
      <w:r>
        <w:rPr>
          <w:rFonts w:ascii="Times New Roman" w:hAnsi="Times New Roman"/>
          <w:b w:val="0"/>
          <w:sz w:val="22"/>
        </w:rPr>
        <w:t>Financial institutions typically employ a tiered key-management architecture. At the top level, master keys are generated within FIPS 140-2 Level 3 (or higher) hardware security modules and never leave the HSM in plaintext form. Key-encryption keys (KEKs) wrap data-encryption keys (DEKs) for distribution to application servers. DEKs encrypt actual customer data and are rotated frequently (daily to monthly) depending on data classification and regulatory requirements.</w:t>
      </w:r>
    </w:p>
    <w:p>
      <w:pPr>
        <w:ind w:firstLine="567"/>
      </w:pPr>
      <w:r>
        <w:rPr>
          <w:rFonts w:ascii="Times New Roman" w:hAnsi="Times New Roman"/>
          <w:b w:val="0"/>
          <w:sz w:val="22"/>
        </w:rPr>
        <w:t>The ANSI X9.24-3 standard specifies key-management requirements for symmetric keys in financial services, including dual-control procedures for key generation and split-knowledge requirements for critical keys. PCI DSS Requirement 3 mandates protection of stored cardholder data, including key-management procedures for encryption keys. However, these standards focus on symmetric key hierarchies and do not address ECC-based hierarchical derivation for batch envelope encryption with integrated audit chains—the design space targeted by ECC-HISE.</w:t>
      </w:r>
    </w:p>
    <w:p>
      <w:pPr>
        <w:pStyle w:val="Heading3"/>
      </w:pPr>
      <w:r>
        <w:t>1.3.5 Merkle Trees and Cryptographic Audit Trails</w:t>
      </w:r>
    </w:p>
    <w:p>
      <w:pPr>
        <w:ind w:firstLine="567"/>
      </w:pPr>
      <w:r>
        <w:rPr>
          <w:rFonts w:ascii="Times New Roman" w:hAnsi="Times New Roman"/>
          <w:b w:val="0"/>
          <w:sz w:val="22"/>
        </w:rPr>
        <w:t>Merkle trees (hash trees) provide an efficient data structure for verifying integrity of large datasets. A Merkle tree is a binary tree in which each leaf node contains the hash of a data block, and each internal node contains the hash of the concatenation of its children. The root hash commits to the entire dataset: any modification to any leaf changes the root hash. A verifier can confirm inclusion of a specific record with O(log n) hash computations given an authentication path (Merkle proof) from the leaf to the root.</w:t>
      </w:r>
    </w:p>
    <w:p>
      <w:pPr>
        <w:ind w:firstLine="567"/>
      </w:pPr>
      <w:r>
        <w:rPr>
          <w:rFonts w:ascii="Times New Roman" w:hAnsi="Times New Roman"/>
          <w:b w:val="0"/>
          <w:sz w:val="22"/>
        </w:rPr>
        <w:t>In e-banking settlement, Merkle trees enable regulators and counterparties to verify that a specific transaction was included in a batch settlement without reprocessing the entire batch. Combined with digital signatures on the Merkle root, the tree provides both integrity and non-repudiation at the batch level. Bitcoin and other blockchains use Merkle trees in block headers for similar reasons, though blockchain consensus introduces latency unsuitable for real-time settlement. ECC-HISE adopts Merkle trees for audit without requiring distributed consensus, making it applicable to traditional inter-bank settlement workflows.</w:t>
      </w:r>
    </w:p>
    <w:p>
      <w:pPr>
        <w:ind w:firstLine="567"/>
      </w:pPr>
      <w:r>
        <w:rPr>
          <w:rFonts w:ascii="Times New Roman" w:hAnsi="Times New Roman"/>
          <w:b w:val="0"/>
          <w:sz w:val="22"/>
        </w:rPr>
        <w:t>The integration of Merkle audit chains with ECC-based envelope encryption—rather than treating encryption and audit as separate subsystems—constitutes a key differentiator of the ECC-HISE approach developed in Chapter 3. By including the Merkle root in the signed batch header, any tampering with individual records is detectable through root mismatch, while the hierarchical key structure limits the scope of key compromise to individual batches within specific business domains.</w:t>
      </w:r>
    </w:p>
    <w:p>
      <w:pPr>
        <w:pStyle w:val="Heading3"/>
      </w:pPr>
      <w:r>
        <w:t>1.3.6 Homomorphic Encryption and Emerging Approaches</w:t>
      </w:r>
    </w:p>
    <w:p>
      <w:pPr>
        <w:ind w:firstLine="567"/>
      </w:pPr>
      <w:r>
        <w:rPr>
          <w:rFonts w:ascii="Times New Roman" w:hAnsi="Times New Roman"/>
          <w:b w:val="0"/>
          <w:sz w:val="22"/>
        </w:rPr>
        <w:t>While not part of the proposed schemes in this dissertation, emerging cryptographic technologies warrant brief discussion to situate the research within the broader landscape of financial data protection.</w:t>
      </w:r>
    </w:p>
    <w:p>
      <w:pPr>
        <w:ind w:firstLine="567"/>
      </w:pPr>
      <w:r>
        <w:rPr>
          <w:rFonts w:ascii="Times New Roman" w:hAnsi="Times New Roman"/>
          <w:b w:val="0"/>
          <w:sz w:val="22"/>
        </w:rPr>
        <w:t>Fully homomorphic encryption (FHE) enables computation on encrypted data without decryption, potentially allowing banks to perform fraud detection on encrypted transaction streams. However, FHE remains orders of magnitude slower than plaintext computation and is not yet practical for real-time e-banking workloads. Partial homomorphic schemes (Paillier, ElGamal) support specific operations (addition, multiplication) and have been piloted for privacy-preserving credit scoring.</w:t>
      </w:r>
    </w:p>
    <w:p>
      <w:pPr>
        <w:ind w:firstLine="567"/>
      </w:pPr>
      <w:r>
        <w:rPr>
          <w:rFonts w:ascii="Times New Roman" w:hAnsi="Times New Roman"/>
          <w:b w:val="0"/>
          <w:sz w:val="22"/>
        </w:rPr>
        <w:t>Confidential computing (Intel SGX, AMD SEV, ARM TrustZone) provides hardware-enforced memory isolation for applications processing sensitive data. Major cloud providers offer confidential virtual machines for financial workloads. These technologies address the 'data in use' protection gap identified in Section 1.3.1 but require trust in hardware manufacturers and are vulnerable to side-channel attacks.</w:t>
      </w:r>
    </w:p>
    <w:p>
      <w:pPr>
        <w:ind w:firstLine="567"/>
      </w:pPr>
      <w:r>
        <w:rPr>
          <w:rFonts w:ascii="Times New Roman" w:hAnsi="Times New Roman"/>
          <w:b w:val="0"/>
          <w:sz w:val="22"/>
        </w:rPr>
        <w:t>The schemes proposed in this dissertation (ECC-DTB-AKA and ECC-HISE) complement rather than replace these emerging approaches. ECC-DTB-AKA secures the client-server channel; ECC-HISE secures server-server batch data; confidential computing can protect in-memory processing; and post-quantum algorithms will eventually replace specific ECC primitives as standards mature.</w:t>
      </w:r>
    </w:p>
    <w:p>
      <w:pPr>
        <w:pStyle w:val="Heading2"/>
      </w:pPr>
      <w:r>
        <w:t>1.4 Threat Model, Assumptions, and Research Questions</w:t>
      </w:r>
    </w:p>
    <w:p>
      <w:pPr>
        <w:ind w:firstLine="567"/>
      </w:pPr>
      <w:r>
        <w:rPr>
          <w:rFonts w:ascii="Times New Roman" w:hAnsi="Times New Roman"/>
          <w:b w:val="0"/>
          <w:sz w:val="22"/>
        </w:rPr>
        <w:t>This section formalizes the threat model, system assumptions, and research questions that guide the design and evaluation of the proposed schemes in Chapters 2 through 5.</w:t>
      </w:r>
    </w:p>
    <w:p>
      <w:pPr>
        <w:pStyle w:val="Heading3"/>
      </w:pPr>
      <w:r>
        <w:t>1.4.1 Threat Model</w:t>
      </w:r>
    </w:p>
    <w:p>
      <w:pPr>
        <w:ind w:firstLine="567"/>
      </w:pPr>
      <w:r>
        <w:rPr>
          <w:rFonts w:ascii="Times New Roman" w:hAnsi="Times New Roman"/>
          <w:b w:val="0"/>
          <w:sz w:val="22"/>
        </w:rPr>
        <w:t>We adopt a Dolev-Yao threat model extended with financial-domain adversary capabilities. The adversary A can: (a) eavesdrop on, insert, delete, modify, and replay messages on all network channels; (b) compromise up to N-1 of M server nodes in the settlement network (where M &gt; 2N-1 for quorum systems, but we do not assume quorum); (c) extract session tokens and application data from a compromised client device; (d) perform offline dictionary attacks on captured password hashes (but not on ECDH ephemeral private keys due to computational hardness); (e) submit fraudulent transaction requests using stolen credentials.</w:t>
      </w:r>
    </w:p>
    <w:p>
      <w:pPr>
        <w:ind w:firstLine="567"/>
      </w:pPr>
      <w:r>
        <w:rPr>
          <w:rFonts w:ascii="Times New Roman" w:hAnsi="Times New Roman"/>
          <w:b w:val="0"/>
          <w:sz w:val="22"/>
        </w:rPr>
        <w:t>The adversary A cannot: (a) break the elliptic curve discrete logarithm problem (ECDLP) or compute discrete logarithms on the chosen curve; (b) break SHA-256, AES-256-GCM, or Ed25519 unforgeability; (c) extract private keys from an HSM (in the prototype, HSM is simulated and this assumption is noted as a limitation); (d) physically access the bank's data center without detection.</w:t>
      </w:r>
    </w:p>
    <w:p>
      <w:pPr>
        <w:ind w:firstLine="567"/>
      </w:pPr>
      <w:r>
        <w:rPr>
          <w:rFonts w:ascii="Times New Roman" w:hAnsi="Times New Roman"/>
          <w:b w:val="0"/>
          <w:sz w:val="22"/>
        </w:rPr>
        <w:t>Trust assumptions: the bank's certificate authority (CA) is trusted; registered client public keys are distributed securely during account enrollment; the clearing-house master key is generated and stored in an HSM at setup time.</w:t>
      </w:r>
    </w:p>
    <w:p>
      <w:pPr>
        <w:jc w:val="center"/>
      </w:pPr>
      <w:r>
        <w:drawing>
          <wp:inline xmlns:a="http://schemas.openxmlformats.org/drawingml/2006/main" xmlns:pic="http://schemas.openxmlformats.org/drawingml/2006/picture">
            <wp:extent cx="5040000" cy="2854545"/>
            <wp:docPr id="5" name="Picture 5"/>
            <wp:cNvGraphicFramePr>
              <a:graphicFrameLocks noChangeAspect="1"/>
            </wp:cNvGraphicFramePr>
            <a:graphic>
              <a:graphicData uri="http://schemas.openxmlformats.org/drawingml/2006/picture">
                <pic:pic>
                  <pic:nvPicPr>
                    <pic:cNvPr id="0" name="fig_1_5_threat_model.png"/>
                    <pic:cNvPicPr/>
                  </pic:nvPicPr>
                  <pic:blipFill>
                    <a:blip r:embed="rId13"/>
                    <a:stretch>
                      <a:fillRect/>
                    </a:stretch>
                  </pic:blipFill>
                  <pic:spPr>
                    <a:xfrm>
                      <a:off x="0" y="0"/>
                      <a:ext cx="5040000" cy="2854545"/>
                    </a:xfrm>
                    <a:prstGeom prst="rect"/>
                  </pic:spPr>
                </pic:pic>
              </a:graphicData>
            </a:graphic>
          </wp:inline>
        </w:drawing>
      </w:r>
    </w:p>
    <w:p>
      <w:pPr>
        <w:jc w:val="center"/>
      </w:pPr>
      <w:r>
        <w:rPr>
          <w:rFonts w:ascii="Times New Roman" w:hAnsi="Times New Roman"/>
          <w:i/>
          <w:sz w:val="20"/>
        </w:rPr>
        <w:t>Threat model diagram showing adversary position relative to client, bank server, and inter-bank network (Figure 1.5).</w:t>
      </w:r>
    </w:p>
    <w:p>
      <w:pPr>
        <w:pStyle w:val="Heading3"/>
      </w:pPr>
      <w:r>
        <w:t>1.4.2 System Assumptions</w:t>
      </w:r>
    </w:p>
    <w:p>
      <w:pPr>
        <w:ind w:firstLine="567"/>
      </w:pPr>
      <w:r>
        <w:rPr>
          <w:rFonts w:ascii="Times New Roman" w:hAnsi="Times New Roman"/>
          <w:b w:val="0"/>
          <w:sz w:val="22"/>
        </w:rPr>
        <w:t>The e-banking system under consideration comprises: (1) a client application running on a smartphone or desktop with a secure element or trusted execution environment for key storage; (2) a bank application server providing RESTful APIs for account management and transaction authorization; (3) a settlement server participating in inter-bank batch transfer; (4) a clearing-house authority managing the master key hierarchy.</w:t>
      </w:r>
    </w:p>
    <w:p>
      <w:pPr>
        <w:ind w:firstLine="567"/>
      </w:pPr>
      <w:r>
        <w:rPr>
          <w:rFonts w:ascii="Times New Roman" w:hAnsi="Times New Roman"/>
          <w:b w:val="0"/>
          <w:sz w:val="22"/>
        </w:rPr>
        <w:t>Clients and servers have synchronized clocks within ±5 minutes (for timestamp validation and nonce freshness). Network connectivity is intermittent but eventually available. The elliptic curve used is SECP256R1 (NIST P-256) for ECDH/ECDSA operations and Ed25519 for batch signatures, unless otherwise noted.</w:t>
      </w:r>
    </w:p>
    <w:p>
      <w:pPr>
        <w:pStyle w:val="Heading3"/>
      </w:pPr>
      <w:r>
        <w:t>1.4.3 Research Questions</w:t>
      </w:r>
    </w:p>
    <w:p>
      <w:pPr>
        <w:ind w:firstLine="567"/>
      </w:pPr>
      <w:r>
        <w:rPr>
          <w:rFonts w:ascii="Times New Roman" w:hAnsi="Times New Roman"/>
          <w:b w:val="0"/>
          <w:sz w:val="22"/>
        </w:rPr>
        <w:t>RQ1: Can an ECC-based authenticated key agreement protocol that binds session keys to device fingerprints and transaction nonces overcome the authentication limitations identified in Section 1.2 while maintaining or improving communication efficiency?</w:t>
      </w:r>
    </w:p>
    <w:p>
      <w:pPr>
        <w:ind w:firstLine="567"/>
      </w:pPr>
      <w:r>
        <w:rPr>
          <w:rFonts w:ascii="Times New Roman" w:hAnsi="Times New Roman"/>
          <w:b w:val="0"/>
          <w:sz w:val="22"/>
        </w:rPr>
        <w:t>RQ2: Can a hierarchical ECC-based secure envelope scheme with Merkle audit chains address the data-security limitations identified in Section 1.3 for server-server batch transfer in e-finance systems?</w:t>
      </w:r>
    </w:p>
    <w:p>
      <w:pPr>
        <w:ind w:firstLine="567"/>
      </w:pPr>
      <w:r>
        <w:rPr>
          <w:rFonts w:ascii="Times New Roman" w:hAnsi="Times New Roman"/>
          <w:b w:val="0"/>
          <w:sz w:val="22"/>
        </w:rPr>
        <w:t>RQ3: How do the proposed schemes compare quantitatively to existing approaches (TLS 1.3, standard ECDH, ECIES, static PSK) in terms of authentication latency, ciphertext overhead, communication round trips, and resistance to attacks cataloged in Section 1.1?</w:t>
      </w:r>
    </w:p>
    <w:p>
      <w:pPr>
        <w:ind w:firstLine="567"/>
      </w:pPr>
      <w:r>
        <w:rPr>
          <w:rFonts w:ascii="Times New Roman" w:hAnsi="Times New Roman"/>
          <w:b w:val="0"/>
          <w:sz w:val="22"/>
        </w:rPr>
        <w:t>RQ4: Can both schemes be implemented in a unified e-financial service architecture and validated through programmatic testing and benchmark measurement?</w:t>
      </w:r>
    </w:p>
    <w:p>
      <w:pPr>
        <w:pStyle w:val="Heading3"/>
      </w:pPr>
      <w:r>
        <w:t>1.4.4 Chapter Summary</w:t>
      </w:r>
    </w:p>
    <w:p>
      <w:pPr>
        <w:ind w:firstLine="567"/>
      </w:pPr>
      <w:r>
        <w:rPr>
          <w:rFonts w:ascii="Times New Roman" w:hAnsi="Times New Roman"/>
          <w:b w:val="0"/>
          <w:sz w:val="22"/>
        </w:rPr>
        <w:t>This chapter has defined and categorized attack mechanisms against e-banking and e-finance systems, presented case studies demonstrating their real-world impact, reviewed current authentication and key-exchange mechanisms with six identified limitations (Section 1.2), reviewed current data encryption and integrity mechanisms with six identified limitations (Section 1.3), and formalized the threat model and research questions guiding this dissertation. The identified limitations provide direct motivation for the two novel ECC-based schemes developed in Chapters 2 and 3, whose prior-work context is further elaborated in Chapter 5.</w:t>
      </w:r>
    </w:p>
    <w:p>
      <w:pPr>
        <w:pStyle w:val="Heading3"/>
      </w:pPr>
      <w:r>
        <w:t>1.4.5 Security Requirements Derivation</w:t>
      </w:r>
    </w:p>
    <w:p>
      <w:pPr>
        <w:ind w:firstLine="567"/>
      </w:pPr>
      <w:r>
        <w:rPr>
          <w:rFonts w:ascii="Times New Roman" w:hAnsi="Times New Roman"/>
          <w:b w:val="0"/>
          <w:sz w:val="22"/>
        </w:rPr>
        <w:t>From the threat model (Section 1.4.1) and the identified limitations (Sections 1.2.3 and 1.3.3), we derive the following security requirements that the proposed schemes must satisfy. These requirements serve as evaluation criteria in Chapter 5.</w:t>
      </w:r>
    </w:p>
    <w:p>
      <w:pPr>
        <w:ind w:firstLine="567"/>
      </w:pPr>
      <w:r>
        <w:rPr>
          <w:rFonts w:ascii="Times New Roman" w:hAnsi="Times New Roman"/>
          <w:b w:val="0"/>
          <w:sz w:val="22"/>
        </w:rPr>
        <w:t>SR1 (Mutual Authentication): Both communicating parties must cryptographically verify each other's identity before any financial data is exchanged. For client-server channels, this means the client verifies the bank server's identity via certificate chain, and the server verifies the client's identity via registered public key signature.</w:t>
      </w:r>
    </w:p>
    <w:p>
      <w:pPr>
        <w:ind w:firstLine="567"/>
      </w:pPr>
      <w:r>
        <w:rPr>
          <w:rFonts w:ascii="Times New Roman" w:hAnsi="Times New Roman"/>
          <w:b w:val="0"/>
          <w:sz w:val="22"/>
        </w:rPr>
        <w:t>SR2 (Forward Secrecy): Compromise of long-term private keys must not enable decryption of previously recorded sessions. Ephemeral ECDH key pairs must be used for session key establishment.</w:t>
      </w:r>
    </w:p>
    <w:p>
      <w:pPr>
        <w:ind w:firstLine="567"/>
      </w:pPr>
      <w:r>
        <w:rPr>
          <w:rFonts w:ascii="Times New Roman" w:hAnsi="Times New Roman"/>
          <w:b w:val="0"/>
          <w:sz w:val="22"/>
        </w:rPr>
        <w:t>SR3 (Device Binding): Session keys must be cryptographically bound to the client device, preventing session transfer to unauthorized devices even if session tokens are exfiltrated.</w:t>
      </w:r>
    </w:p>
    <w:p>
      <w:pPr>
        <w:ind w:firstLine="567"/>
      </w:pPr>
      <w:r>
        <w:rPr>
          <w:rFonts w:ascii="Times New Roman" w:hAnsi="Times New Roman"/>
          <w:b w:val="0"/>
          <w:sz w:val="22"/>
        </w:rPr>
        <w:t>SR4 (Transaction Binding): Individual transactions must be protected by keys derived specifically for that transaction, limiting the impact of single-transaction key compromise.</w:t>
      </w:r>
    </w:p>
    <w:p>
      <w:pPr>
        <w:ind w:firstLine="567"/>
      </w:pPr>
      <w:r>
        <w:rPr>
          <w:rFonts w:ascii="Times New Roman" w:hAnsi="Times New Roman"/>
          <w:b w:val="0"/>
          <w:sz w:val="22"/>
        </w:rPr>
        <w:t>SR5 (Data Confidentiality): Financial records in server-server batch transfer must be encrypted with semantically secure authenticated encryption.</w:t>
      </w:r>
    </w:p>
    <w:p>
      <w:pPr>
        <w:ind w:firstLine="567"/>
      </w:pPr>
      <w:r>
        <w:rPr>
          <w:rFonts w:ascii="Times New Roman" w:hAnsi="Times New Roman"/>
          <w:b w:val="0"/>
          <w:sz w:val="22"/>
        </w:rPr>
        <w:t>SR6 (Data Integrity): Any modification to batch records must be detectable through cryptographic verification, with batch-level integrity proofs enabling efficient audit.</w:t>
      </w:r>
    </w:p>
    <w:p>
      <w:pPr>
        <w:ind w:firstLine="567"/>
      </w:pPr>
      <w:r>
        <w:rPr>
          <w:rFonts w:ascii="Times New Roman" w:hAnsi="Times New Roman"/>
          <w:b w:val="0"/>
          <w:sz w:val="22"/>
        </w:rPr>
        <w:t>SR7 (Non-Repudiation): Batch senders must not be able to deny having sent a batch, achieved through digital signatures on batch headers.</w:t>
      </w:r>
    </w:p>
    <w:p>
      <w:pPr>
        <w:ind w:firstLine="567"/>
      </w:pPr>
      <w:r>
        <w:rPr>
          <w:rFonts w:ascii="Times New Roman" w:hAnsi="Times New Roman"/>
          <w:b w:val="0"/>
          <w:sz w:val="22"/>
        </w:rPr>
        <w:t>SR8 (Efficiency): Authentication must complete within acceptable latency bounds (target: under 200ms on commodity hardware) with minimal communication overhead.</w:t>
      </w:r>
    </w:p>
    <w:p>
      <w:pPr>
        <w:pStyle w:val="Heading3"/>
      </w:pPr>
      <w:r>
        <w:t>1.4.6 Relationship to Subsequent Chapters</w:t>
      </w:r>
    </w:p>
    <w:p>
      <w:pPr>
        <w:ind w:firstLine="567"/>
      </w:pPr>
      <w:r>
        <w:rPr>
          <w:rFonts w:ascii="Times New Roman" w:hAnsi="Times New Roman"/>
          <w:b w:val="0"/>
          <w:sz w:val="22"/>
        </w:rPr>
        <w:t>The security requirements SR1 through SR4 are addressed primarily by the ECC-DTB-AKA protocol developed in Chapter 2. Requirements SR5 through SR7 are addressed by the ECC-HISE scheme developed in Chapter 3. Requirement SR8 is evaluated quantitatively in Chapters 2, 3, and 5 through benchmark measurements of the prototype described in Chapter 4.</w:t>
      </w:r>
    </w:p>
    <w:p>
      <w:pPr>
        <w:ind w:firstLine="567"/>
      </w:pPr>
      <w:r>
        <w:rPr>
          <w:rFonts w:ascii="Times New Roman" w:hAnsi="Times New Roman"/>
          <w:b w:val="0"/>
          <w:sz w:val="22"/>
        </w:rPr>
        <w:t>Chapter 5 provides the comprehensive prior-work analysis specified in the dissertation requirements: Section 5.2 reviews authentication and key-exchange literature in depth (expanding on the overview in Section 1.2), Section 5.3 reviews data encryption and integrity literature (expanding on Section 1.3), and Section 5.4 synthesizes findings to demonstrate how the proposed schemes address the vulnerabilities cataloged in this chapter.</w:t>
      </w:r>
    </w:p>
    <w:p>
      <w:pPr>
        <w:ind w:firstLine="567"/>
      </w:pPr>
      <w:r>
        <w:rPr>
          <w:rFonts w:ascii="Times New Roman" w:hAnsi="Times New Roman"/>
          <w:b w:val="0"/>
          <w:sz w:val="22"/>
        </w:rPr>
        <w:t>Readers approaching this dissertation from a practitioner perspective may wish to read Section 1.1 and Sections 1.2.3/1.3.3 first to understand the threat landscape and identified gaps, then proceed to Chapters 2 and 3 for protocol specifications, and Chapter 4 for implementation guidance. Readers with a research orientation may prefer to read Chapter 5's prior-work analysis before the proposed schemes, to situate the contributions within the existing literature.</w:t>
      </w:r>
    </w:p>
    <w:sectPr w:rsidR="00FC693F" w:rsidRPr="0006063C" w:rsidSect="00034616">
      <w:pgSz w:w="9978" w:h="14173"/>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