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B6B"/>
          <w:sz w:val="20"/>
          <w:szCs w:val="20"/>
          <w:caps/>
        </w:rPr>
        <w:t xml:space="preserve">One Credit Engine · Accounting Domain</w:t>
      </w:r>
    </w:p>
    <w:p>
      <w:pPr>
        <w:spacing w:after="60"/>
      </w:pPr>
      <w:r>
        <w:rPr>
          <w:b/>
          <w:bCs/>
          <w:color w:val="5A2A82"/>
          <w:sz w:val="46"/>
          <w:szCs w:val="46"/>
        </w:rPr>
        <w:t xml:space="preserve">Message Interface &amp; Configuration</w:t>
      </w:r>
    </w:p>
    <w:p>
      <w:pPr>
        <w:spacing w:after="40"/>
      </w:pPr>
      <w:r>
        <w:rPr>
          <w:color w:val="444444"/>
          <w:sz w:val="23"/>
          <w:szCs w:val="23"/>
        </w:rPr>
        <w:t xml:space="preserve">How a customer configures the domain, and how any external system books through it by sending messages</w:t>
      </w:r>
    </w:p>
    <w:p>
      <w:pPr>
        <w:pBdr>
          <w:bottom w:val="single" w:color="5A2A82" w:sz="6" w:space="6"/>
        </w:pBdr>
        <w:spacing w:after="260"/>
      </w:pPr>
      <w:r>
        <w:rPr>
          <w:i/>
          <w:iCs/>
          <w:color w:val="6B6B6B"/>
          <w:sz w:val="18"/>
          <w:szCs w:val="18"/>
        </w:rPr>
        <w:t xml:space="preserve">Integration &amp; configuration guide · prototype behaviour</w:t>
      </w:r>
    </w:p>
    <w:p>
      <w:pPr>
        <w:pStyle w:val="Heading1"/>
        <w:spacing w:before="280" w:after="120"/>
      </w:pPr>
      <w:r>
        <w:rPr>
          <w:color w:val="5A2A82"/>
        </w:rPr>
        <w:t xml:space="preserve">1. The principle: a configurable domain</w:t>
      </w:r>
    </w:p>
    <w:p>
      <w:pPr>
        <w:spacing w:after="120" w:line="276"/>
      </w:pPr>
      <w:r>
        <w:t xml:space="preserve">The Accounting Domain is a </w:t>
      </w:r>
      <w:r>
        <w:rPr>
          <w:b/>
          <w:bCs/>
        </w:rPr>
        <w:t xml:space="preserve">product our customers configure themselves. </w:t>
      </w:r>
      <w:r>
        <w:t xml:space="preserve">A customer sets up their own legal entities, accounting classes, ledgers, accounting events, amount types and formulas — and from that moment any external system (a contract system, an asset system, a payment engine) can book into the domain by </w:t>
      </w:r>
      <w:r>
        <w:rPr>
          <w:b/>
          <w:bCs/>
        </w:rPr>
        <w:t xml:space="preserve">sending messages</w:t>
      </w:r>
      <w:r>
        <w:t xml:space="preserve">. Tieto does not need to change anything for a new customer setup: the message carries </w:t>
      </w:r>
      <w:r>
        <w:rPr>
          <w:b/>
          <w:bCs/>
        </w:rPr>
        <w:t xml:space="preserve">codes the customer defined</w:t>
      </w:r>
      <w:r>
        <w:t xml:space="preserve">, and the domain resolves them against its own configuration.</w:t>
      </w:r>
    </w:p>
    <w:p>
      <w:pPr>
        <w:spacing w:after="120" w:line="276"/>
      </w:pPr>
      <w:r>
        <w:t xml:space="preserve">The clearest example: a customer creates a new accounting class </w:t>
      </w:r>
      <w:r>
        <w:rPr>
          <w:sz w:val="18"/>
          <w:szCs w:val="18"/>
          <w:rFonts w:ascii="Consolas" w:cs="Consolas" w:eastAsia="Consolas" w:hAnsi="Consolas"/>
        </w:rPr>
        <w:t xml:space="preserve">CLA-Administration</w:t>
      </w:r>
      <w:r>
        <w:t xml:space="preserve">. From then on a message may carry </w:t>
      </w:r>
      <w:r>
        <w:rPr>
          <w:sz w:val="18"/>
          <w:szCs w:val="18"/>
          <w:rFonts w:ascii="Consolas" w:cs="Consolas" w:eastAsia="Consolas" w:hAnsi="Consolas"/>
        </w:rPr>
        <w:t xml:space="preserve">CLA-Administration</w:t>
      </w:r>
      <w:r>
        <w:t xml:space="preserve"> in its Accounting Class column, and the domain books it — no code change, no supplier involvement.</w:t>
      </w:r>
    </w:p>
    <w:p>
      <w:pPr>
        <w:spacing w:after="80"/>
      </w:pPr>
      <w:r>
        <w:rPr>
          <w:b/>
          <w:bCs/>
        </w:rPr>
        <w:t xml:space="preserve">Two phases make this work: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Configure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set up the domain once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Connect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point the sending system at it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Send messages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referencing configured codes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Journals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GLI booked automatically</w:t>
            </w:r>
          </w:p>
        </w:tc>
      </w:tr>
    </w:tbl>
    <w:p>
      <w:pPr>
        <w:spacing w:before="140"/>
      </w:pPr>
      <w:r>
        <w:t xml:space="preserve">The rest of this document describes the configuration steps, the exact message layout column by column, the external-account-value list, and how a message is processed at runtime.</w:t>
      </w:r>
    </w:p>
    <w:p>
      <w:pPr>
        <w:pStyle w:val="Heading1"/>
        <w:spacing w:before="280" w:after="120"/>
      </w:pPr>
      <w:r>
        <w:rPr>
          <w:color w:val="5A2A82"/>
        </w:rPr>
        <w:t xml:space="preserve">2. Configuration walkthrough</w:t>
      </w:r>
    </w:p>
    <w:p>
      <w:pPr>
        <w:spacing w:after="120" w:line="276"/>
      </w:pPr>
      <w:r>
        <w:t xml:space="preserve">A customer sets the domain up in this order. Each step is done in the application; the right-hand column shows which part of the </w:t>
      </w:r>
      <w:r>
        <w:rPr>
          <w:b/>
          <w:bCs/>
        </w:rPr>
        <w:t xml:space="preserve">message</w:t>
      </w:r>
      <w:r>
        <w:t xml:space="preserve"> the step makes usable.</w:t>
      </w:r>
    </w:p>
    <w:tbl>
      <w:tblPr>
        <w:tblW w:type="pct" w:w="100%"/>
        <w:tblBorders>
          <w:top w:val="single" w:color="D8D8D8" w:sz="4"/>
          <w:left w:val="single" w:color="D8D8D8" w:sz="4"/>
          <w:bottom w:val="single" w:color="D8D8D8" w:sz="4"/>
          <w:right w:val="single" w:color="D8D8D8" w:sz="4"/>
          <w:insideH w:val="single" w:color="D8D8D8" w:sz="4"/>
          <w:insideV w:val="single" w:color="D8D8D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4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the customer does</w:t>
            </w:r>
          </w:p>
        </w:tc>
        <w:tc>
          <w:tcPr>
            <w:tcW w:type="pct" w:w="32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in the app</w:t>
            </w:r>
          </w:p>
        </w:tc>
        <w:tc>
          <w:tcPr>
            <w:tcW w:type="pct" w:w="30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Enables in the message</w:t>
            </w:r>
          </w:p>
        </w:tc>
      </w:tr>
      <w:tr>
        <w:tc>
          <w:tcPr>
            <w:tcW w:type="pct" w:w="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Create the legal entity (booking entity) and its organization units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entity, Organization Unit, Tenant</w:t>
            </w:r>
          </w:p>
        </w:tc>
      </w:tr>
      <w:tr>
        <w:tc>
          <w:tcPr>
            <w:tcW w:type="pct" w:w="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 up chart of account, pseudo accounts and account dimensions (parts, values, source) — the accounts formulas will post to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 ▸ Chart of account / Pseudo accounts / Dimensions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 segment + the dimension columns / Account-values list</w:t>
            </w:r>
          </w:p>
        </w:tc>
      </w:tr>
      <w:tr>
        <w:tc>
          <w:tcPr>
            <w:tcW w:type="pct" w:w="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Create / assign the accounting class(es) — e.g. CLA-Administration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▸ Accounting Class (assigned to the entity)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Class</w:t>
            </w:r>
          </w:p>
        </w:tc>
      </w:tr>
      <w:tr>
        <w:tc>
          <w:tcPr>
            <w:tcW w:type="pct" w:w="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Assign one or several ledgers the class books into (Local, US GAAP, …)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▸ Ledgers (per class)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(controls how many ledger lines each event produces)</w:t>
            </w:r>
          </w:p>
        </w:tc>
      </w:tr>
      <w:tr>
        <w:tc>
          <w:tcPr>
            <w:tcW w:type="pct" w:w="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Verify the accounting events exist; add any that are missing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▸ Accounting events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event</w:t>
            </w:r>
          </w:p>
        </w:tc>
      </w:tr>
      <w:tr>
        <w:tc>
          <w:tcPr>
            <w:tcW w:type="pct" w:w="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Verify the amount types the sender will send; add new ones if needed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▸ Amount types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Amount type (+ Amount Group)</w:t>
            </w:r>
          </w:p>
        </w:tc>
      </w:tr>
      <w:tr>
        <w:tc>
          <w:tcPr>
            <w:tcW w:type="pct" w:w="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Create formulas: pick the amount type and the conditions, and the debit/credit accounts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 ▸ Formulas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Amount type, Amount Code, Accounting Type &amp; other condition values</w:t>
            </w:r>
          </w:p>
        </w:tc>
      </w:tr>
      <w:tr>
        <w:tc>
          <w:tcPr>
            <w:tcW w:type="pct" w:w="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Attach the formula(s) to an accounting event (per ledger) — the accounting rule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 ▸ Accounting rules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ties Accounting event + Accounting Class → formulas</w:t>
            </w:r>
          </w:p>
        </w:tc>
      </w:tr>
    </w:tbl>
    <w:p>
      <w:pPr>
        <w:spacing w:before="120" w:after="60"/>
      </w:pPr>
      <w:r>
        <w:t xml:space="preserve">Accounts and dimensions (step 2) come early because a formula posts to a pseudo account and produces a dimension string — they must exist before step 7.</w:t>
      </w:r>
    </w:p>
    <w:p>
      <w:pPr>
        <w:spacing w:after="120" w:line="276"/>
      </w:pPr>
      <w:r>
        <w:rPr>
          <w:b/>
          <w:bCs/>
        </w:rPr>
        <w:t xml:space="preserve">Nothing above requires Tieto. </w:t>
      </w:r>
      <w:r>
        <w:t xml:space="preserve">Steps 5–7 are the extensibility points: new events, new amount types and new formulas are all customer-created and immediately referable from a message.</w:t>
      </w:r>
    </w:p>
    <w:p>
      <w:pPr>
        <w:pStyle w:val="Heading1"/>
        <w:spacing w:before="280" w:after="120"/>
      </w:pPr>
      <w:r>
        <w:rPr>
          <w:color w:val="5A2A82"/>
        </w:rPr>
        <w:t xml:space="preserve">3. Anatomy of a message</w:t>
      </w:r>
    </w:p>
    <w:p>
      <w:pPr>
        <w:spacing w:after="120" w:line="276"/>
      </w:pPr>
      <w:r>
        <w:t xml:space="preserve">A message represents </w:t>
      </w:r>
      <w:r>
        <w:rPr>
          <w:b/>
          <w:bCs/>
        </w:rPr>
        <w:t xml:space="preserve">one accounting event</w:t>
      </w:r>
      <w:r>
        <w:t xml:space="preserve">. It often relates to an agreement and line, but that is </w:t>
      </w:r>
      <w:r>
        <w:rPr>
          <w:b/>
          <w:bCs/>
        </w:rPr>
        <w:t xml:space="preserve">not required</w:t>
      </w:r>
      <w:r>
        <w:t xml:space="preserve"> — many events carry no agreement at all. The message has a set of header fields that repeat, followed by one or more </w:t>
      </w:r>
      <w:r>
        <w:rPr>
          <w:b/>
          <w:bCs/>
        </w:rPr>
        <w:t xml:space="preserve">amount lines</w:t>
      </w:r>
      <w:r>
        <w:t xml:space="preserve"> — each a triple of Amount type, Amount Code and Amount. One event = one message; the amount lines carry the values the formulas turn into journal lines.</w:t>
      </w:r>
    </w:p>
    <w:p>
      <w:pPr>
        <w:spacing w:after="40"/>
      </w:pPr>
      <w:r>
        <w:t xml:space="preserve">Events with no agreement are common, for example: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Supplier invoice → inventory — </w:t>
      </w:r>
      <w:r>
        <w:t xml:space="preserve">an asset booked into stock from a supplier invoice (identified by supplier + invoice).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Customer payment with no agreement — </w:t>
      </w:r>
      <w:r>
        <w:t xml:space="preserve">the customer pays an amount not tied to an agreement; it is booked as an on-account balance on the customer.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Inventory revaluation — </w:t>
      </w:r>
      <w:r>
        <w:t xml:space="preserve">an asset in inventory written down to a lower value.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Manual invoice / manual transaction — </w:t>
      </w:r>
      <w:r>
        <w:t xml:space="preserve">a booking a user raises directly, not linked to any agreement.</w:t>
      </w:r>
    </w:p>
    <w:p>
      <w:pPr>
        <w:spacing w:after="60"/>
      </w:pPr>
      <w:r>
        <w:t xml:space="preserve">When there is no agreement, the entity’s dimension configuration simply sources those parts from elsewhere (Supplier identity, Asset Number, Cost Center, …) — the message still resolves. See §5.</w:t>
      </w:r>
    </w:p>
    <w:p>
      <w:pPr>
        <w:spacing w:after="40"/>
      </w:pPr>
      <w:r>
        <w:rPr>
          <w:b/>
          <w:bCs/>
        </w:rPr>
        <w:t xml:space="preserve">Header (identity + context)</w:t>
      </w:r>
      <w:r>
        <w:t xml:space="preserve"> — who/what/when: entity, class, event, agreement, dates, currency.</w:t>
      </w:r>
    </w:p>
    <w:p>
      <w:pPr>
        <w:spacing w:after="120" w:line="276"/>
      </w:pPr>
      <w:r>
        <w:rPr>
          <w:b/>
          <w:bCs/>
        </w:rPr>
        <w:t xml:space="preserve">Amount lines (repeating)</w:t>
      </w:r>
      <w:r>
        <w:t xml:space="preserve"> — the money: each names an Amount type, optionally an Amount Code, and the Amount.</w:t>
      </w:r>
    </w:p>
    <w:p>
      <w:pPr>
        <w:spacing w:after="120" w:line="276"/>
      </w:pPr>
      <w:r>
        <w:rPr>
          <w:b/>
          <w:bCs/>
        </w:rPr>
        <w:t xml:space="preserve">Account values (a companion list)</w:t>
      </w:r>
      <w:r>
        <w:t xml:space="preserve"> — dimension values that are not header fields (Asset Number, Reg. Number, Cost Center…). See §5.</w:t>
      </w:r>
    </w:p>
    <w:p>
      <w:pPr>
        <w:spacing w:after="60"/>
      </w:pPr>
      <w:r>
        <w:t xml:space="preserve">The message workbook holds one sheet per accounting event (Activation, Invoicing, AR Payment, Settlement, Termination, Monthly Booking, Supplier Invoice), all sharing the same columns.</w:t>
      </w:r>
    </w:p>
    <w:p>
      <w:pPr>
        <w:pStyle w:val="Heading1"/>
        <w:spacing w:before="280" w:after="120"/>
      </w:pPr>
      <w:r>
        <w:rPr>
          <w:color w:val="5A2A82"/>
        </w:rPr>
        <w:t xml:space="preserve">4. Message column reference</w:t>
      </w:r>
    </w:p>
    <w:p>
      <w:pPr>
        <w:spacing w:after="120" w:line="276"/>
      </w:pPr>
      <w:r>
        <w:t xml:space="preserve">Every column, what it means, an example, and — crucially — </w:t>
      </w:r>
      <w:r>
        <w:rPr>
          <w:b/>
          <w:bCs/>
        </w:rPr>
        <w:t xml:space="preserve">what the value is validated against in the configuration.</w:t>
      </w:r>
    </w:p>
    <w:tbl>
      <w:tblPr>
        <w:tblW w:type="pct" w:w="100%"/>
        <w:tblBorders>
          <w:top w:val="single" w:color="D8D8D8" w:sz="4"/>
          <w:left w:val="single" w:color="D8D8D8" w:sz="4"/>
          <w:bottom w:val="single" w:color="D8D8D8" w:sz="4"/>
          <w:right w:val="single" w:color="D8D8D8" w:sz="4"/>
          <w:insideH w:val="single" w:color="D8D8D8" w:sz="4"/>
          <w:insideV w:val="single" w:color="D8D8D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pct" w:w="30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pct" w:w="18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Example</w:t>
            </w:r>
          </w:p>
        </w:tc>
        <w:tc>
          <w:tcPr>
            <w:tcW w:type="pct" w:w="36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Configured / validated against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Tenant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Owning organisation of the entity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ALS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 owner (party domain)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Organization Unit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Sub-unit under the legal entity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ALS-ITA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 ▸ Organization units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booking entity (owner code)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ALS ITA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 list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Class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Which accounting setup to use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CLA-Administration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▸ Accounting Class (assigned to entity)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Type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condition value used by formulas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DL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Condition values; used in formula conditions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event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business event being booked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 (Invoicing)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▸ Accounting events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Product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Product identifier (dimension / condition)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200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Ext. value 'Product'; condition value 8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Portfolio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Portfolio (dimension / condition)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Ext. value 'Portfolio'; condition value 9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Customer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Customer identity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251212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Ext. value 'Customer identity'; condition 10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Supplier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Supplier identity (AP invoices)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88123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Ext. value 'Supplier identity'; condition 11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Agreement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/ agreement number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2020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reference; Ext. value / condition 12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Agreement Line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Line within the agreement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Ext. value / condition 13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Period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period (YYYYMM)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202410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Entity's open / end-of-month period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Event / booking date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2024-10-01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Event's booking-date rule (calc vs event date)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Invoice Number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Invoice reference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23155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(free reference)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Reference Number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External reference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342232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Condition value 15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Term Reason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Termination reason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el2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Condition value 17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Currency Code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Transaction currency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EUR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▸ Currencies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Currency Date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FX rate date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2024-01-01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(currency handling)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Currency Rate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FX rate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(currency handling)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Amount type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Which value this line carries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36 (Total amount)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▸ Amount types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Amount Code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Sub-code: accrual code / disambiguation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PTAX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Accrual codes; condition value 18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Amount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monetary value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1 250.00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before="120"/>
      </w:pPr>
      <w:r>
        <w:rPr>
          <w:b/>
          <w:bCs/>
        </w:rPr>
        <w:t xml:space="preserve">The load-bearing columns are Legal entity, Accounting Class, Accounting event, Amount type and Amount Code. </w:t>
      </w:r>
      <w:r>
        <w:t xml:space="preserve">Their values must match records the customer configured. A message that names </w:t>
      </w:r>
      <w:r>
        <w:rPr>
          <w:sz w:val="18"/>
          <w:szCs w:val="18"/>
          <w:rFonts w:ascii="Consolas" w:cs="Consolas" w:eastAsia="Consolas" w:hAnsi="Consolas"/>
        </w:rPr>
        <w:t xml:space="preserve">CLA-Administration</w:t>
      </w:r>
      <w:r>
        <w:t xml:space="preserve"> works precisely because the customer created that class and assigned a ledger and rules to it.</w:t>
      </w:r>
    </w:p>
    <w:p>
      <w:pPr>
        <w:pStyle w:val="Heading1"/>
        <w:spacing w:before="280" w:after="120"/>
      </w:pPr>
      <w:r>
        <w:rPr>
          <w:color w:val="5A2A82"/>
        </w:rPr>
        <w:t xml:space="preserve">5. The external account values (dimensions)</w:t>
      </w:r>
    </w:p>
    <w:p>
      <w:pPr>
        <w:spacing w:after="120" w:line="276"/>
      </w:pPr>
      <w:r>
        <w:t xml:space="preserve">The external account string on every journal line is built from </w:t>
      </w:r>
      <w:r>
        <w:rPr>
          <w:b/>
          <w:bCs/>
        </w:rPr>
        <w:t xml:space="preserve">accounting dimensions</w:t>
      </w:r>
      <w:r>
        <w:t xml:space="preserve"> (Ext. account parts) configured per legal entity. Each dimension is one </w:t>
      </w:r>
      <w:r>
        <w:rPr>
          <w:b/>
          <w:bCs/>
        </w:rPr>
        <w:t xml:space="preserve">Ext. account value</w:t>
      </w:r>
      <w:r>
        <w:t xml:space="preserve">, and each has a configured </w:t>
      </w:r>
      <w:r>
        <w:rPr>
          <w:b/>
          <w:bCs/>
        </w:rPr>
        <w:t xml:space="preserve">source</w:t>
      </w:r>
      <w:r>
        <w:t xml:space="preserve"> telling the domain where to read it: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Pseudo account — </w:t>
      </w:r>
      <w:r>
        <w:t xml:space="preserve">the account’s own external account (the account segment).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Message — </w:t>
      </w:r>
      <w:r>
        <w:t xml:space="preserve">a named header field on the message.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AccountValues-List — </w:t>
      </w:r>
      <w:r>
        <w:t xml:space="preserve">the companion name/value list, for values that are not header fields.</w:t>
      </w:r>
    </w:p>
    <w:p>
      <w:pPr>
        <w:spacing w:after="60"/>
      </w:pPr>
      <w:r>
        <w:t xml:space="preserve">The catalogue and the source are configurable under </w:t>
      </w:r>
      <w:r>
        <w:rPr>
          <w:b/>
          <w:bCs/>
        </w:rPr>
        <w:t xml:space="preserve">Settings ▸ External account values</w:t>
      </w:r>
      <w:r>
        <w:t xml:space="preserve">. The shipped list:</w:t>
      </w:r>
    </w:p>
    <w:tbl>
      <w:tblPr>
        <w:tblW w:type="pct" w:w="100%"/>
        <w:tblBorders>
          <w:top w:val="single" w:color="D8D8D8" w:sz="4"/>
          <w:left w:val="single" w:color="D8D8D8" w:sz="4"/>
          <w:bottom w:val="single" w:color="D8D8D8" w:sz="4"/>
          <w:right w:val="single" w:color="D8D8D8" w:sz="4"/>
          <w:insideH w:val="single" w:color="D8D8D8" w:sz="4"/>
          <w:insideV w:val="single" w:color="D8D8D8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Ext. account value</w:t>
            </w:r>
          </w:p>
        </w:tc>
        <w:tc>
          <w:tcPr>
            <w:tcW w:type="pct" w:w="18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type="pct" w:w="26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30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Typical origin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Pseudo account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pseudo account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Company/Tenant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Organization Unit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Portfolio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Product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Agreement Number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Agreement Line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line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Customer identity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Currency Code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Supplier identity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Supplier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Message header (AP)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Cost Center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AccountValues-List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/ asset domain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Cost Unit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AccountValues-List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/ asset domain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Asset Number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line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AccountValues-List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Asset domain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Serial Number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line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AccountValues-List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Asset domain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Reg. Number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line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AccountValues-List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Asset domain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Tax Code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AccountValues-List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Contract domain</w:t>
            </w:r>
          </w:p>
        </w:tc>
      </w:tr>
    </w:tbl>
    <w:p>
      <w:pPr>
        <w:spacing w:before="120"/>
      </w:pPr>
      <w:r>
        <w:rPr>
          <w:b/>
          <w:bCs/>
        </w:rPr>
        <w:t xml:space="preserve">Why a list and not fixed columns for the last group: </w:t>
      </w:r>
      <w:r>
        <w:t xml:space="preserve">the set of dimensions differs per customer and per entity, and can grow. Header fields cover the common, always-present values; the AccountValues-List carries the rest, so a new dimension needs no change to the message schema. It also lets a </w:t>
      </w:r>
      <w:r>
        <w:rPr>
          <w:b/>
          <w:bCs/>
        </w:rPr>
        <w:t xml:space="preserve">supplier invoice with no agreement/line</w:t>
      </w:r>
      <w:r>
        <w:t xml:space="preserve"> (an asset going into inventory) still resolve its dimensions — Supplier identity from the header, Asset/Reg. Number from the list.</w:t>
      </w:r>
    </w:p>
    <w:p>
      <w:pPr>
        <w:pStyle w:val="Heading1"/>
        <w:spacing w:before="280" w:after="120"/>
      </w:pPr>
      <w:r>
        <w:rPr>
          <w:color w:val="5A2A82"/>
        </w:rPr>
        <w:t xml:space="preserve">6. How a message is processed</w:t>
      </w:r>
    </w:p>
    <w:p>
      <w:pPr>
        <w:spacing w:after="120" w:line="276"/>
      </w:pPr>
      <w:r>
        <w:t xml:space="preserve">When a message arrives, the domain resolves it entirely against the configuration set up in §2: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Route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entity + class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Select rules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ledgers × event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Run formulas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amount + conditions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Post journal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accounts + dimensions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D8D8D8" w:sz="4"/>
          <w:left w:val="single" w:color="D8D8D8" w:sz="4"/>
          <w:bottom w:val="single" w:color="D8D8D8" w:sz="4"/>
          <w:right w:val="single" w:color="D8D8D8" w:sz="4"/>
          <w:insideH w:val="single" w:color="D8D8D8" w:sz="4"/>
          <w:insideV w:val="single" w:color="D8D8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pct" w:w="52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the domain does</w:t>
            </w:r>
          </w:p>
        </w:tc>
        <w:tc>
          <w:tcPr>
            <w:tcW w:type="pct" w:w="32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Configuration it uses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  Route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Identify the legal entity and the accounting class from the message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entity; Accounting Class assignment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  Select rules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Find the ledger(s) for that class, then the accounting rules for the message’s event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Ledgers per class; Accounting rules (event → formulas)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  Run formulas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For each rule, take the amount for the formula’s amount type and evaluate its conditions (Accounting Type, Amount Code, …) to pick the debit/credit account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Formulas; conditions; amount types; condition values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4  Build dimensions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Assemble each line’s external account string from the entity’s parts, reading each by its source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Ext. account parts / values (source)</w:t>
            </w:r>
          </w:p>
        </w:tc>
      </w:tr>
      <w:t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5  Post journal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Emit the balanced journal lines as one GLI journal (one set per ledger)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GLI numbering per entity</w:t>
            </w:r>
          </w:p>
        </w:tc>
      </w:tr>
    </w:tbl>
    <w:p>
      <w:pPr>
        <w:spacing w:before="120"/>
      </w:pPr>
      <w:r>
        <w:t xml:space="preserve">Accrual amount types add one step: their amount is deferred at this point and recognised later by End of Month (see the companion “Accruals” document).</w:t>
      </w:r>
    </w:p>
    <w:p>
      <w:pPr>
        <w:pStyle w:val="Heading1"/>
        <w:spacing w:before="280" w:after="120"/>
      </w:pPr>
      <w:r>
        <w:rPr>
          <w:color w:val="5A2A82"/>
        </w:rPr>
        <w:t xml:space="preserve">7. Immediate vs. End-of-Month posting</w:t>
      </w:r>
    </w:p>
    <w:p>
      <w:pPr>
        <w:spacing w:after="120" w:line="276"/>
      </w:pPr>
      <w:r>
        <w:t xml:space="preserve">Not every message books the moment it arrives. Each accounting event has a </w:t>
      </w:r>
      <w:r>
        <w:rPr>
          <w:b/>
          <w:bCs/>
        </w:rPr>
        <w:t xml:space="preserve">posting mode</w:t>
      </w:r>
      <w:r>
        <w:t xml:space="preserve"> (configurable under Settings ▸ Accounting events):</w:t>
      </w:r>
    </w:p>
    <w:tbl>
      <w:tblPr>
        <w:tblW w:type="pct" w:w="100%"/>
        <w:tblBorders>
          <w:top w:val="single" w:color="D8D8D8" w:sz="4"/>
          <w:left w:val="single" w:color="D8D8D8" w:sz="4"/>
          <w:bottom w:val="single" w:color="D8D8D8" w:sz="4"/>
          <w:right w:val="single" w:color="D8D8D8" w:sz="4"/>
          <w:insideH w:val="single" w:color="D8D8D8" w:sz="4"/>
          <w:insideV w:val="single" w:color="D8D8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Posting mode</w:t>
            </w:r>
          </w:p>
        </w:tc>
        <w:tc>
          <w:tcPr>
            <w:tcW w:type="pct" w:w="46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When it books</w:t>
            </w:r>
          </w:p>
        </w:tc>
        <w:tc>
          <w:tcPr>
            <w:tcW w:type="pct" w:w="34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Used for</w:t>
            </w:r>
          </w:p>
        </w:tc>
      </w:tr>
      <w:t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Immediate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As soon as the message arrives (§6)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Activation, Invoicing, Payment, Termination, …</w:t>
            </w:r>
          </w:p>
        </w:tc>
      </w:tr>
      <w:t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End of Month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Held Pending; booked when the accountant runs End of Month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Monthly Booking (depreciation, monthly interest, …)</w:t>
            </w:r>
          </w:p>
        </w:tc>
      </w:tr>
    </w:tbl>
    <w:p>
      <w:pPr>
        <w:spacing w:before="120"/>
      </w:pPr>
      <w:r>
        <w:rPr>
          <w:b/>
          <w:bCs/>
        </w:rPr>
        <w:t xml:space="preserve">Why hold them. </w:t>
      </w:r>
      <w:r>
        <w:t xml:space="preserve">Several systems send in monthly amounts — depreciation from one, interest from another. The accountant wants to control </w:t>
      </w:r>
      <w:r>
        <w:rPr>
          <w:b/>
          <w:bCs/>
        </w:rPr>
        <w:t xml:space="preserve">when</w:t>
      </w:r>
      <w:r>
        <w:t xml:space="preserve"> those are accounted for, not have them trickle in. So a message for an End-of-Month event is placed in a </w:t>
      </w:r>
      <w:r>
        <w:rPr>
          <w:b/>
          <w:bCs/>
        </w:rPr>
        <w:t xml:space="preserve">Pending inbox</w:t>
      </w:r>
      <w:r>
        <w:t xml:space="preserve"> instead of being booked, each tagged with the period (yearMonth) it belongs to.</w:t>
      </w:r>
    </w:p>
    <w:p>
      <w:pPr>
        <w:spacing w:after="120" w:line="276"/>
      </w:pPr>
      <w:r>
        <w:rPr>
          <w:b/>
          <w:bCs/>
        </w:rPr>
        <w:t xml:space="preserve">Releasing them. </w:t>
      </w:r>
      <w:r>
        <w:t xml:space="preserve">A user opens the </w:t>
      </w:r>
      <w:r>
        <w:rPr>
          <w:b/>
          <w:bCs/>
        </w:rPr>
        <w:t xml:space="preserve">End of Month</w:t>
      </w:r>
      <w:r>
        <w:t xml:space="preserve"> routine for a legal entity and enters the yearMonth to run. The domain then </w:t>
      </w:r>
      <w:r>
        <w:rPr>
          <w:b/>
          <w:bCs/>
        </w:rPr>
        <w:t xml:space="preserve">releases every Pending message for that entity, for End-of-Month events, with period ≤ that yearMonth</w:t>
      </w:r>
      <w:r>
        <w:t xml:space="preserve"> — booking one journal each — and marks them Released. Anything for a later period stays Pending until its own End of Month.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Systems send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Monthly Booking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Held Pending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inbox, not booked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End of Month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accountant runs yearMonth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A2A82"/>
                <w:sz w:val="18"/>
                <w:szCs w:val="18"/>
              </w:rPr>
              <w:t xml:space="preserve">▶</w:t>
            </w:r>
          </w:p>
        </w:tc>
        <w:tc>
          <w:tcPr>
            <w:tcW w:type="pct" w:w="22%"/>
            <w:tcBorders>
              <w:top w:val="single" w:color="5A2A82" w:sz="6"/>
              <w:left w:val="single" w:color="5A2A82" w:sz="6"/>
              <w:bottom w:val="single" w:color="5A2A82" w:sz="6"/>
              <w:right w:val="single" w:color="5A2A82" w:sz="6"/>
            </w:tcBorders>
            <w:shd w:fill="F3EEF9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A2A82"/>
                <w:sz w:val="19"/>
                <w:szCs w:val="19"/>
              </w:rPr>
              <w:t xml:space="preserve">Released</w:t>
            </w:r>
          </w:p>
          <w:p>
            <w:pPr>
              <w:spacing w:after="0"/>
              <w:jc w:val="center"/>
            </w:pPr>
            <w:r>
              <w:rPr>
                <w:color w:val="6B6B6B"/>
                <w:sz w:val="16"/>
                <w:szCs w:val="16"/>
              </w:rPr>
              <w:t xml:space="preserve">booked, period ≤ yearMonth</w:t>
            </w:r>
          </w:p>
        </w:tc>
      </w:tr>
    </w:tbl>
    <w:p>
      <w:pPr>
        <w:spacing w:before="140"/>
      </w:pPr>
      <w:r>
        <w:t xml:space="preserve">The same End of Month run also recognises the accrual slices due up to the period, so one action closes the month: pending monthly amounts booked, accruals recognised.</w:t>
      </w:r>
    </w:p>
    <w:p>
      <w:pPr>
        <w:pStyle w:val="Heading1"/>
        <w:spacing w:before="280" w:after="120"/>
      </w:pPr>
      <w:r>
        <w:rPr>
          <w:color w:val="5A2A82"/>
        </w:rPr>
        <w:t xml:space="preserve">8. Worked example — a customer-defined class</w:t>
      </w:r>
    </w:p>
    <w:p>
      <w:pPr>
        <w:spacing w:after="120" w:line="276"/>
      </w:pPr>
      <w:r>
        <w:rPr>
          <w:b/>
          <w:bCs/>
        </w:rPr>
        <w:t xml:space="preserve">Setup. </w:t>
      </w:r>
      <w:r>
        <w:t xml:space="preserve">A customer adds accounting class </w:t>
      </w:r>
      <w:r>
        <w:rPr>
          <w:sz w:val="18"/>
          <w:szCs w:val="18"/>
          <w:rFonts w:ascii="Consolas" w:cs="Consolas" w:eastAsia="Consolas" w:hAnsi="Consolas"/>
        </w:rPr>
        <w:t xml:space="preserve">CLA-Administration</w:t>
      </w:r>
      <w:r>
        <w:t xml:space="preserve">, assigns it to entity </w:t>
      </w:r>
      <w:r>
        <w:rPr>
          <w:sz w:val="18"/>
          <w:szCs w:val="18"/>
          <w:rFonts w:ascii="Consolas" w:cs="Consolas" w:eastAsia="Consolas" w:hAnsi="Consolas"/>
        </w:rPr>
        <w:t xml:space="preserve">ALS ITA</w:t>
      </w:r>
      <w:r>
        <w:t xml:space="preserve"> with the Local ledger, confirms the </w:t>
      </w:r>
      <w:r>
        <w:rPr>
          <w:sz w:val="18"/>
          <w:szCs w:val="18"/>
          <w:rFonts w:ascii="Consolas" w:cs="Consolas" w:eastAsia="Consolas" w:hAnsi="Consolas"/>
        </w:rPr>
        <w:t xml:space="preserve">Invoicing</w:t>
      </w:r>
      <w:r>
        <w:t xml:space="preserve"> event exists, adds an amount type </w:t>
      </w:r>
      <w:r>
        <w:rPr>
          <w:sz w:val="18"/>
          <w:szCs w:val="18"/>
          <w:rFonts w:ascii="Consolas" w:cs="Consolas" w:eastAsia="Consolas" w:hAnsi="Consolas"/>
        </w:rPr>
        <w:t xml:space="preserve">Admin Fee</w:t>
      </w:r>
      <w:r>
        <w:t xml:space="preserve">, writes a formula (amount type = Admin Fee, condition Accounting Type = </w:t>
      </w:r>
      <w:r>
        <w:rPr>
          <w:sz w:val="18"/>
          <w:szCs w:val="18"/>
          <w:rFonts w:ascii="Consolas" w:cs="Consolas" w:eastAsia="Consolas" w:hAnsi="Consolas"/>
        </w:rPr>
        <w:t xml:space="preserve">AD</w:t>
      </w:r>
      <w:r>
        <w:t xml:space="preserve">, Dr fee-receivable / Cr fee-income), and attaches it to the Invoicing event.</w:t>
      </w:r>
    </w:p>
    <w:p>
      <w:pPr>
        <w:spacing w:after="120" w:line="276"/>
      </w:pPr>
      <w:r>
        <w:rPr>
          <w:b/>
          <w:bCs/>
        </w:rPr>
        <w:t xml:space="preserve">Message. </w:t>
      </w:r>
      <w:r>
        <w:t xml:space="preserve">The sending system now posts:</w:t>
      </w:r>
    </w:p>
    <w:p>
      <w:pPr>
        <w:pBdr>
          <w:top w:val="single" w:color="D8D8D8" w:sz="4"/>
          <w:bottom w:val="single" w:color="D8D8D8" w:sz="4"/>
          <w:left w:val="single" w:color="D8D8D8" w:sz="4"/>
          <w:right w:val="single" w:color="D8D8D8" w:sz="4"/>
        </w:pBdr>
        <w:shd w:fill="F4F4F6" w:color="auto" w:val="clear"/>
        <w:spacing w:before="40" w:after="120"/>
      </w:pPr>
      <w:r>
        <w:rPr>
          <w:sz w:val="18"/>
          <w:szCs w:val="18"/>
          <w:rFonts w:ascii="Consolas" w:cs="Consolas" w:eastAsia="Consolas" w:hAnsi="Consolas"/>
        </w:rPr>
        <w:t xml:space="preserve">Legal entity=ALS ITA · Accounting Class=CLA-Administration · Accounting event=2 (Invoicing) · Accounting Type=AD · Amount type=Admin Fee · Amount=150.00</w:t>
      </w:r>
    </w:p>
    <w:p>
      <w:pPr>
        <w:spacing w:after="120" w:line="276"/>
      </w:pPr>
      <w:r>
        <w:rPr>
          <w:b/>
          <w:bCs/>
        </w:rPr>
        <w:t xml:space="preserve">Result. </w:t>
      </w:r>
      <w:r>
        <w:t xml:space="preserve">The domain routes to ALS ITA, finds the Local ledger for CLA-Administration, matches the Invoicing rule, runs the Admin Fee formula (condition AD matches), books Dr fee-receivable / Cr fee-income €150, builds the dimension string, and posts the GLI journal — </w:t>
      </w:r>
      <w:r>
        <w:rPr>
          <w:b/>
          <w:bCs/>
        </w:rPr>
        <w:t xml:space="preserve">all from configuration the customer created, with no change on the Tieto side.</w:t>
      </w:r>
    </w:p>
    <w:p>
      <w:pPr>
        <w:pStyle w:val="Heading1"/>
        <w:spacing w:before="280" w:after="120"/>
      </w:pPr>
      <w:r>
        <w:rPr>
          <w:color w:val="5A2A82"/>
        </w:rPr>
        <w:t xml:space="preserve">9. What is configurable (summary)</w:t>
      </w:r>
    </w:p>
    <w:tbl>
      <w:tblPr>
        <w:tblW w:type="pct" w:w="100%"/>
        <w:tblBorders>
          <w:top w:val="single" w:color="D8D8D8" w:sz="4"/>
          <w:left w:val="single" w:color="D8D8D8" w:sz="4"/>
          <w:bottom w:val="single" w:color="D8D8D8" w:sz="4"/>
          <w:right w:val="single" w:color="D8D8D8" w:sz="4"/>
          <w:insideH w:val="single" w:color="D8D8D8" w:sz="4"/>
          <w:insideV w:val="single" w:color="D8D8D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42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Customer can…</w:t>
            </w:r>
          </w:p>
        </w:tc>
        <w:tc>
          <w:tcPr>
            <w:tcW w:type="pct" w:w="32%"/>
            <w:shd w:fill="EDE7F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Referenced from the message by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entities &amp; org units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create entities and units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Legal entity, Organization Unit, Tenant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classes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create classes (e.g. CLA-Administration) and assign to entities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Class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Ledgers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assign one or several ledgers per class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(number of ledger lines produced)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events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verify/add events and set their posting mode (Immediate / End of Month)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event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Amount types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add amount types and set their group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Amount type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Formulas &amp; conditions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build formulas with amount types and conditions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Amount type, Amount Code, condition values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Accounting rules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attach formulas to events per ledger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(event → formulas wiring)</w:t>
            </w:r>
          </w:p>
        </w:tc>
      </w:tr>
      <w:t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Accounts &amp; dimensions</w:t>
            </w:r>
          </w:p>
        </w:tc>
        <w:tc>
          <w:tcPr>
            <w:tcW w:type="pct" w:w="4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 CoA, pseudo accounts, dimension parts &amp; source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Account + dimension columns / list</w:t>
            </w:r>
          </w:p>
        </w:tc>
      </w:tr>
    </w:tbl>
    <w:p>
      <w:pPr>
        <w:spacing w:before="140"/>
      </w:pPr>
      <w:r>
        <w:rPr>
          <w:b/>
          <w:bCs/>
        </w:rPr>
        <w:t xml:space="preserve">In one line: </w:t>
      </w:r>
      <w:r>
        <w:t xml:space="preserve">an external system starts booking into the Accounting Domain by sending the defined message; every load-bearing column — including Accounting Class — carries a code the customer configured themselves, and the domain resolves it without any supplier change.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A2A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bCs/>
      <w:color w:val="5A2A82"/>
      <w:sz w:val="29"/>
      <w:szCs w:val="29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2A2A2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ontTbl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Domain — Message Interface &amp; Configuration</dc:title>
  <dc:creator>Tieto — ProFinance5 Accounting Domain</dc:creator>
  <cp:lastModifiedBy>Un-named</cp:lastModifiedBy>
  <cp:revision>1</cp:revision>
  <dcterms:created xsi:type="dcterms:W3CDTF">2026-07-12T10:45:19.086Z</dcterms:created>
  <dcterms:modified xsi:type="dcterms:W3CDTF">2026-07-12T10:45:19.087Z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