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6B7B"/>
          <w:sz w:val="20"/>
          <w:szCs w:val="20"/>
        </w:rPr>
        <w:t xml:space="preserve">One Credit Engine · Accounting Domain</w:t>
      </w:r>
    </w:p>
    <w:p>
      <w:pPr>
        <w:spacing w:after="40"/>
      </w:pPr>
      <w:r>
        <w:rPr>
          <w:b/>
          <w:bCs/>
          <w:color w:val="1A1A2E"/>
          <w:sz w:val="40"/>
          <w:szCs w:val="40"/>
        </w:rPr>
        <w:t xml:space="preserve">Accounting Events — Message Contract &amp; Event Catalog</w:t>
      </w:r>
    </w:p>
    <w:p>
      <w:pPr>
        <w:spacing w:after="60"/>
      </w:pPr>
      <w:r>
        <w:rPr>
          <w:i/>
          <w:iCs/>
          <w:color w:val="6B6B7B"/>
          <w:sz w:val="22"/>
          <w:szCs w:val="22"/>
        </w:rPr>
        <w:t xml:space="preserve">How each business event is sent to the accounting domain, what value goes in which field, and how reversals find what they reverse</w:t>
      </w:r>
    </w:p>
    <w:p>
      <w:pPr>
        <w:pBdr>
          <w:bottom w:val="single" w:color="5B3E96" w:sz="6"/>
        </w:pBdr>
        <w:spacing w:after="160"/>
      </w:pPr>
      <w:r>
        <w:rPr>
          <w:color w:val="6B6B7B"/>
          <w:sz w:val="18"/>
          <w:szCs w:val="18"/>
        </w:rPr>
        <w:t xml:space="preserve">Integration specification · companion to “Accounting Domain — Message Interface &amp; Configuration”</w:t>
      </w:r>
    </w:p>
    <w:p>
      <w:pPr>
        <w:pStyle w:val="Heading1"/>
        <w:spacing w:before="300" w:after="120"/>
      </w:pPr>
      <w:r>
        <w:rPr>
          <w:b/>
          <w:bCs/>
          <w:color w:val="5B3E96"/>
          <w:sz w:val="30"/>
          <w:szCs w:val="30"/>
        </w:rPr>
        <w:t xml:space="preserve">1. Purpose</w:t>
      </w:r>
    </w:p>
    <w:p>
      <w:pPr>
        <w:spacing w:after="120" w:before="0" w:line="264"/>
      </w:pPr>
      <w:r>
        <w:rPr>
          <w:color w:val="1A1A2E"/>
          <w:sz w:val="20"/>
          <w:szCs w:val="20"/>
        </w:rPr>
        <w:t xml:space="preserve">This document catalogues the accounting events that external domains (Agreement, Accounts Receivable, Accounts Payable, Asset) send to the accounting domain, and specifies — per event — how the message is built and what value belongs in each field. It builds on the general message anatomy in the Message Interface &amp; Configuration guide (the header columns, amount lines and the external-account-values list) and adds the event-specific detail plus three fields introduced for reversals and confirmations: Message Id, Reversal Reference and Payment Id.</w:t>
      </w:r>
    </w:p>
    <w:p>
      <w:pPr>
        <w:spacing w:after="120" w:before="0" w:line="264"/>
      </w:pPr>
      <w:r>
        <w:rPr>
          <w:color w:val="1A1A2E"/>
          <w:sz w:val="20"/>
          <w:szCs w:val="20"/>
        </w:rPr>
        <w:t xml:space="preserve">Every message represents </w:t>
      </w:r>
      <w:r>
        <w:rPr>
          <w:b/>
          <w:bCs/>
          <w:color w:val="1A1A2E"/>
          <w:sz w:val="20"/>
          <w:szCs w:val="20"/>
        </w:rPr>
        <w:t xml:space="preserve">one accounting event</w:t>
      </w:r>
      <w:r>
        <w:rPr>
          <w:color w:val="1A1A2E"/>
          <w:sz w:val="20"/>
          <w:szCs w:val="20"/>
        </w:rPr>
        <w:t xml:space="preserve"> and produces </w:t>
      </w:r>
      <w:r>
        <w:rPr>
          <w:b/>
          <w:bCs/>
          <w:color w:val="1A1A2E"/>
          <w:sz w:val="20"/>
          <w:szCs w:val="20"/>
        </w:rPr>
        <w:t xml:space="preserve">one journal number</w:t>
      </w:r>
      <w:r>
        <w:rPr>
          <w:color w:val="1A1A2E"/>
          <w:sz w:val="20"/>
          <w:szCs w:val="20"/>
        </w:rPr>
        <w:t xml:space="preserve"> (the accounting domain then publishes a confirmation event back — see §7). A reversal never re-derives from formulas; it </w:t>
      </w:r>
      <w:r>
        <w:rPr>
          <w:b/>
          <w:bCs/>
          <w:color w:val="1A1A2E"/>
          <w:sz w:val="20"/>
          <w:szCs w:val="20"/>
        </w:rPr>
        <w:t xml:space="preserve">mirrors the original booking and flips debit/credit</w:t>
      </w:r>
      <w:r>
        <w:rPr>
          <w:color w:val="1A1A2E"/>
          <w:sz w:val="20"/>
          <w:szCs w:val="20"/>
        </w:rPr>
        <w:t xml:space="preserve">.</w:t>
      </w:r>
    </w:p>
    <w:p>
      <w:pPr>
        <w:pStyle w:val="Heading1"/>
        <w:spacing w:before="300" w:after="120"/>
      </w:pPr>
      <w:r>
        <w:rPr>
          <w:b/>
          <w:bCs/>
          <w:color w:val="5B3E96"/>
          <w:sz w:val="30"/>
          <w:szCs w:val="30"/>
        </w:rPr>
        <w:t xml:space="preserve">2. The message envelope</w:t>
      </w:r>
    </w:p>
    <w:p>
      <w:pPr>
        <w:spacing w:after="120" w:before="0" w:line="264"/>
      </w:pPr>
      <w:r>
        <w:rPr>
          <w:color w:val="1A1A2E"/>
          <w:sz w:val="20"/>
          <w:szCs w:val="20"/>
        </w:rPr>
        <w:t xml:space="preserve">The header fields below repeat on every line of a message, followed by one or more amount lines (Amount type · Amount Code · Amount). This is the shared layout across all event sheets; the load-bearing fields are Legal entity, Accounting Class, Accounting event, Amount type and Amount Code, which must match records the customer configured.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300"/>
        <w:gridCol w:w="3520"/>
        <w:gridCol w:w="3200"/>
      </w:tblGrid>
      <w:tr>
        <w:trPr>
          <w:tblHeader/>
        </w:trPr>
        <w:tc>
          <w:tcPr>
            <w:tcW w:type="dxa" w:w="23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Column</w:t>
            </w:r>
          </w:p>
        </w:tc>
        <w:tc>
          <w:tcPr>
            <w:tcW w:type="dxa" w:w="3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Meaning</w:t>
            </w:r>
          </w:p>
        </w:tc>
        <w:tc>
          <w:tcPr>
            <w:tcW w:type="dxa" w:w="32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Validated against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Owning organisation of the entity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Legal entity owner (party domain)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Organization Unit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Sub-unit under the legal entity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Legal entity ▸ Organization units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Legal entity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booking entity (owner code)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Legal entity list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Class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Which accounting setup to use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Class assigned to the entity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Type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 condition value used by formulas (e.g. DL)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Condition values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event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business event being booked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Settings ▸ Accounting events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Product / Portfolio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Product &amp; portfolio (dimension / condition)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Ext. values; condition values 8 / 9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Customer / Supplier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Customer or supplier identity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Ext. values; conditions 10 / 11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/ Agreement Line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 &amp; line (optional — many events carry none)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 reference; conditions 12 / 13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Period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period (YYYYMM)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Entity open / end-of-month period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Event / booking date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Event booking-date rule (calc vs event)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Invoice Number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AR invoice number (our number)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(reference)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Reference Number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Our unique id for a supplier invoice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Condition value 15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Term Reason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Termination reason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Condition value 17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Currency Code / Date / Rate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Transaction currency and FX to base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Settings ▸ Currencies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Amount type / Amount Code / Amount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money: what value, sub-code, and figure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Amount types; accrual/condition codes</w:t>
            </w:r>
          </w:p>
        </w:tc>
      </w:tr>
    </w:tbl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New fields in this revision</w:t>
      </w:r>
    </w:p>
    <w:p>
      <w:pPr>
        <w:spacing w:after="120" w:before="0" w:line="264"/>
      </w:pPr>
      <w:r>
        <w:rPr>
          <w:color w:val="1A1A2E"/>
          <w:sz w:val="20"/>
          <w:szCs w:val="20"/>
        </w:rPr>
        <w:t xml:space="preserve">Three fields extend the envelope so reversals can find their target with certainty and every booking can be correlated back to the sender.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Message Id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sending domain’s correlation id. Echoed on the outbound “Journal posted” confirmation so the sender can match the reply to what it sent.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Reversal Reference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On a reversal message only: the id of the ORIGINAL booking to reverse. One field for all reversals; interpreted per event (invoice number / supplier-invoice reference / payment id) — see §3.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Payment Id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 unique id per payment (AR/AP). A single invoice can be settled by several partial payments, each with its own Payment Id — so exactly one payment can later be undone.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Supplier Invoice Type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On AP Definite Posting: a condition value (Agreement-connected / Service-fixed / Service-variable / Other) that drives the formula conditions to the right accounts — see §6.</w:t>
            </w:r>
          </w:p>
        </w:tc>
      </w:tr>
    </w:tbl>
    <w:p>
      <w:pPr>
        <w:pStyle w:val="Heading1"/>
        <w:spacing w:before="300" w:after="120"/>
      </w:pPr>
      <w:r>
        <w:rPr>
          <w:b/>
          <w:bCs/>
          <w:color w:val="5B3E96"/>
          <w:sz w:val="30"/>
          <w:szCs w:val="30"/>
        </w:rPr>
        <w:t xml:space="preserve">3. How reversals find what they reverse</w:t>
      </w:r>
    </w:p>
    <w:p>
      <w:pPr>
        <w:spacing w:after="120" w:before="0" w:line="264"/>
      </w:pPr>
      <w:r>
        <w:rPr>
          <w:color w:val="1A1A2E"/>
          <w:sz w:val="20"/>
          <w:szCs w:val="20"/>
        </w:rPr>
        <w:t xml:space="preserve">Reversal events carry </w:t>
      </w:r>
      <w:r>
        <w:rPr>
          <w:b/>
          <w:bCs/>
          <w:color w:val="1A1A2E"/>
          <w:sz w:val="20"/>
          <w:szCs w:val="20"/>
        </w:rPr>
        <w:t xml:space="preserve">no accounting rules of their own</w:t>
      </w:r>
      <w:r>
        <w:rPr>
          <w:color w:val="1A1A2E"/>
          <w:sz w:val="20"/>
          <w:szCs w:val="20"/>
        </w:rPr>
        <w:t xml:space="preserve">. They locate the original journal and post its mirror (debit ↔ credit). The single </w:t>
      </w:r>
      <w:r>
        <w:rPr>
          <w:b/>
          <w:bCs/>
          <w:color w:val="1A1A2E"/>
          <w:sz w:val="20"/>
          <w:szCs w:val="20"/>
        </w:rPr>
        <w:t xml:space="preserve">Reversal Reference</w:t>
      </w:r>
      <w:r>
        <w:rPr>
          <w:color w:val="1A1A2E"/>
          <w:sz w:val="20"/>
          <w:szCs w:val="20"/>
        </w:rPr>
        <w:t xml:space="preserve"> on the message is the anchor; each reversal event has a match rule that says which column on the original booking it is compared to. Because the anchor is a document/payment id (not a business-key guess), the original is found with 100% certainty.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350"/>
        <w:gridCol w:w="1750"/>
        <w:gridCol w:w="2400"/>
        <w:gridCol w:w="2520"/>
      </w:tblGrid>
      <w:tr>
        <w:trPr>
          <w:tblHeader/>
        </w:trPr>
        <w:tc>
          <w:tcPr>
            <w:tcW w:type="dxa" w:w="235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Reversal event</w:t>
            </w:r>
          </w:p>
        </w:tc>
        <w:tc>
          <w:tcPr>
            <w:tcW w:type="dxa" w:w="175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Reverses</w:t>
            </w:r>
          </w:p>
        </w:tc>
        <w:tc>
          <w:tcPr>
            <w:tcW w:type="dxa" w:w="24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Reversal Reference holds</w:t>
            </w:r>
          </w:p>
        </w:tc>
        <w:tc>
          <w:tcPr>
            <w:tcW w:type="dxa" w:w="2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Matched against the original’s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Credit Invoicing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Invoicing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Our AR invoice number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Invoice Number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AP Definite Posting - Rev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AP Definite Posting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Our supplier-invoice id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Reference Number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AR Undo Payment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AR Payment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Payment Id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Payment Id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AP Undo Payment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AP Payment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Payment Id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Payment Id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Undo Activation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Activation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— (uses agreement)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+ Line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Undo Monthly Booking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Monthly Booking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— (uses agreement)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(+Line) + Period</w:t>
            </w:r>
          </w:p>
        </w:tc>
      </w:tr>
    </w:tbl>
    <w:p>
      <w:pPr>
        <w:spacing w:after="120" w:before="60" w:line="264"/>
      </w:pPr>
      <w:r>
        <w:rPr>
          <w:b/>
          <w:bCs/>
          <w:color w:val="1A1A2E"/>
          <w:sz w:val="20"/>
          <w:szCs w:val="20"/>
        </w:rPr>
        <w:t xml:space="preserve">Partial reversals: </w:t>
      </w:r>
      <w:r>
        <w:rPr>
          <w:color w:val="1A1A2E"/>
          <w:sz w:val="20"/>
          <w:szCs w:val="20"/>
        </w:rPr>
        <w:t xml:space="preserve">a credit or undo can target part of the original. The Reversal Reference pins the document/payment; the agreement line, period and amount type/code on the message then narrow to the specific lines within it.</w:t>
      </w:r>
    </w:p>
    <w:p>
      <w:pPr>
        <w:pStyle w:val="Heading1"/>
        <w:spacing w:before="300" w:after="120"/>
      </w:pPr>
      <w:r>
        <w:rPr>
          <w:b/>
          <w:bCs/>
          <w:color w:val="5B3E96"/>
          <w:sz w:val="30"/>
          <w:szCs w:val="30"/>
        </w:rPr>
        <w:t xml:space="preserve">4. Event catalog</w:t>
      </w:r>
    </w:p>
    <w:p>
      <w:pPr>
        <w:spacing w:after="120" w:before="0" w:line="264"/>
      </w:pPr>
      <w:r>
        <w:rPr>
          <w:color w:val="1A1A2E"/>
          <w:sz w:val="20"/>
          <w:szCs w:val="20"/>
        </w:rPr>
        <w:t xml:space="preserve">Each event below lists what triggers it, its event id and category, and the fields that carry the meaning for that event. Only the event-specific / load-bearing fields are shown — the full header from §2 always travels with the message.</w:t>
      </w:r>
    </w:p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4.1  Activation</w:t>
      </w:r>
    </w:p>
    <w:p>
      <w:pPr>
        <w:spacing w:after="40" w:line="260"/>
      </w:pPr>
      <w:r>
        <w:rPr>
          <w:b/>
          <w:bCs/>
          <w:color w:val="1A1A2E"/>
          <w:sz w:val="19"/>
          <w:szCs w:val="19"/>
        </w:rPr>
        <w:t xml:space="preserve">Trigger — </w:t>
      </w:r>
      <w:r>
        <w:rPr>
          <w:color w:val="1A1A2E"/>
          <w:sz w:val="19"/>
          <w:szCs w:val="19"/>
        </w:rPr>
        <w:t xml:space="preserve">Agreement domain — when an agreement and its lines are activated.</w:t>
      </w:r>
    </w:p>
    <w:p>
      <w:pPr>
        <w:spacing w:after="80" w:line="260"/>
      </w:pPr>
      <w:r>
        <w:rPr>
          <w:b/>
          <w:bCs/>
          <w:color w:val="1A1A2E"/>
          <w:sz w:val="19"/>
          <w:szCs w:val="19"/>
        </w:rPr>
        <w:t xml:space="preserve">Event — </w:t>
      </w:r>
      <w:r>
        <w:rPr>
          <w:color w:val="6B6B7B"/>
          <w:sz w:val="19"/>
          <w:szCs w:val="19"/>
        </w:rPr>
        <w:t xml:space="preserve">1  ·  Normal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What the sender puts here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event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1 (Activation)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Class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PF-Agreement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/ Line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agreement and its line(s). One activation may cover several lines → one journal.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Booking-date basis to be confirmed per customer: calculation date vs event date.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Amount lines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Fixed Asset Value, Residual Value, Deposit, Total Plan Rent / Amortization / Interest, …</w:t>
            </w:r>
          </w:p>
        </w:tc>
      </w:tr>
    </w:tbl>
    <w:p>
      <w:pPr>
        <w:spacing w:before="60" w:after="80" w:line="260"/>
      </w:pPr>
      <w:r>
        <w:rPr>
          <w:b/>
          <w:bCs/>
          <w:color w:val="6B6B7B"/>
          <w:sz w:val="18"/>
          <w:szCs w:val="18"/>
        </w:rPr>
        <w:t xml:space="preserve">Note — </w:t>
      </w:r>
      <w:r>
        <w:rPr>
          <w:color w:val="6B6B7B"/>
          <w:sz w:val="18"/>
          <w:szCs w:val="18"/>
        </w:rPr>
        <w:t xml:space="preserve">On a successful activation the accounting domain also receives the Accounting Recognition Plan for the line(s) — the earning schedule (per period × category) that drives Monthly Booking. Its layout is specified in §5. The plan is re-sent on Agreement Change (§4.11).</w:t>
      </w:r>
    </w:p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4.2  Undo Activation</w:t>
      </w:r>
    </w:p>
    <w:p>
      <w:pPr>
        <w:spacing w:after="40" w:line="260"/>
      </w:pPr>
      <w:r>
        <w:rPr>
          <w:b/>
          <w:bCs/>
          <w:color w:val="1A1A2E"/>
          <w:sz w:val="19"/>
          <w:szCs w:val="19"/>
        </w:rPr>
        <w:t xml:space="preserve">Trigger — </w:t>
      </w:r>
      <w:r>
        <w:rPr>
          <w:color w:val="1A1A2E"/>
          <w:sz w:val="19"/>
          <w:szCs w:val="19"/>
        </w:rPr>
        <w:t xml:space="preserve">Agreement domain — when an agreement / line moves from active back to registered.</w:t>
      </w:r>
    </w:p>
    <w:p>
      <w:pPr>
        <w:spacing w:after="80" w:line="260"/>
      </w:pPr>
      <w:r>
        <w:rPr>
          <w:b/>
          <w:bCs/>
          <w:color w:val="1A1A2E"/>
          <w:sz w:val="19"/>
          <w:szCs w:val="19"/>
        </w:rPr>
        <w:t xml:space="preserve">Event — </w:t>
      </w:r>
      <w:r>
        <w:rPr>
          <w:color w:val="5B3E96"/>
          <w:sz w:val="19"/>
          <w:szCs w:val="19"/>
        </w:rPr>
        <w:t xml:space="preserve">16  ·  Reversal — reverses Activation (1)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What the sender puts here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event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16 (Undo Activation)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/ Line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agreement to undo. No line → the whole agreement (all its lines).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Reversal Reference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Not needed — the agreement (+line) in the header pins the original activation bookings.</w:t>
            </w:r>
          </w:p>
        </w:tc>
      </w:tr>
    </w:tbl>
    <w:p>
      <w:pPr>
        <w:spacing w:before="60" w:after="80" w:line="260"/>
      </w:pPr>
      <w:r>
        <w:rPr>
          <w:b/>
          <w:bCs/>
          <w:color w:val="6B6B7B"/>
          <w:sz w:val="18"/>
          <w:szCs w:val="18"/>
        </w:rPr>
        <w:t xml:space="preserve">Note — </w:t>
      </w:r>
      <w:r>
        <w:rPr>
          <w:color w:val="6B6B7B"/>
          <w:sz w:val="18"/>
          <w:szCs w:val="18"/>
        </w:rPr>
        <w:t xml:space="preserve">Mirrors the Activation journal(s) for that agreement/line (flip D/C). The line’s recognition plan is withdrawn.</w:t>
      </w:r>
    </w:p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4.3  AR Invoicing</w:t>
      </w:r>
    </w:p>
    <w:p>
      <w:pPr>
        <w:spacing w:after="40" w:line="260"/>
      </w:pPr>
      <w:r>
        <w:rPr>
          <w:b/>
          <w:bCs/>
          <w:color w:val="1A1A2E"/>
          <w:sz w:val="19"/>
          <w:szCs w:val="19"/>
        </w:rPr>
        <w:t xml:space="preserve">Trigger — </w:t>
      </w:r>
      <w:r>
        <w:rPr>
          <w:color w:val="1A1A2E"/>
          <w:sz w:val="19"/>
          <w:szCs w:val="19"/>
        </w:rPr>
        <w:t xml:space="preserve">Accounts Receivable — when a customer invoice is produced.</w:t>
      </w:r>
    </w:p>
    <w:p>
      <w:pPr>
        <w:spacing w:after="80" w:line="260"/>
      </w:pPr>
      <w:r>
        <w:rPr>
          <w:b/>
          <w:bCs/>
          <w:color w:val="1A1A2E"/>
          <w:sz w:val="19"/>
          <w:szCs w:val="19"/>
        </w:rPr>
        <w:t xml:space="preserve">Event — </w:t>
      </w:r>
      <w:r>
        <w:rPr>
          <w:color w:val="6B6B7B"/>
          <w:sz w:val="19"/>
          <w:szCs w:val="19"/>
        </w:rPr>
        <w:t xml:space="preserve">2  ·  Normal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What the sender puts here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event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2 (Invoicing)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Class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AR Invoicing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Customer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invoiced customer.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/ Line / Period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billed line(s) and period(s) — one invoice can span several periods.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Invoice Number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AR invoice number (our unique number).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Amount lines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Total amount, Rent, Interest, Tax, Added Cost, Rounding, …</w:t>
            </w:r>
          </w:p>
        </w:tc>
      </w:tr>
    </w:tbl>
    <w:p>
      <w:pPr>
        <w:spacing w:before="60" w:after="80" w:line="260"/>
      </w:pPr>
      <w:r>
        <w:rPr>
          <w:b/>
          <w:bCs/>
          <w:color w:val="6B6B7B"/>
          <w:sz w:val="18"/>
          <w:szCs w:val="18"/>
        </w:rPr>
        <w:t xml:space="preserve">Note — </w:t>
      </w:r>
      <w:r>
        <w:rPr>
          <w:color w:val="6B6B7B"/>
          <w:sz w:val="18"/>
          <w:szCs w:val="18"/>
        </w:rPr>
        <w:t xml:space="preserve">The invoiced amounts also feed the recognition reconciliation as “invoiced-to-date”.</w:t>
      </w:r>
    </w:p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4.4  Credit Invoicing</w:t>
      </w:r>
    </w:p>
    <w:p>
      <w:pPr>
        <w:spacing w:after="40" w:line="260"/>
      </w:pPr>
      <w:r>
        <w:rPr>
          <w:b/>
          <w:bCs/>
          <w:color w:val="1A1A2E"/>
          <w:sz w:val="19"/>
          <w:szCs w:val="19"/>
        </w:rPr>
        <w:t xml:space="preserve">Trigger — </w:t>
      </w:r>
      <w:r>
        <w:rPr>
          <w:color w:val="1A1A2E"/>
          <w:sz w:val="19"/>
          <w:szCs w:val="19"/>
        </w:rPr>
        <w:t xml:space="preserve">Accounts Receivable — a debit invoice (or part of it) is selected and credited; a new credit invoice is created.</w:t>
      </w:r>
    </w:p>
    <w:p>
      <w:pPr>
        <w:spacing w:after="80" w:line="260"/>
      </w:pPr>
      <w:r>
        <w:rPr>
          <w:b/>
          <w:bCs/>
          <w:color w:val="1A1A2E"/>
          <w:sz w:val="19"/>
          <w:szCs w:val="19"/>
        </w:rPr>
        <w:t xml:space="preserve">Event — </w:t>
      </w:r>
      <w:r>
        <w:rPr>
          <w:color w:val="5B3E96"/>
          <w:sz w:val="19"/>
          <w:szCs w:val="19"/>
        </w:rPr>
        <w:t xml:space="preserve">17  ·  Reversal — reverses Invoicing (2)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What the sender puts here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event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17 (Credit Invoicing)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Reversal Reference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DEBIT invoice number being credited (our AR invoice number).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Invoice Number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NEW credit-note number.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line / Period / Amount type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Optional — to credit only part of the invoice.</w:t>
            </w:r>
          </w:p>
        </w:tc>
      </w:tr>
    </w:tbl>
    <w:p>
      <w:pPr>
        <w:spacing w:before="60" w:after="80" w:line="260"/>
      </w:pPr>
      <w:r>
        <w:rPr>
          <w:b/>
          <w:bCs/>
          <w:color w:val="6B6B7B"/>
          <w:sz w:val="18"/>
          <w:szCs w:val="18"/>
        </w:rPr>
        <w:t xml:space="preserve">Note — </w:t>
      </w:r>
      <w:r>
        <w:rPr>
          <w:color w:val="6B6B7B"/>
          <w:sz w:val="18"/>
          <w:szCs w:val="18"/>
        </w:rPr>
        <w:t xml:space="preserve">Mirrors the selected original invoice lines (flip D/C). Whole invoice = all its lines; partial = the narrowed set.</w:t>
      </w:r>
    </w:p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4.5  AR Payment</w:t>
      </w:r>
    </w:p>
    <w:p>
      <w:pPr>
        <w:spacing w:after="40" w:line="260"/>
      </w:pPr>
      <w:r>
        <w:rPr>
          <w:b/>
          <w:bCs/>
          <w:color w:val="1A1A2E"/>
          <w:sz w:val="19"/>
          <w:szCs w:val="19"/>
        </w:rPr>
        <w:t xml:space="preserve">Trigger — </w:t>
      </w:r>
      <w:r>
        <w:rPr>
          <w:color w:val="1A1A2E"/>
          <w:sz w:val="19"/>
          <w:szCs w:val="19"/>
        </w:rPr>
        <w:t xml:space="preserve">Accounts Receivable — the customer pays an invoice, or part of it.</w:t>
      </w:r>
    </w:p>
    <w:p>
      <w:pPr>
        <w:spacing w:after="80" w:line="260"/>
      </w:pPr>
      <w:r>
        <w:rPr>
          <w:b/>
          <w:bCs/>
          <w:color w:val="1A1A2E"/>
          <w:sz w:val="19"/>
          <w:szCs w:val="19"/>
        </w:rPr>
        <w:t xml:space="preserve">Event — </w:t>
      </w:r>
      <w:r>
        <w:rPr>
          <w:color w:val="6B6B7B"/>
          <w:sz w:val="19"/>
          <w:szCs w:val="19"/>
        </w:rPr>
        <w:t xml:space="preserve">3  ·  Normal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What the sender puts here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event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3 (AR Payment)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Class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AR Payment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Customer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paying customer (may be empty for a truly unallocated amount).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Payment Id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Unique id of this payment (so it can be undone individually — see §4.6).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Invoice Number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invoice being paid — OR empty for an on-account / unallocated payment.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/ Line / Period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Present when the payment settles a specific invoice line/period; agreement only for on-account to an agreement.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Amount lines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When settling an invoice: Total Amount (36), Amortization (37), Interest (38), Added Cost (39, may carry an Amount Code). When not tied to an invoice: On’account — Customer (44), On’account — Agreement (45), or Unallocated amount (46).</w:t>
            </w:r>
          </w:p>
        </w:tc>
      </w:tr>
    </w:tbl>
    <w:p>
      <w:pPr>
        <w:spacing w:before="60" w:after="80" w:line="260"/>
      </w:pPr>
      <w:r>
        <w:rPr>
          <w:b/>
          <w:bCs/>
          <w:color w:val="6B6B7B"/>
          <w:sz w:val="18"/>
          <w:szCs w:val="18"/>
        </w:rPr>
        <w:t xml:space="preserve">Note — </w:t>
      </w:r>
      <w:r>
        <w:rPr>
          <w:color w:val="6B6B7B"/>
          <w:sz w:val="18"/>
          <w:szCs w:val="18"/>
        </w:rPr>
        <w:t xml:space="preserve">One payment message can carry several amount lines — e.g. a receipt split into Amortization + Interest + Added Cost.</w:t>
      </w:r>
    </w:p>
    <w:p>
      <w:pPr>
        <w:spacing w:before="60" w:after="80" w:line="260"/>
      </w:pPr>
      <w:r>
        <w:rPr>
          <w:b/>
          <w:bCs/>
          <w:color w:val="6B6B7B"/>
          <w:sz w:val="18"/>
          <w:szCs w:val="18"/>
        </w:rPr>
        <w:t xml:space="preserve">Note — </w:t>
      </w:r>
      <w:r>
        <w:rPr>
          <w:color w:val="6B6B7B"/>
          <w:sz w:val="18"/>
          <w:szCs w:val="18"/>
        </w:rPr>
        <w:t xml:space="preserve">Scope of the amount lines: 44 On’account — Customer (customer, no agreement) · 45 On’account — Agreement (agreement, no line/period) · 46 Unallocated amount (no customer and no agreement). Partial payments each arrive as their own message with their own Payment Id.</w:t>
      </w:r>
    </w:p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4.6  AR Undo Payment</w:t>
      </w:r>
    </w:p>
    <w:p>
      <w:pPr>
        <w:spacing w:after="40" w:line="260"/>
      </w:pPr>
      <w:r>
        <w:rPr>
          <w:b/>
          <w:bCs/>
          <w:color w:val="1A1A2E"/>
          <w:sz w:val="19"/>
          <w:szCs w:val="19"/>
        </w:rPr>
        <w:t xml:space="preserve">Trigger — </w:t>
      </w:r>
      <w:r>
        <w:rPr>
          <w:color w:val="1A1A2E"/>
          <w:sz w:val="19"/>
          <w:szCs w:val="19"/>
        </w:rPr>
        <w:t xml:space="preserve">Accounts Receivable — one specific payment (possibly a part-payment) is selected to be reversed.</w:t>
      </w:r>
    </w:p>
    <w:p>
      <w:pPr>
        <w:spacing w:after="80" w:line="260"/>
      </w:pPr>
      <w:r>
        <w:rPr>
          <w:b/>
          <w:bCs/>
          <w:color w:val="1A1A2E"/>
          <w:sz w:val="19"/>
          <w:szCs w:val="19"/>
        </w:rPr>
        <w:t xml:space="preserve">Event — </w:t>
      </w:r>
      <w:r>
        <w:rPr>
          <w:color w:val="5B3E96"/>
          <w:sz w:val="19"/>
          <w:szCs w:val="19"/>
        </w:rPr>
        <w:t xml:space="preserve">28  ·  Reversal — reverses AR Payment (3)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What the sender puts here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event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28 (AR Undo Payment)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Reversal Reference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Payment Id of the specific payment to reverse.</w:t>
            </w:r>
          </w:p>
        </w:tc>
      </w:tr>
    </w:tbl>
    <w:p>
      <w:pPr>
        <w:spacing w:before="60" w:after="80" w:line="260"/>
      </w:pPr>
      <w:r>
        <w:rPr>
          <w:b/>
          <w:bCs/>
          <w:color w:val="6B6B7B"/>
          <w:sz w:val="18"/>
          <w:szCs w:val="18"/>
        </w:rPr>
        <w:t xml:space="preserve">Note — </w:t>
      </w:r>
      <w:r>
        <w:rPr>
          <w:color w:val="6B6B7B"/>
          <w:sz w:val="18"/>
          <w:szCs w:val="18"/>
        </w:rPr>
        <w:t xml:space="preserve">Mirrors exactly that payment’s lines — not the whole invoice. Other payments on the same invoice are untouched.</w:t>
      </w:r>
    </w:p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4.7  AP Definite Posting (supplier invoice registration)</w:t>
      </w:r>
    </w:p>
    <w:p>
      <w:pPr>
        <w:spacing w:after="40" w:line="260"/>
      </w:pPr>
      <w:r>
        <w:rPr>
          <w:b/>
          <w:bCs/>
          <w:color w:val="1A1A2E"/>
          <w:sz w:val="19"/>
          <w:szCs w:val="19"/>
        </w:rPr>
        <w:t xml:space="preserve">Trigger — </w:t>
      </w:r>
      <w:r>
        <w:rPr>
          <w:color w:val="1A1A2E"/>
          <w:sz w:val="19"/>
          <w:szCs w:val="19"/>
        </w:rPr>
        <w:t xml:space="preserve">Accounts Payable — a supplier invoice is definitely posted (registered/approved for accounting).</w:t>
      </w:r>
    </w:p>
    <w:p>
      <w:pPr>
        <w:spacing w:after="80" w:line="260"/>
      </w:pPr>
      <w:r>
        <w:rPr>
          <w:b/>
          <w:bCs/>
          <w:color w:val="1A1A2E"/>
          <w:sz w:val="19"/>
          <w:szCs w:val="19"/>
        </w:rPr>
        <w:t xml:space="preserve">Event — </w:t>
      </w:r>
      <w:r>
        <w:rPr>
          <w:color w:val="6B6B7B"/>
          <w:sz w:val="19"/>
          <w:szCs w:val="19"/>
        </w:rPr>
        <w:t xml:space="preserve">8  ·  Normal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What the sender puts here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event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8 (AP Definite Posting)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Class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AP Invoicing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Supplier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supplier identity.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Reference Number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OUR unique id for the supplier invoice (not the printed number — those can collide across suppliers).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Supplier Invoice Type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Agreement-connected / Service-fixed / Service-variable / Other — drives the conditions (see §6).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/ Line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When the invoice is agreement-connected (e.g. a car).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Amount lines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Total amount, Tax, Added Cost, …</w:t>
            </w:r>
          </w:p>
        </w:tc>
      </w:tr>
    </w:tbl>
    <w:p>
      <w:pPr>
        <w:spacing w:before="60" w:after="80" w:line="260"/>
      </w:pPr>
      <w:r>
        <w:rPr>
          <w:b/>
          <w:bCs/>
          <w:color w:val="6B6B7B"/>
          <w:sz w:val="18"/>
          <w:szCs w:val="18"/>
        </w:rPr>
        <w:t xml:space="preserve">Note — </w:t>
      </w:r>
      <w:r>
        <w:rPr>
          <w:color w:val="6B6B7B"/>
          <w:sz w:val="18"/>
          <w:szCs w:val="18"/>
        </w:rPr>
        <w:t xml:space="preserve">The Supplier Invoice Type selects the right formula conditions and therefore the right pseudo accounts. Reference Number is the certain key for the invoice and is what AP Definite Posting - Rev matches on.</w:t>
      </w:r>
    </w:p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4.8  AP Definite Posting - Rev</w:t>
      </w:r>
    </w:p>
    <w:p>
      <w:pPr>
        <w:spacing w:after="40" w:line="260"/>
      </w:pPr>
      <w:r>
        <w:rPr>
          <w:b/>
          <w:bCs/>
          <w:color w:val="1A1A2E"/>
          <w:sz w:val="19"/>
          <w:szCs w:val="19"/>
        </w:rPr>
        <w:t xml:space="preserve">Trigger — </w:t>
      </w:r>
      <w:r>
        <w:rPr>
          <w:color w:val="1A1A2E"/>
          <w:sz w:val="19"/>
          <w:szCs w:val="19"/>
        </w:rPr>
        <w:t xml:space="preserve">Accounts Payable — a user opens an already-accounted supplier invoice and changes values or type before approval/payment.</w:t>
      </w:r>
    </w:p>
    <w:p>
      <w:pPr>
        <w:spacing w:after="80" w:line="260"/>
      </w:pPr>
      <w:r>
        <w:rPr>
          <w:b/>
          <w:bCs/>
          <w:color w:val="1A1A2E"/>
          <w:sz w:val="19"/>
          <w:szCs w:val="19"/>
        </w:rPr>
        <w:t xml:space="preserve">Event — </w:t>
      </w:r>
      <w:r>
        <w:rPr>
          <w:color w:val="5B3E96"/>
          <w:sz w:val="19"/>
          <w:szCs w:val="19"/>
        </w:rPr>
        <w:t xml:space="preserve">9  ·  Reversal — reverses AP Definite Posting (8)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What the sender puts here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event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9 (AP Definite Posting - Rev)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Reversal Reference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Our supplier-invoice id (Reference Number) of the invoice to re-account.</w:t>
            </w:r>
          </w:p>
        </w:tc>
      </w:tr>
    </w:tbl>
    <w:p>
      <w:pPr>
        <w:spacing w:before="60" w:after="80" w:line="260"/>
      </w:pPr>
      <w:r>
        <w:rPr>
          <w:b/>
          <w:bCs/>
          <w:color w:val="6B6B7B"/>
          <w:sz w:val="18"/>
          <w:szCs w:val="18"/>
        </w:rPr>
        <w:t xml:space="preserve">Note — </w:t>
      </w:r>
      <w:r>
        <w:rPr>
          <w:color w:val="6B6B7B"/>
          <w:sz w:val="18"/>
          <w:szCs w:val="18"/>
        </w:rPr>
        <w:t xml:space="preserve">Mirrors the previous posting for that supplier invoice (flip D/C); a fresh AP Definite Posting message then books the changed values/type.</w:t>
      </w:r>
    </w:p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4.9  AP Payment</w:t>
      </w:r>
    </w:p>
    <w:p>
      <w:pPr>
        <w:spacing w:after="40" w:line="260"/>
      </w:pPr>
      <w:r>
        <w:rPr>
          <w:b/>
          <w:bCs/>
          <w:color w:val="1A1A2E"/>
          <w:sz w:val="19"/>
          <w:szCs w:val="19"/>
        </w:rPr>
        <w:t xml:space="preserve">Trigger — </w:t>
      </w:r>
      <w:r>
        <w:rPr>
          <w:color w:val="1A1A2E"/>
          <w:sz w:val="19"/>
          <w:szCs w:val="19"/>
        </w:rPr>
        <w:t xml:space="preserve">Accounts Payable — a payment (or partial) is made on a supplier invoice.</w:t>
      </w:r>
    </w:p>
    <w:p>
      <w:pPr>
        <w:spacing w:after="80" w:line="260"/>
      </w:pPr>
      <w:r>
        <w:rPr>
          <w:b/>
          <w:bCs/>
          <w:color w:val="1A1A2E"/>
          <w:sz w:val="19"/>
          <w:szCs w:val="19"/>
        </w:rPr>
        <w:t xml:space="preserve">Event — </w:t>
      </w:r>
      <w:r>
        <w:rPr>
          <w:color w:val="6B6B7B"/>
          <w:sz w:val="19"/>
          <w:szCs w:val="19"/>
        </w:rPr>
        <w:t xml:space="preserve">11  ·  Normal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What the sender puts here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event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11 (AP Payment)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Class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AP Payment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Supplier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supplier paid.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Payment Id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Unique id of this payment.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Reference Number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Our id for the supplier invoice being paid.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Amount lines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Total amount, …</w:t>
            </w:r>
          </w:p>
        </w:tc>
      </w:tr>
    </w:tbl>
    <w:p>
      <w:pPr>
        <w:spacing w:before="60" w:after="80" w:line="260"/>
      </w:pPr>
      <w:r>
        <w:rPr>
          <w:b/>
          <w:bCs/>
          <w:color w:val="6B6B7B"/>
          <w:sz w:val="18"/>
          <w:szCs w:val="18"/>
        </w:rPr>
        <w:t xml:space="preserve">Note — </w:t>
      </w:r>
      <w:r>
        <w:rPr>
          <w:color w:val="6B6B7B"/>
          <w:sz w:val="18"/>
          <w:szCs w:val="18"/>
        </w:rPr>
        <w:t xml:space="preserve">Partial payments each arrive with their own Payment Id.</w:t>
      </w:r>
    </w:p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4.10  AP Undo Payment</w:t>
      </w:r>
    </w:p>
    <w:p>
      <w:pPr>
        <w:spacing w:after="40" w:line="260"/>
      </w:pPr>
      <w:r>
        <w:rPr>
          <w:b/>
          <w:bCs/>
          <w:color w:val="1A1A2E"/>
          <w:sz w:val="19"/>
          <w:szCs w:val="19"/>
        </w:rPr>
        <w:t xml:space="preserve">Trigger — </w:t>
      </w:r>
      <w:r>
        <w:rPr>
          <w:color w:val="1A1A2E"/>
          <w:sz w:val="19"/>
          <w:szCs w:val="19"/>
        </w:rPr>
        <w:t xml:space="preserve">Accounts Payable — a full or partial payment on a supplier invoice is selected to be reversed.</w:t>
      </w:r>
    </w:p>
    <w:p>
      <w:pPr>
        <w:spacing w:after="80" w:line="260"/>
      </w:pPr>
      <w:r>
        <w:rPr>
          <w:b/>
          <w:bCs/>
          <w:color w:val="1A1A2E"/>
          <w:sz w:val="19"/>
          <w:szCs w:val="19"/>
        </w:rPr>
        <w:t xml:space="preserve">Event — </w:t>
      </w:r>
      <w:r>
        <w:rPr>
          <w:color w:val="5B3E96"/>
          <w:sz w:val="19"/>
          <w:szCs w:val="19"/>
        </w:rPr>
        <w:t xml:space="preserve">12  ·  Reversal — reverses AP Payment (11)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What the sender puts here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event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12 (AP Undo Payment)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Reversal Reference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Payment Id of the specific payment to reverse.</w:t>
            </w:r>
          </w:p>
        </w:tc>
      </w:tr>
    </w:tbl>
    <w:p>
      <w:pPr>
        <w:spacing w:before="60" w:after="80" w:line="260"/>
      </w:pPr>
      <w:r>
        <w:rPr>
          <w:b/>
          <w:bCs/>
          <w:color w:val="6B6B7B"/>
          <w:sz w:val="18"/>
          <w:szCs w:val="18"/>
        </w:rPr>
        <w:t xml:space="preserve">Note — </w:t>
      </w:r>
      <w:r>
        <w:rPr>
          <w:color w:val="6B6B7B"/>
          <w:sz w:val="18"/>
          <w:szCs w:val="18"/>
        </w:rPr>
        <w:t xml:space="preserve">Mirrors that specific AP payment’s lines; other payments on the invoice are untouched.</w:t>
      </w:r>
    </w:p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4.11  Recognition change (Agreement Change)</w:t>
      </w:r>
    </w:p>
    <w:p>
      <w:pPr>
        <w:spacing w:after="40" w:line="260"/>
      </w:pPr>
      <w:r>
        <w:rPr>
          <w:b/>
          <w:bCs/>
          <w:color w:val="1A1A2E"/>
          <w:sz w:val="19"/>
          <w:szCs w:val="19"/>
        </w:rPr>
        <w:t xml:space="preserve">Trigger — </w:t>
      </w:r>
      <w:r>
        <w:rPr>
          <w:color w:val="1A1A2E"/>
          <w:sz w:val="19"/>
          <w:szCs w:val="19"/>
        </w:rPr>
        <w:t xml:space="preserve">Agreement domain — the recognition plan is re-sent for an agreement (+lines), effective from a period, after a change / recalculation.</w:t>
      </w:r>
    </w:p>
    <w:p>
      <w:pPr>
        <w:spacing w:after="80" w:line="260"/>
      </w:pPr>
      <w:r>
        <w:rPr>
          <w:b/>
          <w:bCs/>
          <w:color w:val="1A1A2E"/>
          <w:sz w:val="19"/>
          <w:szCs w:val="19"/>
        </w:rPr>
        <w:t xml:space="preserve">Event — </w:t>
      </w:r>
      <w:r>
        <w:rPr>
          <w:color w:val="6B6B7B"/>
          <w:sz w:val="19"/>
          <w:szCs w:val="19"/>
        </w:rPr>
        <w:t xml:space="preserve">25 (Undo Monthly Booking)  ·  Plan update → targeted reversal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What the sender puts here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Message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updated Accounting Recognition Plan (same layout as §5): header + line(s) + schedule (period × category × amount), with an effective-from period.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/ Line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agreement (+line) whose plan changed. No line → the whole agreement.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Effective from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period the change starts — tells accounting which already-booked months are affected.</w:t>
            </w:r>
          </w:p>
        </w:tc>
      </w:tr>
    </w:tbl>
    <w:p>
      <w:pPr>
        <w:spacing w:before="60" w:after="80" w:line="260"/>
      </w:pPr>
      <w:r>
        <w:rPr>
          <w:b/>
          <w:bCs/>
          <w:color w:val="6B6B7B"/>
          <w:sz w:val="18"/>
          <w:szCs w:val="18"/>
        </w:rPr>
        <w:t xml:space="preserve">Note — </w:t>
      </w:r>
      <w:r>
        <w:rPr>
          <w:color w:val="6B6B7B"/>
          <w:sz w:val="18"/>
          <w:szCs w:val="18"/>
        </w:rPr>
        <w:t xml:space="preserve">If the affected month(s) are already monthly-booked, accounting triggers Undo Monthly Booking (event 25) for that agreement (+line) — mirroring only the reversible cutoff — and immediately re-derives Monthly Booking from the new plan. Permanent postings (e.g. depreciation) are left untouched.</w:t>
      </w:r>
    </w:p>
    <w:p>
      <w:pPr>
        <w:pStyle w:val="Heading1"/>
        <w:spacing w:before="300" w:after="120"/>
      </w:pPr>
      <w:r>
        <w:rPr>
          <w:b/>
          <w:bCs/>
          <w:color w:val="5B3E96"/>
          <w:sz w:val="30"/>
          <w:szCs w:val="30"/>
        </w:rPr>
        <w:t xml:space="preserve">5. The Accounting Recognition Plan (message)</w:t>
      </w:r>
    </w:p>
    <w:p>
      <w:pPr>
        <w:spacing w:after="120" w:before="0" w:line="264"/>
      </w:pPr>
      <w:r>
        <w:rPr>
          <w:color w:val="1A1A2E"/>
          <w:sz w:val="20"/>
          <w:szCs w:val="20"/>
        </w:rPr>
        <w:t xml:space="preserve">The recognition plan is the earning schedule the agreement domain sends when an agreement line is activated (§4.1), and re-sends whenever the agreement changes (§4.11). It is the accounting domain’s local read-model of the agreement economics — what is earned each month, independent of when it is invoiced. Monthly Booking reconciles it against what has been invoiced and books the accrued / deferred cutoff.</w:t>
      </w:r>
    </w:p>
    <w:p>
      <w:pPr>
        <w:spacing w:after="120" w:before="0" w:line="264"/>
      </w:pPr>
      <w:r>
        <w:rPr>
          <w:color w:val="1A1A2E"/>
          <w:sz w:val="20"/>
          <w:szCs w:val="20"/>
        </w:rPr>
        <w:t xml:space="preserve">It is a structured message: a </w:t>
      </w:r>
      <w:r>
        <w:rPr>
          <w:b/>
          <w:bCs/>
          <w:color w:val="1A1A2E"/>
          <w:sz w:val="20"/>
          <w:szCs w:val="20"/>
        </w:rPr>
        <w:t xml:space="preserve">header</w:t>
      </w:r>
      <w:r>
        <w:rPr>
          <w:color w:val="1A1A2E"/>
          <w:sz w:val="20"/>
          <w:szCs w:val="20"/>
        </w:rPr>
        <w:t xml:space="preserve"> (the agreement), one </w:t>
      </w:r>
      <w:r>
        <w:rPr>
          <w:b/>
          <w:bCs/>
          <w:color w:val="1A1A2E"/>
          <w:sz w:val="20"/>
          <w:szCs w:val="20"/>
        </w:rPr>
        <w:t xml:space="preserve">line block per agreement line (= asset)</w:t>
      </w:r>
      <w:r>
        <w:rPr>
          <w:color w:val="1A1A2E"/>
          <w:sz w:val="20"/>
          <w:szCs w:val="20"/>
        </w:rPr>
        <w:t xml:space="preserve">, and a </w:t>
      </w:r>
      <w:r>
        <w:rPr>
          <w:b/>
          <w:bCs/>
          <w:color w:val="1A1A2E"/>
          <w:sz w:val="20"/>
          <w:szCs w:val="20"/>
        </w:rPr>
        <w:t xml:space="preserve">monthly schedule</w:t>
      </w:r>
      <w:r>
        <w:rPr>
          <w:color w:val="1A1A2E"/>
          <w:sz w:val="20"/>
          <w:szCs w:val="20"/>
        </w:rPr>
        <w:t xml:space="preserve"> inside each line.</w:t>
      </w:r>
    </w:p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Plan header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agreement the plan is for.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description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Description — reused on reports so they show names, not codes.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Customer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customer.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Currency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Plan currency.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Finance or Operating lease — governs how rent / interest / depreciation are recognised.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Effective from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On an Agreement Change only: the period the new plan takes effect (tells accounting which already-booked months are affected).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Source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Origin — Activation or Agreement Change.</w:t>
            </w:r>
          </w:p>
        </w:tc>
      </w:tr>
    </w:tbl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Plan line (repeats — one per agreement line = asset)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Line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line / asset.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Asset description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Description of the asset.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Depreciation Type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Annuity · Straight Line · Sum of years · variable declining. Depreciation is carried in the plan ONLY when the type is Annuity; for the other methods it is omitted and the asset domain sends the depreciation.</w:t>
            </w:r>
          </w:p>
        </w:tc>
      </w:tr>
    </w:tbl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Schedule row (repeats — one per period × category within a line)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Period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YYYYMM the amount is earned in.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Category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recognition component — Rent (or Amortization), Interest, and Depreciation (only when the type is Annuity).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Amount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amount earned in that period for that category.</w:t>
            </w:r>
          </w:p>
        </w:tc>
      </w:tr>
    </w:tbl>
    <w:p>
      <w:pPr>
        <w:pStyle w:val="Heading2"/>
        <w:spacing w:before="220" w:after="80"/>
      </w:pPr>
      <w:r>
        <w:rPr>
          <w:b/>
          <w:bCs/>
          <w:color w:val="1A1A2E"/>
          <w:sz w:val="24"/>
          <w:szCs w:val="24"/>
        </w:rPr>
        <w:t xml:space="preserve">Example — one line’s schedule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200"/>
        <w:gridCol w:w="2200"/>
        <w:gridCol w:w="2200"/>
        <w:gridCol w:w="2420"/>
      </w:tblGrid>
      <w:tr>
        <w:trPr>
          <w:tblHeader/>
        </w:trPr>
        <w:tc>
          <w:tcPr>
            <w:tcW w:type="dxa" w:w="22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Period</w:t>
            </w:r>
          </w:p>
        </w:tc>
        <w:tc>
          <w:tcPr>
            <w:tcW w:type="dxa" w:w="22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Rent</w:t>
            </w:r>
          </w:p>
        </w:tc>
        <w:tc>
          <w:tcPr>
            <w:tcW w:type="dxa" w:w="22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Interest</w:t>
            </w:r>
          </w:p>
        </w:tc>
        <w:tc>
          <w:tcPr>
            <w:tcW w:type="dxa" w:w="24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Depreciation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202410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100.00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25.00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— (asset domain: Straight Line)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202411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100.00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25.00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— (asset domain: Straight Line)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202412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100.00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25.00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— (asset domain: Straight Line)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…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…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…</w:t>
            </w:r>
          </w:p>
        </w:tc>
        <w:tc>
          <w:tcPr>
            <w:tcW w:type="dxa" w:w="2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…</w:t>
            </w:r>
          </w:p>
        </w:tc>
      </w:tr>
    </w:tbl>
    <w:p>
      <w:pPr>
        <w:spacing w:after="120" w:before="60" w:line="264"/>
      </w:pPr>
      <w:r>
        <w:rPr>
          <w:b/>
          <w:bCs/>
          <w:color w:val="6B6B7B"/>
          <w:sz w:val="18"/>
          <w:szCs w:val="18"/>
        </w:rPr>
        <w:t xml:space="preserve">Note — </w:t>
      </w:r>
      <w:r>
        <w:rPr>
          <w:color w:val="6B6B7B"/>
          <w:sz w:val="18"/>
          <w:szCs w:val="18"/>
        </w:rPr>
        <w:t xml:space="preserve">Rent/Amortization and Interest are the earned components reconciled against AR invoicing (the earned-vs-billed cutoff); Depreciation, when present, is a permanent monthly posting and is not reversed by the cutoff. On Agreement Change the same structure is re-sent for the changed line(s) with an Effective-from period; accounting undoes the affected already-booked months (Undo Monthly Booking) and re-derives Monthly Booking from the new plan.</w:t>
      </w:r>
    </w:p>
    <w:p>
      <w:pPr>
        <w:pStyle w:val="Heading1"/>
        <w:spacing w:before="300" w:after="120"/>
      </w:pPr>
      <w:r>
        <w:rPr>
          <w:b/>
          <w:bCs/>
          <w:color w:val="5B3E96"/>
          <w:sz w:val="30"/>
          <w:szCs w:val="30"/>
        </w:rPr>
        <w:t xml:space="preserve">6. AP supplier invoice types</w:t>
      </w:r>
    </w:p>
    <w:p>
      <w:pPr>
        <w:spacing w:after="120" w:before="0" w:line="264"/>
      </w:pPr>
      <w:r>
        <w:rPr>
          <w:color w:val="1A1A2E"/>
          <w:sz w:val="20"/>
          <w:szCs w:val="20"/>
        </w:rPr>
        <w:t xml:space="preserve">Supplier invoices are not all the same shape, so a single set of AP formulas cannot pick the right accounts. The message carries a Supplier Invoice Type that the formula conditions branch on. The suggested categories: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400"/>
        <w:gridCol w:w="2600"/>
        <w:gridCol w:w="4020"/>
      </w:tblGrid>
      <w:tr>
        <w:trPr>
          <w:tblHeader/>
        </w:trPr>
        <w:tc>
          <w:tcPr>
            <w:tcW w:type="dxa" w:w="24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Supplier Invoice Type</w:t>
            </w:r>
          </w:p>
        </w:tc>
        <w:tc>
          <w:tcPr>
            <w:tcW w:type="dxa" w:w="26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Example</w:t>
            </w:r>
          </w:p>
        </w:tc>
        <w:tc>
          <w:tcPr>
            <w:tcW w:type="dxa" w:w="40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How the accounting resolves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Agreement-connected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 car bought for a lease agreement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Resolves via the agreement / asset dimensions (agreement, line, asset number); posts to the asset / contract accounts.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Service — fixed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 fixed monthly service fee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Resolves via supplier / cost-centre dimensions; posts to the fixed-service expense accounts.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Service — variable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 usage-based service charge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Same as fixed-service but the variable-service accounts (and may be accrued).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Other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 general supplier invoice not tied to the above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Resolves via supplier / cost-centre; posts to the general expense accounts.</w:t>
            </w:r>
          </w:p>
        </w:tc>
      </w:tr>
    </w:tbl>
    <w:p>
      <w:pPr>
        <w:spacing w:after="120" w:before="40" w:line="264"/>
      </w:pPr>
      <w:r>
        <w:rPr>
          <w:color w:val="6B6B7B"/>
          <w:sz w:val="18"/>
          <w:szCs w:val="18"/>
        </w:rPr>
        <w:t xml:space="preserve">The type is a condition value (like Accounting Type). New types are customer-configurable and become usable in formula conditions immediately — no code change.</w:t>
      </w:r>
    </w:p>
    <w:p>
      <w:pPr>
        <w:pStyle w:val="Heading1"/>
        <w:spacing w:before="300" w:after="120"/>
      </w:pPr>
      <w:r>
        <w:rPr>
          <w:b/>
          <w:bCs/>
          <w:color w:val="5B3E96"/>
          <w:sz w:val="30"/>
          <w:szCs w:val="30"/>
        </w:rPr>
        <w:t xml:space="preserve">7. External account values (dimensions) to be sent</w:t>
      </w:r>
    </w:p>
    <w:p>
      <w:pPr>
        <w:spacing w:after="120" w:before="0" w:line="264"/>
      </w:pPr>
      <w:r>
        <w:rPr>
          <w:color w:val="1A1A2E"/>
          <w:sz w:val="20"/>
          <w:szCs w:val="20"/>
        </w:rPr>
        <w:t xml:space="preserve">The external account string on every journal line is built from the entity’s accounting dimensions. Each dimension has a source: the pseudo account, a named header field, or the companion Account-values list. The values below with source “Message” or “AccountValues-List” must be supplied by the sender; “AccountValues-List” items are the ones a header column does not cover (and let a supplier invoice with no agreement still resolve its dimensions).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450"/>
        <w:gridCol w:w="1750"/>
        <w:gridCol w:w="2320"/>
        <w:gridCol w:w="2500"/>
      </w:tblGrid>
      <w:tr>
        <w:trPr>
          <w:tblHeader/>
        </w:trPr>
        <w:tc>
          <w:tcPr>
            <w:tcW w:type="dxa" w:w="245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Ext. account value</w:t>
            </w:r>
          </w:p>
        </w:tc>
        <w:tc>
          <w:tcPr>
            <w:tcW w:type="dxa" w:w="175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Level</w:t>
            </w:r>
          </w:p>
        </w:tc>
        <w:tc>
          <w:tcPr>
            <w:tcW w:type="dxa" w:w="23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Source</w:t>
            </w:r>
          </w:p>
        </w:tc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Typical origin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Pseudo account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pseudo account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Company / Tenant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Message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Organization Unit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Message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Portfolio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Message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Product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Message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Number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Message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Line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 line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Message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Customer identity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Message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Supplier identity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Supplier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Message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Header (AP)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Currency Code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Message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Cost Center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AccountValues-List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 / asset domain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Cost Unit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AccountValues-List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 / asset domain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Asset Number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 line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AccountValues-List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Asset domain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Serial Number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 line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AccountValues-List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Asset domain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Reg. Number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 line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AccountValues-List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Asset domain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Tax Code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AccountValues-List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Contract domain</w:t>
            </w:r>
          </w:p>
        </w:tc>
      </w:tr>
    </w:tbl>
    <w:p>
      <w:pPr>
        <w:pStyle w:val="Heading1"/>
        <w:spacing w:before="300" w:after="120"/>
      </w:pPr>
      <w:r>
        <w:rPr>
          <w:b/>
          <w:bCs/>
          <w:color w:val="5B3E96"/>
          <w:sz w:val="30"/>
          <w:szCs w:val="30"/>
        </w:rPr>
        <w:t xml:space="preserve">8. Outbound confirmation — “Journal posted”</w:t>
      </w:r>
    </w:p>
    <w:p>
      <w:pPr>
        <w:spacing w:after="120" w:before="0" w:line="264"/>
      </w:pPr>
      <w:r>
        <w:rPr>
          <w:color w:val="1A1A2E"/>
          <w:sz w:val="20"/>
          <w:szCs w:val="20"/>
        </w:rPr>
        <w:t xml:space="preserve">When the accounting domain books a journal it publishes a Journal posted event that any domain can consume to update its own side (e.g. store the journal number against the agreement/line). It is the outbound counterpart of the inbound messages above — separate from the GL export.</w:t>
      </w:r>
    </w:p>
    <w:tbl>
      <w:tblPr>
        <w:tblW w:type="dxa" w:w="9020"/>
        <w:tblBorders>
          <w:top w:val="single" w:color="D8D8E0" w:sz="2"/>
          <w:left w:val="single" w:color="D8D8E0" w:sz="2"/>
          <w:bottom w:val="single" w:color="D8D8E0" w:sz="2"/>
          <w:right w:val="single" w:color="D8D8E0" w:sz="2"/>
          <w:insideH w:val="single" w:color="D8D8E0" w:sz="2"/>
          <w:insideV w:val="single" w:color="D8D8E0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Correlation Id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Message Id from the triggering message, echoed back.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Journal number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GLI booked (or none, with status Accepted-pending, for a held End-of-Month message).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Accounting event / Reverses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event booked; for a reversal, the original journal it reversed.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Agreement / Lines / Invoice / Reference / Payment id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The business keys the journal covered — for correlation.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Posted · Accepted-pending · Rejected.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Debit / Credit / Difference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color w:val="1A1A2E"/>
                <w:sz w:val="18"/>
                <w:szCs w:val="18"/>
              </w:rPr>
              <w:t xml:space="preserve">Control totals and the balance flag.</w:t>
            </w:r>
          </w:p>
        </w:tc>
      </w:tr>
    </w:tbl>
    <w:p>
      <w:pPr>
        <w:pStyle w:val="Heading1"/>
        <w:spacing w:before="300" w:after="120"/>
      </w:pPr>
      <w:r>
        <w:rPr>
          <w:b/>
          <w:bCs/>
          <w:color w:val="5B3E96"/>
          <w:sz w:val="30"/>
          <w:szCs w:val="30"/>
        </w:rPr>
        <w:t xml:space="preserve">9. Open items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A2E"/>
          <w:sz w:val="20"/>
          <w:szCs w:val="20"/>
        </w:rPr>
        <w:t xml:space="preserve">Activation booking date: confirm calculation-date vs event-date basis per customer.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A2E"/>
          <w:sz w:val="20"/>
          <w:szCs w:val="20"/>
        </w:rPr>
        <w:t xml:space="preserve">Recognition change: confirm whether the plan message carries the effective-from period explicitly, or accounting diffs the old vs new schedule; and whether to re-book immediately (recommended) or at next End of Month.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A2E"/>
          <w:sz w:val="20"/>
          <w:szCs w:val="20"/>
        </w:rPr>
        <w:t xml:space="preserve">Supplier Invoice Type: confirm the final category list and the per-type conditions/accounts.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A2E"/>
          <w:sz w:val="20"/>
          <w:szCs w:val="20"/>
        </w:rPr>
        <w:t xml:space="preserve">Payment Id: confirm the AP/AR payment message always carries a unique payment id (distinct from the invoice reference).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A2E"/>
          <w:sz w:val="20"/>
          <w:szCs w:val="20"/>
        </w:rPr>
        <w:t xml:space="preserve">More events will be added (e.g. Settlement / Termination invoicing, Write-off, Assignment, Split); they follow the same envelope and, where they reverse, the same Reversal-Reference rule.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2E"/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Events — Message Contract &amp; Event Catalog</dc:title>
  <dc:creator>One Credit Engine Accounting Domain</dc:creator>
  <cp:lastModifiedBy>Un-named</cp:lastModifiedBy>
  <cp:revision>1</cp:revision>
  <dcterms:created xsi:type="dcterms:W3CDTF">2026-07-28T04:31:53.647Z</dcterms:created>
  <dcterms:modified xsi:type="dcterms:W3CDTF">2026-07-28T04:31:53.648Z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