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70E4C" w14:textId="77777777" w:rsidR="00284ECA" w:rsidRDefault="00000000">
      <w:pPr>
        <w:spacing w:after="40"/>
      </w:pPr>
      <w:r>
        <w:rPr>
          <w:b/>
          <w:bCs/>
          <w:color w:val="5B2A86"/>
          <w:sz w:val="40"/>
          <w:szCs w:val="40"/>
        </w:rPr>
        <w:t>Tieto</w:t>
      </w:r>
    </w:p>
    <w:p w14:paraId="0DF70E4D" w14:textId="77777777" w:rsidR="00284ECA" w:rsidRDefault="00000000">
      <w:pPr>
        <w:spacing w:after="240"/>
      </w:pPr>
      <w:r>
        <w:rPr>
          <w:color w:val="5A6472"/>
          <w:sz w:val="20"/>
          <w:szCs w:val="20"/>
        </w:rPr>
        <w:t>One Credit Engine  ·  Accounting Domain</w:t>
      </w:r>
    </w:p>
    <w:p w14:paraId="0DF70E4E" w14:textId="77777777" w:rsidR="00284ECA" w:rsidRDefault="00000000">
      <w:pPr>
        <w:spacing w:before="500" w:after="60"/>
      </w:pPr>
      <w:r>
        <w:rPr>
          <w:b/>
          <w:bCs/>
          <w:sz w:val="52"/>
          <w:szCs w:val="52"/>
        </w:rPr>
        <w:t>General Ledger Integration</w:t>
      </w:r>
    </w:p>
    <w:p w14:paraId="0DF70E4F" w14:textId="77777777" w:rsidR="00284ECA" w:rsidRDefault="00000000">
      <w:pPr>
        <w:spacing w:after="200"/>
      </w:pPr>
      <w:r>
        <w:rPr>
          <w:color w:val="5B2A86"/>
          <w:sz w:val="26"/>
          <w:szCs w:val="26"/>
        </w:rPr>
        <w:t>Architecture &amp; Production Guide for the GL Export and Transport layer</w:t>
      </w:r>
    </w:p>
    <w:p w14:paraId="0DF70E50" w14:textId="77777777" w:rsidR="00284ECA" w:rsidRDefault="00000000">
      <w:pPr>
        <w:spacing w:after="30"/>
      </w:pPr>
      <w:r>
        <w:rPr>
          <w:i/>
          <w:iCs/>
          <w:color w:val="5A6472"/>
        </w:rPr>
        <w:t>Covers the export engine, configuration model, and what a real API / Queue transport requires.</w:t>
      </w:r>
    </w:p>
    <w:p w14:paraId="0DF70E51" w14:textId="77777777" w:rsidR="00284ECA" w:rsidRDefault="00000000">
      <w:pPr>
        <w:spacing w:before="500"/>
      </w:pPr>
      <w:r>
        <w:rPr>
          <w:color w:val="5A6472"/>
          <w:sz w:val="18"/>
          <w:szCs w:val="18"/>
        </w:rPr>
        <w:t>Status: design reference for the Accounting Domain prototype (subledger → general ledger).</w:t>
      </w:r>
    </w:p>
    <w:p w14:paraId="0DF70E52" w14:textId="77777777" w:rsidR="00284ECA" w:rsidRDefault="00000000">
      <w:r>
        <w:br w:type="page"/>
      </w:r>
    </w:p>
    <w:p w14:paraId="0DF70E53" w14:textId="77777777" w:rsidR="00284ECA" w:rsidRDefault="00000000">
      <w:pPr>
        <w:pStyle w:val="Heading1"/>
      </w:pPr>
      <w:bookmarkStart w:id="0" w:name="_Toc235509018"/>
      <w:r>
        <w:lastRenderedPageBreak/>
        <w:t>Contents</w:t>
      </w:r>
      <w:bookmarkEnd w:id="0"/>
    </w:p>
    <w:sdt>
      <w:sdtPr>
        <w:alias w:val="Contents"/>
        <w:id w:val="161663161"/>
      </w:sdtPr>
      <w:sdtContent>
        <w:p w14:paraId="52595784" w14:textId="17F0F375" w:rsidR="00FB34C3" w:rsidRDefault="00000000">
          <w:pPr>
            <w:pStyle w:val="TOC1"/>
            <w:tabs>
              <w:tab w:val="right" w:leader="dot" w:pos="9496"/>
            </w:tabs>
            <w:rPr>
              <w:noProof/>
            </w:rPr>
          </w:pPr>
          <w:r>
            <w:fldChar w:fldCharType="begin"/>
            <w:instrText>TOC \h \o "1-2"</w:instrText>
            <w:fldChar w:fldCharType="separate"/>
          </w:r>
          <w:hyperlink w:anchor="_Toc235509018" w:history="1">
            <w:r>
              <w:rPr>
                <w:rStyle w:val="Hyperlink"/>
                <w:noProof/>
              </w:rPr>
              <w:t>Contents</w:t>
            </w:r>
            <w:r>
              <w:rPr>
                <w:noProof/>
              </w:rPr>
              <w:tab/>
              <w:fldChar w:fldCharType="begin"/>
              <w:instrText xml:space="preserve"> PAGEREF _Toc235509018 \h </w:instrText>
              <w:fldChar w:fldCharType="separate"/>
              <w:t>2</w:t>
              <w:fldChar w:fldCharType="end"/>
            </w:r>
          </w:hyperlink>
        </w:p>
        <w:p w14:paraId="487F53B9" w14:textId="71A1E508" w:rsidR="00FB34C3" w:rsidRDefault="00FB34C3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5509019" w:history="1">
            <w:r>
              <w:rPr>
                <w:rStyle w:val="Hyperlink"/>
                <w:noProof/>
              </w:rPr>
              <w:t>1  Purpose &amp; audience</w:t>
            </w:r>
            <w:r>
              <w:rPr>
                <w:noProof/>
              </w:rPr>
              <w:tab/>
              <w:fldChar w:fldCharType="begin"/>
              <w:instrText xml:space="preserve"> PAGEREF _Toc235509019 \h </w:instrText>
              <w:fldChar w:fldCharType="separate"/>
              <w:t>3</w:t>
              <w:fldChar w:fldCharType="end"/>
            </w:r>
          </w:hyperlink>
        </w:p>
        <w:p w14:paraId="57BBB8D9" w14:textId="1F8FAAD2" w:rsidR="00FB34C3" w:rsidRDefault="00FB34C3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5509020" w:history="1">
            <w:r>
              <w:rPr>
                <w:rStyle w:val="Hyperlink"/>
                <w:noProof/>
              </w:rPr>
              <w:t>2  Key concepts</w:t>
            </w:r>
            <w:r>
              <w:rPr>
                <w:noProof/>
              </w:rPr>
              <w:tab/>
              <w:fldChar w:fldCharType="begin"/>
              <w:instrText xml:space="preserve"> PAGEREF _Toc235509020 \h </w:instrText>
              <w:fldChar w:fldCharType="separate"/>
              <w:t>3</w:t>
              <w:fldChar w:fldCharType="end"/>
            </w:r>
          </w:hyperlink>
        </w:p>
        <w:p w14:paraId="57AF3219" w14:textId="3A2DA41D" w:rsidR="00FB34C3" w:rsidRDefault="00FB34C3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5509021" w:history="1">
            <w:r>
              <w:rPr>
                <w:rStyle w:val="Hyperlink"/>
                <w:noProof/>
              </w:rPr>
              <w:t>3  Architecture overview</w:t>
            </w:r>
            <w:r>
              <w:rPr>
                <w:noProof/>
              </w:rPr>
              <w:tab/>
              <w:fldChar w:fldCharType="begin"/>
              <w:instrText xml:space="preserve"> PAGEREF _Toc235509021 \h </w:instrText>
              <w:fldChar w:fldCharType="separate"/>
              <w:t>3</w:t>
              <w:fldChar w:fldCharType="end"/>
            </w:r>
          </w:hyperlink>
        </w:p>
        <w:p w14:paraId="7721DE0B" w14:textId="37827BA3" w:rsidR="00FB34C3" w:rsidRDefault="00FB34C3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5509022" w:history="1">
            <w:r>
              <w:rPr>
                <w:rStyle w:val="Hyperlink"/>
                <w:noProof/>
              </w:rPr>
              <w:t>4  The export flow, end to end</w:t>
            </w:r>
            <w:r>
              <w:rPr>
                <w:noProof/>
              </w:rPr>
              <w:tab/>
              <w:fldChar w:fldCharType="begin"/>
              <w:instrText xml:space="preserve"> PAGEREF _Toc235509022 \h </w:instrText>
              <w:fldChar w:fldCharType="separate"/>
              <w:t>4</w:t>
              <w:fldChar w:fldCharType="end"/>
            </w:r>
          </w:hyperlink>
        </w:p>
        <w:p w14:paraId="69503A97" w14:textId="2E685424" w:rsidR="00FB34C3" w:rsidRDefault="00FB34C3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5509023" w:history="1">
            <w:r>
              <w:rPr>
                <w:rStyle w:val="Hyperlink"/>
                <w:noProof/>
              </w:rPr>
              <w:t>5  Configuration model</w:t>
            </w:r>
            <w:r>
              <w:rPr>
                <w:noProof/>
              </w:rPr>
              <w:tab/>
              <w:fldChar w:fldCharType="begin"/>
              <w:instrText xml:space="preserve"> PAGEREF _Toc235509023 \h </w:instrText>
              <w:fldChar w:fldCharType="separate"/>
              <w:t>4</w:t>
              <w:fldChar w:fldCharType="end"/>
            </w:r>
          </w:hyperlink>
        </w:p>
        <w:p w14:paraId="45E49097" w14:textId="44BC6808" w:rsidR="00FB34C3" w:rsidRDefault="00FB34C3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5509024" w:history="1">
            <w:r>
              <w:rPr>
                <w:rStyle w:val="Hyperlink"/>
                <w:noProof/>
              </w:rPr>
              <w:t>6  Transport options — current state</w:t>
            </w:r>
            <w:r>
              <w:rPr>
                <w:noProof/>
              </w:rPr>
              <w:tab/>
              <w:fldChar w:fldCharType="begin"/>
              <w:instrText xml:space="preserve"> PAGEREF _Toc235509024 \h </w:instrText>
              <w:fldChar w:fldCharType="separate"/>
              <w:t>4</w:t>
              <w:fldChar w:fldCharType="end"/>
            </w:r>
          </w:hyperlink>
        </w:p>
        <w:p w14:paraId="6C8BD39C" w14:textId="2C180833" w:rsidR="00FB34C3" w:rsidRDefault="00FB34C3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5509025" w:history="1">
            <w:r>
              <w:rPr>
                <w:rStyle w:val="Hyperlink"/>
                <w:noProof/>
              </w:rPr>
              <w:t>7  Delivery lifecycle</w:t>
            </w:r>
            <w:r>
              <w:rPr>
                <w:noProof/>
              </w:rPr>
              <w:tab/>
              <w:fldChar w:fldCharType="begin"/>
              <w:instrText xml:space="preserve"> PAGEREF _Toc235509025 \h </w:instrText>
              <w:fldChar w:fldCharType="separate"/>
              <w:t>4</w:t>
              <w:fldChar w:fldCharType="end"/>
            </w:r>
          </w:hyperlink>
        </w:p>
        <w:p w14:paraId="4B41F0F2" w14:textId="50603D52" w:rsidR="00FB34C3" w:rsidRDefault="00FB34C3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5509026" w:history="1">
            <w:r>
              <w:rPr>
                <w:rStyle w:val="Hyperlink"/>
                <w:noProof/>
              </w:rPr>
              <w:t>8  Taking API / Queue to production</w:t>
            </w:r>
            <w:r>
              <w:rPr>
                <w:noProof/>
              </w:rPr>
              <w:tab/>
              <w:fldChar w:fldCharType="begin"/>
              <w:instrText xml:space="preserve"> PAGEREF _Toc235509026 \h </w:instrText>
              <w:fldChar w:fldCharType="separate"/>
              <w:t>6</w:t>
              <w:fldChar w:fldCharType="end"/>
            </w:r>
          </w:hyperlink>
        </w:p>
        <w:p w14:paraId="3BC555B2" w14:textId="5B537FAD" w:rsidR="00FB34C3" w:rsidRDefault="00FB34C3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5509027" w:history="1">
            <w:r>
              <w:rPr>
                <w:rStyle w:val="Hyperlink"/>
                <w:noProof/>
              </w:rPr>
              <w:t>8.1  Move the transport off the browser</w:t>
            </w:r>
            <w:r>
              <w:rPr>
                <w:noProof/>
              </w:rPr>
              <w:tab/>
              <w:fldChar w:fldCharType="begin"/>
              <w:instrText xml:space="preserve"> PAGEREF _Toc235509027 \h </w:instrText>
              <w:fldChar w:fldCharType="separate"/>
              <w:t>6</w:t>
              <w:fldChar w:fldCharType="end"/>
            </w:r>
          </w:hyperlink>
        </w:p>
        <w:p w14:paraId="1C756914" w14:textId="53B39974" w:rsidR="00FB34C3" w:rsidRDefault="00FB34C3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5509028" w:history="1">
            <w:r>
              <w:rPr>
                <w:rStyle w:val="Hyperlink"/>
                <w:noProof/>
              </w:rPr>
              <w:t>8.2  A connector per target general ledger</w:t>
            </w:r>
            <w:r>
              <w:rPr>
                <w:noProof/>
              </w:rPr>
              <w:tab/>
              <w:fldChar w:fldCharType="begin"/>
              <w:instrText xml:space="preserve"> PAGEREF _Toc235509028 \h </w:instrText>
              <w:fldChar w:fldCharType="separate"/>
              <w:t>6</w:t>
              <w:fldChar w:fldCharType="end"/>
            </w:r>
          </w:hyperlink>
        </w:p>
        <w:p w14:paraId="5F4CEED1" w14:textId="6AED6793" w:rsidR="00FB34C3" w:rsidRDefault="00FB34C3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5509029" w:history="1">
            <w:r>
              <w:rPr>
                <w:rStyle w:val="Hyperlink"/>
                <w:noProof/>
              </w:rPr>
              <w:t>8.3  Secrets management</w:t>
            </w:r>
            <w:r>
              <w:rPr>
                <w:noProof/>
              </w:rPr>
              <w:tab/>
              <w:fldChar w:fldCharType="begin"/>
              <w:instrText xml:space="preserve"> PAGEREF _Toc235509029 \h </w:instrText>
              <w:fldChar w:fldCharType="separate"/>
              <w:t>6</w:t>
              <w:fldChar w:fldCharType="end"/>
            </w:r>
          </w:hyperlink>
        </w:p>
        <w:p w14:paraId="2572BDDD" w14:textId="3A58CD13" w:rsidR="00FB34C3" w:rsidRDefault="00FB34C3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5509030" w:history="1">
            <w:r>
              <w:rPr>
                <w:rStyle w:val="Hyperlink"/>
                <w:noProof/>
              </w:rPr>
              <w:t>8.4  Idempotency &amp; acknowledgement</w:t>
            </w:r>
            <w:r>
              <w:rPr>
                <w:noProof/>
              </w:rPr>
              <w:tab/>
              <w:fldChar w:fldCharType="begin"/>
              <w:instrText xml:space="preserve"> PAGEREF _Toc235509030 \h </w:instrText>
              <w:fldChar w:fldCharType="separate"/>
              <w:t>6</w:t>
              <w:fldChar w:fldCharType="end"/>
            </w:r>
          </w:hyperlink>
        </w:p>
        <w:p w14:paraId="3DEA9D61" w14:textId="1807366E" w:rsidR="00FB34C3" w:rsidRDefault="00FB34C3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5509031" w:history="1">
            <w:r>
              <w:rPr>
                <w:rStyle w:val="Hyperlink"/>
                <w:noProof/>
              </w:rPr>
              <w:t>8.5  Queue specifics</w:t>
            </w:r>
            <w:r>
              <w:rPr>
                <w:noProof/>
              </w:rPr>
              <w:tab/>
              <w:fldChar w:fldCharType="begin"/>
              <w:instrText xml:space="preserve"> PAGEREF _Toc235509031 \h </w:instrText>
              <w:fldChar w:fldCharType="separate"/>
              <w:t>6</w:t>
              <w:fldChar w:fldCharType="end"/>
            </w:r>
          </w:hyperlink>
        </w:p>
        <w:p w14:paraId="6CA460C3" w14:textId="44221465" w:rsidR="00FB34C3" w:rsidRDefault="00FB34C3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5509032" w:history="1">
            <w:r>
              <w:rPr>
                <w:rStyle w:val="Hyperlink"/>
                <w:noProof/>
              </w:rPr>
              <w:t>8.6  Reliability &amp; operations</w:t>
            </w:r>
            <w:r>
              <w:rPr>
                <w:noProof/>
              </w:rPr>
              <w:tab/>
              <w:fldChar w:fldCharType="begin"/>
              <w:instrText xml:space="preserve"> PAGEREF _Toc235509032 \h </w:instrText>
              <w:fldChar w:fldCharType="separate"/>
              <w:t>6</w:t>
              <w:fldChar w:fldCharType="end"/>
            </w:r>
          </w:hyperlink>
        </w:p>
        <w:p w14:paraId="79210076" w14:textId="2E593D2B" w:rsidR="00FB34C3" w:rsidRDefault="00FB34C3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5509033" w:history="1">
            <w:r>
              <w:rPr>
                <w:rStyle w:val="Hyperlink"/>
                <w:noProof/>
              </w:rPr>
              <w:t>8.7  Validation &amp; reconciliation</w:t>
            </w:r>
            <w:r>
              <w:rPr>
                <w:noProof/>
              </w:rPr>
              <w:tab/>
              <w:fldChar w:fldCharType="begin"/>
              <w:instrText xml:space="preserve"> PAGEREF _Toc235509033 \h </w:instrText>
              <w:fldChar w:fldCharType="separate"/>
              <w:t>6</w:t>
              <w:fldChar w:fldCharType="end"/>
            </w:r>
          </w:hyperlink>
        </w:p>
        <w:p w14:paraId="021BB72A" w14:textId="13B94E72" w:rsidR="00FB34C3" w:rsidRDefault="00FB34C3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5509034" w:history="1">
            <w:r>
              <w:rPr>
                <w:rStyle w:val="Hyperlink"/>
                <w:noProof/>
              </w:rPr>
              <w:t>9  Connector interface sketch</w:t>
            </w:r>
            <w:r>
              <w:rPr>
                <w:noProof/>
              </w:rPr>
              <w:tab/>
              <w:fldChar w:fldCharType="begin"/>
              <w:instrText xml:space="preserve"> PAGEREF _Toc235509034 \h </w:instrText>
              <w:fldChar w:fldCharType="separate"/>
              <w:t>7</w:t>
              <w:fldChar w:fldCharType="end"/>
            </w:r>
          </w:hyperlink>
        </w:p>
        <w:p w14:paraId="7C4E8951" w14:textId="5C943035" w:rsidR="00FB34C3" w:rsidRDefault="00FB34C3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5509035" w:history="1">
            <w:r>
              <w:rPr>
                <w:rStyle w:val="Hyperlink"/>
                <w:noProof/>
              </w:rPr>
              <w:t>10  What exists vs. what is net-new</w:t>
            </w:r>
            <w:r>
              <w:rPr>
                <w:noProof/>
              </w:rPr>
              <w:tab/>
              <w:fldChar w:fldCharType="begin"/>
              <w:instrText xml:space="preserve"> PAGEREF _Toc235509035 \h </w:instrText>
              <w:fldChar w:fldCharType="separate"/>
              <w:t>7</w:t>
              <w:fldChar w:fldCharType="end"/>
            </w:r>
          </w:hyperlink>
        </w:p>
        <w:p w14:paraId="6BF6D812" w14:textId="71B1C08F" w:rsidR="00FB34C3" w:rsidRDefault="00FB34C3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5509036" w:history="1">
            <w:r>
              <w:rPr>
                <w:rStyle w:val="Hyperlink"/>
                <w:noProof/>
              </w:rPr>
              <w:t>11  Roadmap</w:t>
            </w:r>
            <w:r>
              <w:rPr>
                <w:noProof/>
              </w:rPr>
              <w:tab/>
              <w:fldChar w:fldCharType="begin"/>
              <w:instrText xml:space="preserve"> PAGEREF _Toc235509036 \h </w:instrText>
              <w:fldChar w:fldCharType="separate"/>
              <w:t>7</w:t>
              <w:fldChar w:fldCharType="end"/>
            </w:r>
          </w:hyperlink>
        </w:p>
        <w:p w14:paraId="0DF70E55" w14:textId="77CC0DD1" w:rsidR="00284ECA" w:rsidRDefault="00000000">
          <w:r>
            <w:fldChar w:fldCharType="end"/>
          </w:r>
        </w:p>
      </w:sdtContent>
    </w:sdt>
    <w:p w14:paraId="0DF70E56" w14:textId="77777777" w:rsidR="00284ECA" w:rsidRDefault="00000000">
      <w:r>
        <w:br w:type="page"/>
      </w:r>
    </w:p>
    <w:p w14:paraId="0DF70E57" w14:textId="77777777" w:rsidR="00284ECA" w:rsidRDefault="00000000">
      <w:pPr>
        <w:pStyle w:val="Heading1"/>
      </w:pPr>
      <w:bookmarkStart w:id="1" w:name="_Toc235509019"/>
      <w:r>
        <w:lastRenderedPageBreak/>
        <w:t>1  Purpose &amp; audience</w:t>
      </w:r>
      <w:bookmarkEnd w:id="1"/>
    </w:p>
    <w:p w14:paraId="0DF70E58" w14:textId="77777777" w:rsidR="00284ECA" w:rsidRDefault="00000000">
      <w:pPr>
        <w:spacing w:after="120" w:line="276" w:lineRule="auto"/>
      </w:pPr>
      <w:r>
        <w:t>The Accounting Domain is a financial subledger for the One Credit Engine leasing / hire-purchase / lending system. It books business events (invoicing, activation, accruals, revaluation, manual corrections) onto internal pseudo accounts and then delivers balanced journal batches to each customer’s general ledger (GL) — SAP, Visma, and others.</w:t>
      </w:r>
    </w:p>
    <w:p w14:paraId="0DF70E59" w14:textId="77777777" w:rsidR="00284ECA" w:rsidRDefault="00000000">
      <w:pPr>
        <w:spacing w:after="120" w:line="276" w:lineRule="auto"/>
      </w:pPr>
      <w:r>
        <w:t>This document describes how that GL export works today, the configuration model behind it, and — the main question it answers — what is required to move the API and Queue transport from the current in-app simulation to a real customer integration.</w:t>
      </w:r>
    </w:p>
    <w:p w14:paraId="0DF70E5A" w14:textId="77777777" w:rsidR="00284ECA" w:rsidRDefault="00000000">
      <w:pPr>
        <w:spacing w:after="120" w:line="276" w:lineRule="auto"/>
      </w:pPr>
      <w:r>
        <w:rPr>
          <w:b/>
          <w:bCs/>
        </w:rPr>
        <w:t xml:space="preserve">Audience: </w:t>
      </w:r>
      <w:r>
        <w:t>solution architects, integration engineers, and product owners planning a production GL integration.</w:t>
      </w:r>
    </w:p>
    <w:p w14:paraId="0DF70E5B" w14:textId="77777777" w:rsidR="00284ECA" w:rsidRDefault="00000000">
      <w:pPr>
        <w:pStyle w:val="Heading1"/>
      </w:pPr>
      <w:bookmarkStart w:id="2" w:name="_Toc235509020"/>
      <w:r>
        <w:t>2  Key concepts</w:t>
      </w:r>
      <w:bookmarkEnd w:id="2"/>
    </w:p>
    <w:tbl>
      <w:tblPr>
        <w:tblW w:w="9360" w:type="dxa"/>
        <w:tblBorders>
          <w:top w:val="single" w:sz="4" w:space="0" w:color="D9D6E0"/>
          <w:left w:val="single" w:sz="4" w:space="0" w:color="D9D6E0"/>
          <w:bottom w:val="single" w:sz="4" w:space="0" w:color="D9D6E0"/>
          <w:right w:val="single" w:sz="4" w:space="0" w:color="D9D6E0"/>
          <w:insideH w:val="single" w:sz="4" w:space="0" w:color="D9D6E0"/>
          <w:insideV w:val="single" w:sz="4" w:space="0" w:color="D9D6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84ECA" w14:paraId="0DF70E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5B2A8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5C" w14:textId="77777777" w:rsidR="00284ECA" w:rsidRDefault="00000000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6960" w:type="dxa"/>
            <w:shd w:val="clear" w:color="auto" w:fill="5B2A8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5D" w14:textId="77777777" w:rsidR="00284ECA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284ECA" w14:paraId="0DF70E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5F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Pseudo account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60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The internal account the accounting engine posts to. Mapped to the customer’s external GL account.</w:t>
            </w:r>
          </w:p>
        </w:tc>
      </w:tr>
      <w:tr w:rsidR="00284ECA" w14:paraId="0DF70E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62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External account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63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The GL account a pseudo account maps to (extPseudo). What the GL actually receives.</w:t>
            </w:r>
          </w:p>
        </w:tc>
      </w:tr>
      <w:tr w:rsidR="00284ECA" w14:paraId="0DF70E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65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Accounting dimensions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66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The external account string parts (customer, agreement, cost center, asset…) that accompany a line.</w:t>
            </w:r>
          </w:p>
        </w:tc>
      </w:tr>
      <w:tr w:rsidR="00284ECA" w14:paraId="0DF70E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68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GLI / journal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69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 balanced General Ledger Interface journal produced by the engine. Numbered per legal entity.</w:t>
            </w:r>
          </w:p>
        </w:tc>
      </w:tr>
      <w:tr w:rsidR="00284ECA" w14:paraId="0DF70E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6B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Ledger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6C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 accounting book (Local Legal, US GAAP…). Each journal belongs to exactly one ledger.</w:t>
            </w:r>
          </w:p>
        </w:tc>
      </w:tr>
      <w:tr w:rsidR="00284ECA" w14:paraId="0DF70E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6E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Export batch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6F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 balanced set of external-account lines produced by an export run, ready to transport.</w:t>
            </w:r>
          </w:p>
        </w:tc>
      </w:tr>
      <w:tr w:rsidR="00284ECA" w14:paraId="0DF70E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71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Export voucher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72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The gapless per-ledger number stamped on a journal at export (audit requirement in some countries).</w:t>
            </w:r>
          </w:p>
        </w:tc>
      </w:tr>
      <w:tr w:rsidR="00284ECA" w14:paraId="0DF70E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74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Transport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75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How the batch is delivered: File, API, or Queue.</w:t>
            </w:r>
          </w:p>
        </w:tc>
      </w:tr>
    </w:tbl>
    <w:p w14:paraId="0DF70E77" w14:textId="77777777" w:rsidR="00284ECA" w:rsidRDefault="00000000">
      <w:pPr>
        <w:pStyle w:val="Heading1"/>
      </w:pPr>
      <w:bookmarkStart w:id="3" w:name="_Toc235509021"/>
      <w:r>
        <w:t>3  Architecture overview</w:t>
      </w:r>
      <w:bookmarkEnd w:id="3"/>
    </w:p>
    <w:p w14:paraId="0DF70E78" w14:textId="77777777" w:rsidR="00284ECA" w:rsidRDefault="00000000">
      <w:pPr>
        <w:spacing w:after="120" w:line="276" w:lineRule="auto"/>
      </w:pPr>
      <w:r>
        <w:t>The design is deliberately ERP-agnostic: the accounting core never needs to know about SAP or Visma — only the outermost transport/format layer does. This keeps a single accounting engine able to serve many general ledgers.</w:t>
      </w:r>
    </w:p>
    <w:tbl>
      <w:tblPr>
        <w:tblW w:w="9360" w:type="dxa"/>
        <w:tblBorders>
          <w:top w:val="single" w:sz="4" w:space="0" w:color="D9D6E0"/>
          <w:left w:val="single" w:sz="4" w:space="0" w:color="D9D6E0"/>
          <w:bottom w:val="single" w:sz="4" w:space="0" w:color="D9D6E0"/>
          <w:right w:val="single" w:sz="4" w:space="0" w:color="D9D6E0"/>
          <w:insideH w:val="single" w:sz="4" w:space="0" w:color="D9D6E0"/>
          <w:insideV w:val="single" w:sz="4" w:space="0" w:color="D9D6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84ECA" w14:paraId="0DF70E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5B2A8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79" w14:textId="77777777" w:rsidR="00284ECA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960" w:type="dxa"/>
            <w:shd w:val="clear" w:color="auto" w:fill="5B2A8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7A" w14:textId="77777777" w:rsidR="00284ECA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284ECA" w14:paraId="0DF70E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7C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Accounting engine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7D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Applies accounting rules to events; posts to pseudo accounts (balanced journals).</w:t>
            </w:r>
          </w:p>
        </w:tc>
      </w:tr>
      <w:tr w:rsidR="00284ECA" w14:paraId="0DF70E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7F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Account mapping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80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Pseudo account → external GL account (per legal entity).</w:t>
            </w:r>
          </w:p>
        </w:tc>
      </w:tr>
      <w:tr w:rsidR="00284ECA" w14:paraId="0DF70E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82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Dimensions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83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Builds the external account string from the configured accounting dimensions.</w:t>
            </w:r>
          </w:p>
        </w:tc>
      </w:tr>
      <w:tr w:rsidR="00284ECA" w14:paraId="0DF70E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85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Export builder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86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Collects un-exported journals, applies the booking-date rule, summarises, produces a balanced batch.</w:t>
            </w:r>
          </w:p>
        </w:tc>
      </w:tr>
      <w:tr w:rsidR="00284ECA" w14:paraId="0DF70E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88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Voucher series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89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Assigns a gapless per-ledger export voucher (fallback: the entity GLI number).</w:t>
            </w:r>
          </w:p>
        </w:tc>
      </w:tr>
      <w:tr w:rsidR="00284ECA" w14:paraId="0DF70E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8B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Format renderer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8C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Renders the canonical batch to the target format (CSV / JSON today; SIE, XBRL GL, SAP payloads later).</w:t>
            </w:r>
          </w:p>
        </w:tc>
      </w:tr>
      <w:tr w:rsidR="00284ECA" w14:paraId="0DF70E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8E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Transport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8F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Delivers the rendered batch: File, REST API, or message Queue.</w:t>
            </w:r>
          </w:p>
        </w:tc>
      </w:tr>
      <w:tr w:rsidR="00284ECA" w14:paraId="0DF70E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91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Reconciliation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92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Tracks status, control totals, and delivery acknowledgement per batch.</w:t>
            </w:r>
          </w:p>
        </w:tc>
      </w:tr>
    </w:tbl>
    <w:p w14:paraId="0DF70E94" w14:textId="77777777" w:rsidR="00284ECA" w:rsidRDefault="00000000">
      <w:pPr>
        <w:pStyle w:val="Heading1"/>
      </w:pPr>
      <w:bookmarkStart w:id="4" w:name="_Toc235509022"/>
      <w:r>
        <w:lastRenderedPageBreak/>
        <w:t>4  The export flow, end to end</w:t>
      </w:r>
      <w:bookmarkEnd w:id="4"/>
    </w:p>
    <w:p w14:paraId="0DF70E95" w14:textId="77777777" w:rsidR="00284ECA" w:rsidRDefault="00000000">
      <w:pPr>
        <w:spacing w:after="120" w:line="276" w:lineRule="auto"/>
      </w:pPr>
      <w:r>
        <w:t>An export run — whether triggered manually or as part of End of Month — performs the following:</w:t>
      </w:r>
    </w:p>
    <w:p w14:paraId="0DF70E96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Collect</w:t>
      </w:r>
      <w:r>
        <w:t xml:space="preserve"> un-exported, balanced journals for the legal entity, in the selected ledger (or ALL ledgers), booked in the period or earlier. Unbalanced journals are held back until corrected.</w:t>
      </w:r>
    </w:p>
    <w:p w14:paraId="0DF70E97" w14:textId="76A40E38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Exported booking date</w:t>
      </w:r>
      <w:r>
        <w:t xml:space="preserve"> — a journal booked in a closed period keeps its real date internally but is exported with the first day of the current (open) period. Gapless close compliance.</w:t>
      </w:r>
    </w:p>
    <w:p w14:paraId="0DF70E98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Map</w:t>
      </w:r>
      <w:r>
        <w:t xml:space="preserve"> each line’s pseudo account to its external GL account and carry its ledger and dimensions.</w:t>
      </w:r>
    </w:p>
    <w:p w14:paraId="0DF70E99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Summarise</w:t>
      </w:r>
      <w:r>
        <w:t xml:space="preserve"> per the integration’s setting: full detail, net all accounts, or per-account (each pseudo account decides), keeping only the chosen dimensions.</w:t>
      </w:r>
    </w:p>
    <w:p w14:paraId="0DF70E9A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Assign vouchers</w:t>
      </w:r>
      <w:r>
        <w:t xml:space="preserve"> — each journal takes the next number in its ledger’s gapless series (or the entity GLI number if the ledger has none).</w:t>
      </w:r>
    </w:p>
    <w:p w14:paraId="0DF70E9B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Produce a balanced batch</w:t>
      </w:r>
      <w:r>
        <w:t xml:space="preserve">, stamp exportDate on the journals (so they are not re-exported), and hand it to the transport.</w:t>
      </w:r>
    </w:p>
    <w:p w14:paraId="0DF70E9C" w14:textId="77777777" w:rsidR="00284ECA" w:rsidRDefault="00000000">
      <w:pPr>
        <w:pStyle w:val="Heading1"/>
      </w:pPr>
      <w:bookmarkStart w:id="5" w:name="_Toc235509023"/>
      <w:r>
        <w:t>5  Configuration model</w:t>
      </w:r>
      <w:bookmarkEnd w:id="5"/>
    </w:p>
    <w:p w14:paraId="0DF70E9D" w14:textId="77777777" w:rsidR="00284ECA" w:rsidRDefault="00000000">
      <w:pPr>
        <w:spacing w:after="120" w:line="276" w:lineRule="auto"/>
      </w:pPr>
      <w:r>
        <w:t>Each legal entity has one or more GL integrations. An integration is the single home for both delivery and content configuration:</w:t>
      </w:r>
    </w:p>
    <w:tbl>
      <w:tblPr>
        <w:tblW w:w="9360" w:type="dxa"/>
        <w:tblBorders>
          <w:top w:val="single" w:sz="4" w:space="0" w:color="D9D6E0"/>
          <w:left w:val="single" w:sz="4" w:space="0" w:color="D9D6E0"/>
          <w:bottom w:val="single" w:sz="4" w:space="0" w:color="D9D6E0"/>
          <w:right w:val="single" w:sz="4" w:space="0" w:color="D9D6E0"/>
          <w:insideH w:val="single" w:sz="4" w:space="0" w:color="D9D6E0"/>
          <w:insideV w:val="single" w:sz="4" w:space="0" w:color="D9D6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84ECA" w14:paraId="0DF70E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5B2A8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9E" w14:textId="77777777" w:rsidR="00284ECA" w:rsidRDefault="00000000">
            <w:r>
              <w:rPr>
                <w:b/>
                <w:bCs/>
                <w:color w:val="FFFFFF"/>
                <w:sz w:val="19"/>
                <w:szCs w:val="19"/>
              </w:rPr>
              <w:t>Setting</w:t>
            </w:r>
          </w:p>
        </w:tc>
        <w:tc>
          <w:tcPr>
            <w:tcW w:w="6960" w:type="dxa"/>
            <w:shd w:val="clear" w:color="auto" w:fill="5B2A8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9F" w14:textId="77777777" w:rsidR="00284ECA" w:rsidRDefault="00000000">
            <w:r>
              <w:rPr>
                <w:b/>
                <w:bCs/>
                <w:color w:val="FFFFFF"/>
                <w:sz w:val="19"/>
                <w:szCs w:val="19"/>
              </w:rPr>
              <w:t>Options / meaning</w:t>
            </w:r>
          </w:p>
        </w:tc>
      </w:tr>
      <w:tr w:rsidR="00284ECA" w14:paraId="0DF70E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A1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Target GL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A2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Free text — e.g. Generic, Visma, SAP.</w:t>
            </w:r>
          </w:p>
        </w:tc>
      </w:tr>
      <w:tr w:rsidR="00284ECA" w14:paraId="0DF70E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A4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Format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A5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CSV or JSON today (SIE / XBRL GL / SAP payload are future renderers).</w:t>
            </w:r>
          </w:p>
        </w:tc>
      </w:tr>
      <w:tr w:rsidR="00284ECA" w14:paraId="0DF70E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A7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Transport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A8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File, API, or Queue.</w:t>
            </w:r>
          </w:p>
        </w:tc>
      </w:tr>
      <w:tr w:rsidR="00284ECA" w14:paraId="0DF70E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AA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Ledger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AB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ALL (every ledger on the entity) or a specific ledger. ALL is the End-of-Month default.</w:t>
            </w:r>
          </w:p>
        </w:tc>
      </w:tr>
      <w:tr w:rsidR="00284ECA" w14:paraId="0DF70E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AD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Execution type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AE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Manual only, or End of Month (runs automatically at close; a manual run is always available).</w:t>
            </w:r>
          </w:p>
        </w:tc>
      </w:tr>
      <w:tr w:rsidR="00284ECA" w14:paraId="0DF70E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B0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Summarisation</w:t>
            </w:r>
          </w:p>
        </w:tc>
        <w:tc>
          <w:tcPr>
            <w:tcW w:w="6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B1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Full detail / Summarised (net all accounts) / Per-account, plus which dimensions survive.</w:t>
            </w:r>
          </w:p>
        </w:tc>
      </w:tr>
    </w:tbl>
    <w:p w14:paraId="0DF70EB3" w14:textId="77777777" w:rsidR="00284ECA" w:rsidRDefault="00000000">
      <w:pPr>
        <w:spacing w:after="120" w:line="276" w:lineRule="auto"/>
      </w:pPr>
      <w:r>
        <w:rPr>
          <w:b/>
          <w:bCs/>
        </w:rPr>
        <w:t xml:space="preserve">Export voucher series </w:t>
      </w:r>
      <w:r>
        <w:t>is configured per (legal entity, ledger): an optional prefix + next number giving each target GL a gapless sequence. A ledger without its own series falls back to the entity’s GLI number. Multiple integrations per entity are supported (e.g. Local Legal → Visma and US GAAP → SAP as separate integrations).</w:t>
      </w:r>
    </w:p>
    <w:p w14:paraId="0DF70EB4" w14:textId="77777777" w:rsidR="00284ECA" w:rsidRDefault="00000000">
      <w:pPr>
        <w:pStyle w:val="Heading1"/>
      </w:pPr>
      <w:bookmarkStart w:id="6" w:name="_Toc235509024"/>
      <w:r>
        <w:t>6  Transport options — current state</w:t>
      </w:r>
      <w:bookmarkEnd w:id="6"/>
    </w:p>
    <w:p w14:paraId="0DF70EB5" w14:textId="77777777" w:rsidR="00284ECA" w:rsidRDefault="00000000">
      <w:pPr>
        <w:spacing w:after="120" w:line="276" w:lineRule="auto"/>
      </w:pPr>
      <w:r>
        <w:t>The prototype implements the configuration and lifecycle, but delivery itself is simulated in the browser:</w:t>
      </w:r>
    </w:p>
    <w:p w14:paraId="0DF70EB6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File</w:t>
      </w:r>
      <w:r>
        <w:t xml:space="preserve"> — the run produces a downloadable CSV / JSON batch. It is not yet written to the configured file location / SFTP.</w:t>
      </w:r>
    </w:p>
    <w:p w14:paraId="0DF70EB7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API</w:t>
      </w:r>
      <w:r>
        <w:t xml:space="preserve"> and </w:t>
      </w:r>
      <w:r>
        <w:rPr>
          <w:b/>
          <w:bCs/>
        </w:rPr>
        <w:t>Queue</w:t>
      </w:r>
      <w:r>
        <w:t xml:space="preserve"> — selectable, and drive the delivery lifecycle, but the send is simulated (a button, not a real endpoint).</w:t>
      </w:r>
    </w:p>
    <w:p w14:paraId="0DF70EB8" w14:textId="77777777" w:rsidR="00284ECA" w:rsidRDefault="00000000">
      <w:pPr>
        <w:spacing w:after="120" w:line="276" w:lineRule="auto"/>
      </w:pPr>
      <w:r>
        <w:rPr>
          <w:i/>
          <w:iCs/>
          <w:color w:val="5A6472"/>
        </w:rPr>
        <w:t>In short: File is the only transport with behaviour today (as a download), and API / Queue are the production transport work described in section 8.</w:t>
      </w:r>
    </w:p>
    <w:p w14:paraId="0DF70EB9" w14:textId="77777777" w:rsidR="00284ECA" w:rsidRDefault="00000000">
      <w:pPr>
        <w:pStyle w:val="Heading1"/>
      </w:pPr>
      <w:bookmarkStart w:id="7" w:name="_Toc235509025"/>
      <w:r>
        <w:t>7  Delivery lifecycle</w:t>
      </w:r>
      <w:bookmarkEnd w:id="7"/>
    </w:p>
    <w:p w14:paraId="0DF70EBA" w14:textId="77777777" w:rsidR="00284ECA" w:rsidRDefault="00000000">
      <w:pPr>
        <w:spacing w:after="120" w:line="276" w:lineRule="auto"/>
      </w:pPr>
      <w:r>
        <w:t>Every batch carries a transport and a status. This models what a real integration needs, and is already wired for API / Queue in the prototype:</w:t>
      </w:r>
    </w:p>
    <w:p w14:paraId="0DF70EBB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lastRenderedPageBreak/>
        <w:t>Exported</w:t>
      </w:r>
      <w:r>
        <w:t xml:space="preserve"> — the batch was produced. For File transport this is terminal (the file is the delivery).</w:t>
      </w:r>
    </w:p>
    <w:p w14:paraId="0DF70EBC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Acknowledged</w:t>
      </w:r>
      <w:r>
        <w:t xml:space="preserve"> — the GL confirmed receipt; the batch stores the returned reference (GL document number / message id) and a timestamp.</w:t>
      </w:r>
    </w:p>
    <w:p w14:paraId="0DF70EBD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Failed</w:t>
      </w:r>
      <w:r>
        <w:t xml:space="preserve"> — the transport reported an error, with a reason; the batch is re-sendable. Each attempt is counted.</w:t>
      </w:r>
    </w:p>
    <w:p w14:paraId="0DF70EBE" w14:textId="77777777" w:rsidR="00284ECA" w:rsidRDefault="00000000">
      <w:pPr>
        <w:spacing w:after="120" w:line="276" w:lineRule="auto"/>
      </w:pPr>
      <w:r>
        <w:t>Re-send moves a Failed batch back through send → Acknowledged. The batch id is the natural idempotency key so a re-send never double-posts.</w:t>
      </w:r>
    </w:p>
    <w:p w14:paraId="0DF70EBF" w14:textId="77777777" w:rsidR="00284ECA" w:rsidRDefault="00000000">
      <w:r>
        <w:br w:type="page"/>
      </w:r>
    </w:p>
    <w:p w14:paraId="0DF70EC0" w14:textId="77777777" w:rsidR="00284ECA" w:rsidRDefault="00000000">
      <w:pPr>
        <w:pStyle w:val="Heading1"/>
      </w:pPr>
      <w:bookmarkStart w:id="8" w:name="_Toc235509026"/>
      <w:r>
        <w:lastRenderedPageBreak/>
        <w:t>8  Taking API / Queue to production</w:t>
      </w:r>
      <w:bookmarkEnd w:id="8"/>
    </w:p>
    <w:p w14:paraId="0DF70EC1" w14:textId="77777777" w:rsidR="00284ECA" w:rsidRDefault="00000000">
      <w:pPr>
        <w:spacing w:after="120" w:line="276" w:lineRule="auto"/>
      </w:pPr>
      <w:r>
        <w:t>The accounting logic is the hard part and it is done. Production is mostly infrastructure and per-GL connector work, and it must run server-side.</w:t>
      </w:r>
    </w:p>
    <w:p w14:paraId="0DF70EC2" w14:textId="77777777" w:rsidR="00284ECA" w:rsidRDefault="00000000">
      <w:pPr>
        <w:pStyle w:val="Heading2"/>
      </w:pPr>
      <w:bookmarkStart w:id="9" w:name="_Toc235509027"/>
      <w:r>
        <w:t>8.1  Move the transport off the browser</w:t>
      </w:r>
      <w:bookmarkEnd w:id="9"/>
    </w:p>
    <w:p w14:paraId="0DF70EC3" w14:textId="77777777" w:rsidR="00284ECA" w:rsidRDefault="00000000">
      <w:pPr>
        <w:spacing w:after="120" w:line="276" w:lineRule="auto"/>
      </w:pPr>
      <w:r>
        <w:t>A real API / Queue push cannot run in the browser — no cross-origin access to a GL, nowhere safe to hold credentials, no reliable retries, no audit trail. The export engine (canonical batch, vouchers, mapping) stays as the domain layer; a server component (the One Credit Engine .NET Service) performs the actual send. The web app remains the configuration and monitoring surface.</w:t>
      </w:r>
    </w:p>
    <w:p w14:paraId="0DF70EC4" w14:textId="77777777" w:rsidR="00284ECA" w:rsidRDefault="00000000">
      <w:pPr>
        <w:pStyle w:val="Heading2"/>
      </w:pPr>
      <w:bookmarkStart w:id="10" w:name="_Toc235509028"/>
      <w:r>
        <w:t>8.2  A connector per target general ledger</w:t>
      </w:r>
      <w:bookmarkEnd w:id="10"/>
    </w:p>
    <w:p w14:paraId="0DF70EC5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Endpoints</w:t>
      </w:r>
      <w:r>
        <w:t xml:space="preserve"> per environment (test / production base URLs).</w:t>
      </w:r>
    </w:p>
    <w:p w14:paraId="0DF70EC6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Authentication</w:t>
      </w:r>
      <w:r>
        <w:t xml:space="preserve"> — typically OAuth2 client-credentials (Visma.net, Dynamics, NetSuite), API keys, or certificates / technical users (SAP OData / BAPI), with token acquisition and refresh.</w:t>
      </w:r>
    </w:p>
    <w:p w14:paraId="0DF70EC7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Payload mapping</w:t>
      </w:r>
      <w:r>
        <w:t xml:space="preserve"> from the canonical batch to the GL’s exact schema — document type, company code, posting keys, account-code lengths, date / decimal formats, dimension-to-segment mapping, currency and tax codes.</w:t>
      </w:r>
    </w:p>
    <w:p w14:paraId="0DF70EC8" w14:textId="77777777" w:rsidR="00284ECA" w:rsidRDefault="00000000">
      <w:pPr>
        <w:pStyle w:val="Heading2"/>
      </w:pPr>
      <w:bookmarkStart w:id="11" w:name="_Toc235509029"/>
      <w:r>
        <w:t>8.3  Secrets management</w:t>
      </w:r>
      <w:bookmarkEnd w:id="11"/>
    </w:p>
    <w:p w14:paraId="0DF70EC9" w14:textId="77777777" w:rsidR="00284ECA" w:rsidRDefault="00000000">
      <w:pPr>
        <w:spacing w:after="120" w:line="276" w:lineRule="auto"/>
      </w:pPr>
      <w:r>
        <w:t>Client secrets, certificates and connection strings — per legal entity / per integration — stored in a secrets vault (e.g. Azure Key Vault), never in the application or database in plain text.</w:t>
      </w:r>
    </w:p>
    <w:p w14:paraId="0DF70ECA" w14:textId="77777777" w:rsidR="00284ECA" w:rsidRDefault="00000000">
      <w:pPr>
        <w:pStyle w:val="Heading2"/>
      </w:pPr>
      <w:bookmarkStart w:id="12" w:name="_Toc235509030"/>
      <w:r>
        <w:t>8.4  Idempotency &amp; acknowledgement</w:t>
      </w:r>
      <w:bookmarkEnd w:id="12"/>
    </w:p>
    <w:p w14:paraId="0DF70ECB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Idempotency key</w:t>
      </w:r>
      <w:r>
        <w:t xml:space="preserve"> on every send (the batch id fits) so a re-send never double-posts; the GL honours it, or the server checks delivery status before re-sending.</w:t>
      </w:r>
    </w:p>
    <w:p w14:paraId="0DF70ECC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Synchronous ack (REST)</w:t>
      </w:r>
      <w:r>
        <w:t xml:space="preserve"> — the HTTP 200 + response body is the acknowledgement; store the GL’s returned document number against the batch.</w:t>
      </w:r>
    </w:p>
    <w:p w14:paraId="0DF70ECD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Asynchronous ack (Queue / async API)</w:t>
      </w:r>
      <w:r>
        <w:t xml:space="preserve"> — the GL processes later and reports back via webhook, response queue, or status polling; correlate by batch id and flip the status when the result arrives.</w:t>
      </w:r>
    </w:p>
    <w:p w14:paraId="0DF70ECE" w14:textId="77777777" w:rsidR="00284ECA" w:rsidRDefault="00000000">
      <w:pPr>
        <w:pStyle w:val="Heading2"/>
      </w:pPr>
      <w:bookmarkStart w:id="13" w:name="_Toc235509031"/>
      <w:r>
        <w:t>8.5  Queue specifics</w:t>
      </w:r>
      <w:bookmarkEnd w:id="13"/>
    </w:p>
    <w:p w14:paraId="0DF70ECF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A real broker</w:t>
      </w:r>
      <w:r>
        <w:t xml:space="preserve"> (Azure Service Bus / Kafka / RabbitMQ), with topic / queue configuration.</w:t>
      </w:r>
    </w:p>
    <w:p w14:paraId="0DF70ED0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A consumer</w:t>
      </w:r>
      <w:r>
        <w:t xml:space="preserve"> — the GL’s listener or integration middleware (iPaaS).</w:t>
      </w:r>
    </w:p>
    <w:p w14:paraId="0DF70ED1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A dead-letter queue</w:t>
      </w:r>
      <w:r>
        <w:t xml:space="preserve"> for failures, and an idempotent consumer (at-least-once delivery means duplicates happen).</w:t>
      </w:r>
    </w:p>
    <w:p w14:paraId="0DF70ED2" w14:textId="77777777" w:rsidR="00284ECA" w:rsidRDefault="00000000">
      <w:pPr>
        <w:pStyle w:val="Heading2"/>
      </w:pPr>
      <w:bookmarkStart w:id="14" w:name="_Toc235509032"/>
      <w:r>
        <w:t>8.6  Reliability &amp; operations</w:t>
      </w:r>
      <w:bookmarkEnd w:id="14"/>
    </w:p>
    <w:p w14:paraId="0DF70ED3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Retry policy</w:t>
      </w:r>
      <w:r>
        <w:t xml:space="preserve"> — distinguish transient (503 / timeout → retry with backoff) from permanent (invalid account, closed GL period → surface to an operator).</w:t>
      </w:r>
    </w:p>
    <w:p w14:paraId="0DF70ED4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Monitoring &amp; alerting</w:t>
      </w:r>
      <w:r>
        <w:t xml:space="preserve"> when a batch fails or is not acknowledged within SLA.</w:t>
      </w:r>
    </w:p>
    <w:p w14:paraId="0DF70ED5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Full audit log</w:t>
      </w:r>
      <w:r>
        <w:t xml:space="preserve"> of every attempt (who, when, request, response) — required for financial audit; pairs with the gapless voucher series.</w:t>
      </w:r>
    </w:p>
    <w:p w14:paraId="0DF70ED6" w14:textId="77777777" w:rsidR="00284ECA" w:rsidRDefault="00000000">
      <w:pPr>
        <w:pStyle w:val="Heading2"/>
      </w:pPr>
      <w:bookmarkStart w:id="15" w:name="_Toc235509033"/>
      <w:r>
        <w:t>8.7  Validation &amp; reconciliation</w:t>
      </w:r>
      <w:bookmarkEnd w:id="15"/>
    </w:p>
    <w:p w14:paraId="0DF70ED7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Pre-send validation</w:t>
      </w:r>
      <w:r>
        <w:t xml:space="preserve"> — balanced, account exists in the GL, period open in the GL.</w:t>
      </w:r>
    </w:p>
    <w:p w14:paraId="0DF70ED8" w14:textId="77777777" w:rsidR="00284EC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lastRenderedPageBreak/>
        <w:t>Post-send reconciliation</w:t>
      </w:r>
      <w:r>
        <w:t xml:space="preserve"> — confirm the GL posted what was sent (totals match) and capture rejects with the GL’s reason.</w:t>
      </w:r>
    </w:p>
    <w:p w14:paraId="0DF70ED9" w14:textId="77777777" w:rsidR="00284ECA" w:rsidRDefault="00000000">
      <w:pPr>
        <w:pStyle w:val="Heading1"/>
      </w:pPr>
      <w:bookmarkStart w:id="16" w:name="_Toc235509034"/>
      <w:r>
        <w:t>9  Connector interface sketch</w:t>
      </w:r>
      <w:bookmarkEnd w:id="16"/>
    </w:p>
    <w:p w14:paraId="0DF70EDA" w14:textId="77777777" w:rsidR="00284ECA" w:rsidRDefault="00000000">
      <w:pPr>
        <w:spacing w:after="120" w:line="276" w:lineRule="auto"/>
      </w:pPr>
      <w:r>
        <w:t>A minimal server-side contract each GL connector implements. It keeps the transport pluggable behind the same domain batch:</w:t>
      </w:r>
    </w:p>
    <w:tbl>
      <w:tblPr>
        <w:tblW w:w="9360" w:type="dxa"/>
        <w:tblBorders>
          <w:top w:val="single" w:sz="4" w:space="0" w:color="D9D6E0"/>
          <w:left w:val="single" w:sz="4" w:space="0" w:color="D9D6E0"/>
          <w:bottom w:val="single" w:sz="4" w:space="0" w:color="D9D6E0"/>
          <w:right w:val="single" w:sz="4" w:space="0" w:color="D9D6E0"/>
          <w:insideH w:val="single" w:sz="4" w:space="0" w:color="D9D6E0"/>
          <w:insideV w:val="single" w:sz="4" w:space="0" w:color="D9D6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4ECA" w14:paraId="0DF70E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1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F70EDB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public interface IGlTransport</w:t>
            </w:r>
          </w:p>
          <w:p w14:paraId="0DF70EDC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0DF70EDD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string Name { get; }              // "SAP", "Visma.net", ...</w:t>
            </w:r>
          </w:p>
          <w:p w14:paraId="0DF70EDE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TransportKind Kind { get; }       // File | Api | Queue</w:t>
            </w:r>
          </w:p>
          <w:p w14:paraId="0DF70EDF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DF70EE0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Deliver a balanced batch. Idempotent on batch.Id.</w:t>
            </w:r>
          </w:p>
          <w:p w14:paraId="0DF70EE1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Task&lt;DeliveryResult&gt; SendAsync(</w:t>
            </w:r>
          </w:p>
          <w:p w14:paraId="0DF70EE2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ExportBatch batch,</w:t>
            </w:r>
          </w:p>
          <w:p w14:paraId="0DF70EE3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IntegrationConfig config,</w:t>
            </w:r>
          </w:p>
          <w:p w14:paraId="0DF70EE4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CancellationToken ct);</w:t>
            </w:r>
          </w:p>
          <w:p w14:paraId="0DF70EE5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0DF70EE6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DF70EE7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public enum TransportKind { File, Api, Queue }</w:t>
            </w:r>
          </w:p>
          <w:p w14:paraId="0DF70EE8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public enum DeliveryStatus { Acknowledged, Failed, Pending }</w:t>
            </w:r>
          </w:p>
          <w:p w14:paraId="0DF70EE9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DF70EEA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public record DeliveryResult(</w:t>
            </w:r>
          </w:p>
          <w:p w14:paraId="0DF70EEB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DeliveryStatus Status,</w:t>
            </w:r>
          </w:p>
          <w:p w14:paraId="0DF70EEC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string? Reference,   // GL document number / message id</w:t>
            </w:r>
          </w:p>
          <w:p w14:paraId="0DF70EED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string? Error,       // reason on failure</w:t>
            </w:r>
          </w:p>
          <w:p w14:paraId="0DF70EEE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bool Retryable);     // transient vs permanent</w:t>
            </w:r>
          </w:p>
          <w:p w14:paraId="0DF70EEF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DF70EF0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// For asynchronous GLs: the connector reports back later,</w:t>
            </w:r>
          </w:p>
          <w:p w14:paraId="0DF70EF1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// correlating on the batch reference.</w:t>
            </w:r>
          </w:p>
          <w:p w14:paraId="0DF70EF2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public interface IGlAckHandler</w:t>
            </w:r>
          </w:p>
          <w:p w14:paraId="0DF70EF3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0DF70EF4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Task OnAckAsync(string batchRef, DeliveryResult result,</w:t>
            </w:r>
          </w:p>
          <w:p w14:paraId="0DF70EF5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CancellationToken ct);</w:t>
            </w:r>
          </w:p>
          <w:p w14:paraId="0DF70EF6" w14:textId="77777777" w:rsidR="00284ECA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0DF70EF8" w14:textId="77777777" w:rsidR="00284ECA" w:rsidRDefault="00000000">
      <w:pPr>
        <w:pStyle w:val="Heading1"/>
      </w:pPr>
      <w:bookmarkStart w:id="17" w:name="_Toc235509035"/>
      <w:r>
        <w:t>10  What exists vs. what is net-new</w:t>
      </w:r>
      <w:bookmarkEnd w:id="17"/>
    </w:p>
    <w:tbl>
      <w:tblPr>
        <w:tblW w:w="9360" w:type="dxa"/>
        <w:tblBorders>
          <w:top w:val="single" w:sz="4" w:space="0" w:color="D9D6E0"/>
          <w:left w:val="single" w:sz="4" w:space="0" w:color="D9D6E0"/>
          <w:bottom w:val="single" w:sz="4" w:space="0" w:color="D9D6E0"/>
          <w:right w:val="single" w:sz="4" w:space="0" w:color="D9D6E0"/>
          <w:insideH w:val="single" w:sz="4" w:space="0" w:color="D9D6E0"/>
          <w:insideV w:val="single" w:sz="4" w:space="0" w:color="D9D6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84ECA" w14:paraId="0DF70E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5B2A8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F9" w14:textId="77777777" w:rsidR="00284ECA" w:rsidRDefault="00000000">
            <w:r>
              <w:rPr>
                <w:b/>
                <w:bCs/>
                <w:color w:val="FFFFFF"/>
                <w:sz w:val="19"/>
                <w:szCs w:val="19"/>
              </w:rPr>
              <w:t>Already built (domain-correct)</w:t>
            </w:r>
          </w:p>
        </w:tc>
        <w:tc>
          <w:tcPr>
            <w:tcW w:w="4680" w:type="dxa"/>
            <w:shd w:val="clear" w:color="auto" w:fill="5B2A8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FA" w14:textId="77777777" w:rsidR="00284ECA" w:rsidRDefault="00000000">
            <w:r>
              <w:rPr>
                <w:b/>
                <w:bCs/>
                <w:color w:val="FFFFFF"/>
                <w:sz w:val="19"/>
                <w:szCs w:val="19"/>
              </w:rPr>
              <w:t>Net-new for production</w:t>
            </w:r>
          </w:p>
        </w:tc>
      </w:tr>
      <w:tr w:rsidR="00284ECA" w14:paraId="0DF70E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FC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Canonical balanced batch; pseudo → external mapping; dimensions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FD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Per-GL connector + payload mapping</w:t>
            </w:r>
          </w:p>
        </w:tc>
      </w:tr>
      <w:tr w:rsidR="00284ECA" w14:paraId="0DF70F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EFF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Per-ledger gapless vouchers; exportDate; closed-period rule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00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Authentication + secrets vault</w:t>
            </w:r>
          </w:p>
        </w:tc>
      </w:tr>
      <w:tr w:rsidR="00284ECA" w14:paraId="0DF70F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02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Status lifecycle (Exported / Acknowledged / Failed); re-send; batch id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03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Real send (server-side); async ack correlation</w:t>
            </w:r>
          </w:p>
        </w:tc>
      </w:tr>
      <w:tr w:rsidR="00284ECA" w14:paraId="0DF70F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05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Configuration + monitoring UI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06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Broker / dead-letter queue; retry / alerting; audit log</w:t>
            </w:r>
          </w:p>
        </w:tc>
      </w:tr>
    </w:tbl>
    <w:p w14:paraId="0DF70F08" w14:textId="77777777" w:rsidR="00284ECA" w:rsidRDefault="00000000">
      <w:pPr>
        <w:spacing w:after="120" w:line="276" w:lineRule="auto"/>
      </w:pPr>
      <w:r>
        <w:rPr>
          <w:i/>
          <w:iCs/>
          <w:color w:val="5A6472"/>
        </w:rPr>
        <w:t>This is not a rewrite — the accounting logic is complete. Production is infrastructure and per-GL connector work on the server, with the web app kept as the control panel.</w:t>
      </w:r>
    </w:p>
    <w:p w14:paraId="0DF70F09" w14:textId="77777777" w:rsidR="00284ECA" w:rsidRDefault="00000000">
      <w:pPr>
        <w:pStyle w:val="Heading1"/>
      </w:pPr>
      <w:bookmarkStart w:id="18" w:name="_Toc235509036"/>
      <w:r>
        <w:t>11  Roadmap</w:t>
      </w:r>
      <w:bookmarkEnd w:id="18"/>
    </w:p>
    <w:tbl>
      <w:tblPr>
        <w:tblW w:w="9360" w:type="dxa"/>
        <w:tblBorders>
          <w:top w:val="single" w:sz="4" w:space="0" w:color="D9D6E0"/>
          <w:left w:val="single" w:sz="4" w:space="0" w:color="D9D6E0"/>
          <w:bottom w:val="single" w:sz="4" w:space="0" w:color="D9D6E0"/>
          <w:right w:val="single" w:sz="4" w:space="0" w:color="D9D6E0"/>
          <w:insideH w:val="single" w:sz="4" w:space="0" w:color="D9D6E0"/>
          <w:insideV w:val="single" w:sz="4" w:space="0" w:color="D9D6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360"/>
        <w:gridCol w:w="1500"/>
      </w:tblGrid>
      <w:tr w:rsidR="00284ECA" w14:paraId="0DF70F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5B2A8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0A" w14:textId="77777777" w:rsidR="00284ECA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6360" w:type="dxa"/>
            <w:shd w:val="clear" w:color="auto" w:fill="5B2A8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0B" w14:textId="77777777" w:rsidR="00284ECA" w:rsidRDefault="00000000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  <w:tc>
          <w:tcPr>
            <w:tcW w:w="1500" w:type="dxa"/>
            <w:shd w:val="clear" w:color="auto" w:fill="5B2A8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0C" w14:textId="77777777" w:rsidR="00284ECA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84ECA" w14:paraId="0DF70F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0E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0F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Export engine + manual / End-of-Month run; balanced batch; CSV / JSON; exportDate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10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Done</w:t>
            </w:r>
          </w:p>
        </w:tc>
      </w:tr>
      <w:tr w:rsidR="00284ECA" w14:paraId="0DF70F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12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13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Integration profile; formats; summarisation incl. per-account &amp; kept dimensions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14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Done</w:t>
            </w:r>
          </w:p>
        </w:tc>
      </w:tr>
      <w:tr w:rsidR="00284ECA" w14:paraId="0DF70F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16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2.1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17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Per-ledger gapless voucher series (audit); ledger picker; multiple integrations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18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Done</w:t>
            </w:r>
          </w:p>
        </w:tc>
      </w:tr>
      <w:tr w:rsidR="00284ECA" w14:paraId="0DF70F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1A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3 (started)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1B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Delivery lifecycle + simulated API / Queue send / re-send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1C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Prototype</w:t>
            </w:r>
          </w:p>
        </w:tc>
      </w:tr>
      <w:tr w:rsidR="00284ECA" w14:paraId="0DF70F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1E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3 (production)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1F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Server-side connectors; auth / secrets; real File drop; broker; reconciliation view; scheduled trigger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0F20" w14:textId="77777777" w:rsidR="00284ECA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Planned</w:t>
            </w:r>
          </w:p>
        </w:tc>
      </w:tr>
    </w:tbl>
    <w:p w14:paraId="0DF70F22" w14:textId="77777777" w:rsidR="00284ECA" w:rsidRDefault="00284ECA">
      <w:pPr>
        <w:pBdr>
          <w:bottom w:val="single" w:sz="6" w:space="0" w:color="D9D6E0"/>
        </w:pBdr>
        <w:spacing w:after="160"/>
      </w:pPr>
    </w:p>
    <w:p w14:paraId="0DF70F23" w14:textId="77777777" w:rsidR="00284ECA" w:rsidRDefault="00000000">
      <w:r>
        <w:rPr>
          <w:color w:val="5A6472"/>
          <w:sz w:val="16"/>
          <w:szCs w:val="16"/>
        </w:rPr>
        <w:t>Tieto  ·  One Credit Engine Accounting Domain  ·  GL Integration design reference</w:t>
      </w:r>
    </w:p>
    <w:sectPr w:rsidR="00284ECA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B5783"/>
    <w:multiLevelType w:val="hybridMultilevel"/>
    <w:tmpl w:val="6ADAC0E4"/>
    <w:lvl w:ilvl="0" w:tplc="A0D82C5A">
      <w:start w:val="1"/>
      <w:numFmt w:val="bullet"/>
      <w:lvlText w:val="●"/>
      <w:lvlJc w:val="left"/>
      <w:pPr>
        <w:ind w:left="720" w:hanging="360"/>
      </w:pPr>
    </w:lvl>
    <w:lvl w:ilvl="1" w:tplc="01080398">
      <w:start w:val="1"/>
      <w:numFmt w:val="bullet"/>
      <w:lvlText w:val="○"/>
      <w:lvlJc w:val="left"/>
      <w:pPr>
        <w:ind w:left="1440" w:hanging="360"/>
      </w:pPr>
    </w:lvl>
    <w:lvl w:ilvl="2" w:tplc="164CAE84">
      <w:start w:val="1"/>
      <w:numFmt w:val="bullet"/>
      <w:lvlText w:val="■"/>
      <w:lvlJc w:val="left"/>
      <w:pPr>
        <w:ind w:left="2160" w:hanging="360"/>
      </w:pPr>
    </w:lvl>
    <w:lvl w:ilvl="3" w:tplc="74B822B0">
      <w:start w:val="1"/>
      <w:numFmt w:val="bullet"/>
      <w:lvlText w:val="●"/>
      <w:lvlJc w:val="left"/>
      <w:pPr>
        <w:ind w:left="2880" w:hanging="360"/>
      </w:pPr>
    </w:lvl>
    <w:lvl w:ilvl="4" w:tplc="042E91B8">
      <w:start w:val="1"/>
      <w:numFmt w:val="bullet"/>
      <w:lvlText w:val="○"/>
      <w:lvlJc w:val="left"/>
      <w:pPr>
        <w:ind w:left="3600" w:hanging="360"/>
      </w:pPr>
    </w:lvl>
    <w:lvl w:ilvl="5" w:tplc="ED58FA50">
      <w:start w:val="1"/>
      <w:numFmt w:val="bullet"/>
      <w:lvlText w:val="■"/>
      <w:lvlJc w:val="left"/>
      <w:pPr>
        <w:ind w:left="4320" w:hanging="360"/>
      </w:pPr>
    </w:lvl>
    <w:lvl w:ilvl="6" w:tplc="985EC586">
      <w:start w:val="1"/>
      <w:numFmt w:val="bullet"/>
      <w:lvlText w:val="●"/>
      <w:lvlJc w:val="left"/>
      <w:pPr>
        <w:ind w:left="5040" w:hanging="360"/>
      </w:pPr>
    </w:lvl>
    <w:lvl w:ilvl="7" w:tplc="23F8546A">
      <w:start w:val="1"/>
      <w:numFmt w:val="bullet"/>
      <w:lvlText w:val="●"/>
      <w:lvlJc w:val="left"/>
      <w:pPr>
        <w:ind w:left="5760" w:hanging="360"/>
      </w:pPr>
    </w:lvl>
    <w:lvl w:ilvl="8" w:tplc="F5E4F7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8D30BC"/>
    <w:multiLevelType w:val="hybridMultilevel"/>
    <w:tmpl w:val="BF34A94A"/>
    <w:lvl w:ilvl="0" w:tplc="F8BA92C6">
      <w:start w:val="1"/>
      <w:numFmt w:val="bullet"/>
      <w:lvlText w:val="•"/>
      <w:lvlJc w:val="left"/>
      <w:pPr>
        <w:ind w:left="340" w:hanging="220"/>
      </w:pPr>
    </w:lvl>
    <w:lvl w:ilvl="1" w:tplc="5B56589C">
      <w:start w:val="1"/>
      <w:numFmt w:val="bullet"/>
      <w:lvlText w:val="–"/>
      <w:lvlJc w:val="left"/>
      <w:pPr>
        <w:ind w:left="700" w:hanging="220"/>
      </w:pPr>
    </w:lvl>
    <w:lvl w:ilvl="2" w:tplc="C9FA0E84">
      <w:numFmt w:val="decimal"/>
      <w:lvlText w:val=""/>
      <w:lvlJc w:val="left"/>
    </w:lvl>
    <w:lvl w:ilvl="3" w:tplc="226E3F4E">
      <w:numFmt w:val="decimal"/>
      <w:lvlText w:val=""/>
      <w:lvlJc w:val="left"/>
    </w:lvl>
    <w:lvl w:ilvl="4" w:tplc="F9AA8C64">
      <w:numFmt w:val="decimal"/>
      <w:lvlText w:val=""/>
      <w:lvlJc w:val="left"/>
    </w:lvl>
    <w:lvl w:ilvl="5" w:tplc="7ECCB9F2">
      <w:numFmt w:val="decimal"/>
      <w:lvlText w:val=""/>
      <w:lvlJc w:val="left"/>
    </w:lvl>
    <w:lvl w:ilvl="6" w:tplc="0658C60C">
      <w:numFmt w:val="decimal"/>
      <w:lvlText w:val=""/>
      <w:lvlJc w:val="left"/>
    </w:lvl>
    <w:lvl w:ilvl="7" w:tplc="685CF570">
      <w:numFmt w:val="decimal"/>
      <w:lvlText w:val=""/>
      <w:lvlJc w:val="left"/>
    </w:lvl>
    <w:lvl w:ilvl="8" w:tplc="8B62B51A">
      <w:numFmt w:val="decimal"/>
      <w:lvlText w:val=""/>
      <w:lvlJc w:val="left"/>
    </w:lvl>
  </w:abstractNum>
  <w:num w:numId="1" w16cid:durableId="735786062">
    <w:abstractNumId w:val="0"/>
    <w:lvlOverride w:ilvl="0">
      <w:startOverride w:val="1"/>
    </w:lvlOverride>
  </w:num>
  <w:num w:numId="2" w16cid:durableId="10151166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ECA"/>
    <w:rsid w:val="00284ECA"/>
    <w:rsid w:val="00E778A5"/>
    <w:rsid w:val="00FB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70E4C"/>
  <w15:docId w15:val="{7D0C257B-BF32-4406-BFE6-7D810B38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430"/>
        <w:sz w:val="21"/>
        <w:szCs w:val="21"/>
        <w:lang w:val="en-SE" w:eastAsia="en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5B2A86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9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B34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34C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1931</Words>
  <Characters>11010</Characters>
  <Application>Microsoft Office Word</Application>
  <DocSecurity>0</DocSecurity>
  <Lines>91</Lines>
  <Paragraphs>25</Paragraphs>
  <ScaleCrop>false</ScaleCrop>
  <Company/>
  <LinksUpToDate>false</LinksUpToDate>
  <CharactersWithSpaces>12916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Ledger Integration — Architecture &amp; Production Guide</dc:title>
  <dc:creator>Tieto</dc:creator>
  <cp:lastModifiedBy>Rikard Krameus</cp:lastModifiedBy>
  <cp:revision>2</cp:revision>
  <dcterms:created xsi:type="dcterms:W3CDTF">2026-07-20T08:34:00Z</dcterms:created>
  <dcterms:modified xsi:type="dcterms:W3CDTF">2026-07-21T04:53:00Z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623b29-abd1-4de3-a20c-27566d79b7c7_Enabled">
    <vt:lpwstr>true</vt:lpwstr>
  </property>
  <property fmtid="{D5CDD505-2E9C-101B-9397-08002B2CF9AE}" pid="3" name="MSIP_Label_3b623b29-abd1-4de3-a20c-27566d79b7c7_SetDate">
    <vt:lpwstr>2026-07-21T04:53:20Z</vt:lpwstr>
  </property>
  <property fmtid="{D5CDD505-2E9C-101B-9397-08002B2CF9AE}" pid="4" name="MSIP_Label_3b623b29-abd1-4de3-a20c-27566d79b7c7_Method">
    <vt:lpwstr>Standard</vt:lpwstr>
  </property>
  <property fmtid="{D5CDD505-2E9C-101B-9397-08002B2CF9AE}" pid="5" name="MSIP_Label_3b623b29-abd1-4de3-a20c-27566d79b7c7_Name">
    <vt:lpwstr>3b623b29-abd1-4de3-a20c-27566d79b7c7</vt:lpwstr>
  </property>
  <property fmtid="{D5CDD505-2E9C-101B-9397-08002B2CF9AE}" pid="6" name="MSIP_Label_3b623b29-abd1-4de3-a20c-27566d79b7c7_SiteId">
    <vt:lpwstr>cbede638-a3d9-459f-8f4e-24ced73b4e5e</vt:lpwstr>
  </property>
  <property fmtid="{D5CDD505-2E9C-101B-9397-08002B2CF9AE}" pid="7" name="MSIP_Label_3b623b29-abd1-4de3-a20c-27566d79b7c7_ActionId">
    <vt:lpwstr>98774fbd-3b6c-4907-a44a-26311518e7ab</vt:lpwstr>
  </property>
  <property fmtid="{D5CDD505-2E9C-101B-9397-08002B2CF9AE}" pid="8" name="MSIP_Label_3b623b29-abd1-4de3-a20c-27566d79b7c7_ContentBits">
    <vt:lpwstr>0</vt:lpwstr>
  </property>
  <property fmtid="{D5CDD505-2E9C-101B-9397-08002B2CF9AE}" pid="9" name="MSIP_Label_3b623b29-abd1-4de3-a20c-27566d79b7c7_Tag">
    <vt:lpwstr>10, 3, 0, 1</vt:lpwstr>
  </property>
</Properties>
</file>