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93A6" w14:textId="77777777" w:rsidR="00FB316F" w:rsidRDefault="00A77955">
      <w:pPr>
        <w:spacing w:after="60"/>
      </w:pPr>
      <w:r>
        <w:rPr>
          <w:b/>
          <w:bCs/>
          <w:color w:val="00395D"/>
          <w:sz w:val="30"/>
          <w:szCs w:val="30"/>
        </w:rPr>
        <w:t>tieto</w:t>
      </w:r>
      <w:r>
        <w:rPr>
          <w:color w:val="5A6472"/>
          <w:sz w:val="24"/>
          <w:szCs w:val="24"/>
        </w:rPr>
        <w:t xml:space="preserve">   |   One Credit Engine</w:t>
      </w:r>
    </w:p>
    <w:p w14:paraId="7D7793A7" w14:textId="77777777" w:rsidR="00FB316F" w:rsidRDefault="00A77955">
      <w:pPr>
        <w:spacing w:after="40"/>
      </w:pPr>
      <w:r>
        <w:rPr>
          <w:b/>
          <w:bCs/>
          <w:sz w:val="38"/>
          <w:szCs w:val="38"/>
        </w:rPr>
        <w:t>Data-model Outline</w:t>
      </w:r>
    </w:p>
    <w:p w14:paraId="7D7793A8" w14:textId="77777777" w:rsidR="00FB316F" w:rsidRDefault="00A77955">
      <w:pPr>
        <w:spacing w:after="200"/>
      </w:pPr>
      <w:r>
        <w:rPr>
          <w:color w:val="5A6472"/>
          <w:sz w:val="25"/>
          <w:szCs w:val="25"/>
        </w:rPr>
        <w:t>Candidate tables, keys &amp; relationships (from types.ts)</w:t>
      </w:r>
    </w:p>
    <w:p w14:paraId="7D7793A9" w14:textId="77777777" w:rsidR="00FB316F" w:rsidRDefault="00FB316F">
      <w:pPr>
        <w:pBdr>
          <w:bottom w:val="single" w:sz="8" w:space="0" w:color="00395D"/>
        </w:pBdr>
        <w:spacing w:after="200"/>
      </w:pPr>
    </w:p>
    <w:p w14:paraId="7D7793AA" w14:textId="77777777" w:rsidR="00FB316F" w:rsidRDefault="00A77955">
      <w:pPr>
        <w:spacing w:after="100"/>
      </w:pPr>
      <w:r>
        <w:rPr>
          <w:b/>
          <w:bCs/>
          <w:sz w:val="24"/>
          <w:szCs w:val="24"/>
        </w:rPr>
        <w:t>Contents</w:t>
      </w:r>
    </w:p>
    <w:sdt>
      <w:sdtPr>
        <w:alias w:val="Contents"/>
        <w:id w:val="1420138205"/>
      </w:sdtPr>
      <w:sdtEndPr/>
      <w:sdtContent>
        <w:p w14:paraId="6D2A4AA4" w14:textId="47C17FCF" w:rsidR="00B04CDC" w:rsidRDefault="00A77955">
          <w:pPr>
            <w:pStyle w:val="TOC1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736095" w:history="1">
            <w:r w:rsidR="00B04CDC" w:rsidRPr="007F7445">
              <w:rPr>
                <w:rStyle w:val="Hyperlink"/>
                <w:noProof/>
              </w:rPr>
              <w:t>1. How to read this</w:t>
            </w:r>
            <w:r w:rsidR="00B04CDC">
              <w:rPr>
                <w:noProof/>
              </w:rPr>
              <w:tab/>
            </w:r>
            <w:r w:rsidR="00B04CDC">
              <w:rPr>
                <w:noProof/>
              </w:rPr>
              <w:fldChar w:fldCharType="begin"/>
            </w:r>
            <w:r w:rsidR="00B04CDC">
              <w:rPr>
                <w:noProof/>
              </w:rPr>
              <w:instrText xml:space="preserve"> PAGEREF _Toc238736095 \h </w:instrText>
            </w:r>
            <w:r w:rsidR="00B04CDC">
              <w:rPr>
                <w:noProof/>
              </w:rPr>
            </w:r>
            <w:r w:rsidR="00B04CDC">
              <w:rPr>
                <w:noProof/>
              </w:rPr>
              <w:fldChar w:fldCharType="separate"/>
            </w:r>
            <w:r w:rsidR="00B04CDC">
              <w:rPr>
                <w:noProof/>
              </w:rPr>
              <w:t>2</w:t>
            </w:r>
            <w:r w:rsidR="00B04CDC">
              <w:rPr>
                <w:noProof/>
              </w:rPr>
              <w:fldChar w:fldCharType="end"/>
            </w:r>
          </w:hyperlink>
        </w:p>
        <w:p w14:paraId="0A7E6394" w14:textId="6DE24129" w:rsidR="00B04CDC" w:rsidRDefault="00B04CDC">
          <w:pPr>
            <w:pStyle w:val="TOC1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736096" w:history="1">
            <w:r w:rsidRPr="007F7445">
              <w:rPr>
                <w:rStyle w:val="Hyperlink"/>
                <w:noProof/>
              </w:rPr>
              <w:t>2. Reference &amp; configuration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_Toc238736096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DBECAC1" w14:textId="13372388" w:rsidR="00B04CDC" w:rsidRDefault="00B04CDC">
          <w:pPr>
            <w:pStyle w:val="TOC1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736097" w:history="1">
            <w:r w:rsidRPr="007F7445">
              <w:rPr>
                <w:rStyle w:val="Hyperlink"/>
                <w:noProof/>
              </w:rPr>
              <w:t>3. Transactional &amp; runtime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_Toc238736097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752B7A" w14:textId="48240513" w:rsidR="00B04CDC" w:rsidRDefault="00B04CDC">
          <w:pPr>
            <w:pStyle w:val="TOC1"/>
            <w:tabs>
              <w:tab w:val="right" w:leader="dot" w:pos="98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736098" w:history="1">
            <w:r w:rsidRPr="007F7445">
              <w:rPr>
                <w:rStyle w:val="Hyperlink"/>
                <w:noProof/>
              </w:rPr>
              <w:t>4. Schema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_Toc238736098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7793AC" w14:textId="2911A73C" w:rsidR="00FB316F" w:rsidRDefault="00A77955">
          <w:r>
            <w:fldChar w:fldCharType="end"/>
          </w:r>
        </w:p>
      </w:sdtContent>
    </w:sdt>
    <w:p w14:paraId="7D7793AD" w14:textId="77777777" w:rsidR="00FB316F" w:rsidRDefault="00A77955">
      <w:r>
        <w:br w:type="page"/>
      </w:r>
    </w:p>
    <w:p w14:paraId="7D7793AE" w14:textId="77777777" w:rsidR="00FB316F" w:rsidRDefault="00A77955">
      <w:pPr>
        <w:pStyle w:val="Heading1"/>
        <w:spacing w:before="300" w:after="120"/>
      </w:pPr>
      <w:bookmarkStart w:id="0" w:name="_Toc238736095"/>
      <w:r>
        <w:lastRenderedPageBreak/>
        <w:t>1. How to read this</w:t>
      </w:r>
      <w:bookmarkEnd w:id="0"/>
    </w:p>
    <w:p w14:paraId="7D7793AF" w14:textId="77777777" w:rsidR="00FB316F" w:rsidRDefault="00A77955">
      <w:pPr>
        <w:spacing w:after="120" w:line="276" w:lineRule="auto"/>
      </w:pPr>
      <w:r>
        <w:t xml:space="preserve">Derived from </w:t>
      </w:r>
      <w:r>
        <w:rPr>
          <w:rFonts w:ascii="Consolas" w:eastAsia="Consolas" w:hAnsi="Consolas" w:cs="Consolas"/>
          <w:color w:val="0E6BA8"/>
          <w:sz w:val="19"/>
          <w:szCs w:val="19"/>
        </w:rPr>
        <w:t>App/src/types.ts</w:t>
      </w:r>
      <w:r>
        <w:t>, which is the prototype’s domain model. Each interface maps to a candidate table. Two conventions to carry into the schema:</w:t>
      </w:r>
    </w:p>
    <w:p w14:paraId="7D7793B0" w14:textId="77777777" w:rsidR="00FB316F" w:rsidRDefault="00A7795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Per-entity partitioning. </w:t>
      </w:r>
      <w:r>
        <w:t xml:space="preserve">Almost everything is scoped to a legal entity, by </w:t>
      </w:r>
      <w:r>
        <w:rPr>
          <w:rFonts w:ascii="Consolas" w:eastAsia="Consolas" w:hAnsi="Consolas" w:cs="Consolas"/>
          <w:color w:val="0E6BA8"/>
          <w:sz w:val="19"/>
          <w:szCs w:val="19"/>
        </w:rPr>
        <w:t>legalEntityId</w:t>
      </w:r>
      <w:r>
        <w:t xml:space="preserve"> or </w:t>
      </w:r>
      <w:r>
        <w:rPr>
          <w:rFonts w:ascii="Consolas" w:eastAsia="Consolas" w:hAnsi="Consolas" w:cs="Consolas"/>
          <w:color w:val="0E6BA8"/>
          <w:sz w:val="19"/>
          <w:szCs w:val="19"/>
        </w:rPr>
        <w:t>entityCode</w:t>
      </w:r>
      <w:r>
        <w:t>. Treat that as a first-class partition / foreign key.</w:t>
      </w:r>
    </w:p>
    <w:p w14:paraId="7D7793B1" w14:textId="77777777" w:rsidR="00FB316F" w:rsidRDefault="00A7795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Id-keyed maps become rows. </w:t>
      </w:r>
      <w:r>
        <w:t xml:space="preserve">Where the prototype uses maps keyed by id (e.g. a message’s </w:t>
      </w:r>
      <w:r>
        <w:rPr>
          <w:rFonts w:ascii="Consolas" w:eastAsia="Consolas" w:hAnsi="Consolas" w:cs="Consolas"/>
          <w:color w:val="0E6BA8"/>
          <w:sz w:val="19"/>
          <w:szCs w:val="19"/>
        </w:rPr>
        <w:t>amounts</w:t>
      </w:r>
      <w:r>
        <w:t xml:space="preserve"> keyed by AmountType id, </w:t>
      </w:r>
      <w:r>
        <w:rPr>
          <w:rFonts w:ascii="Consolas" w:eastAsia="Consolas" w:hAnsi="Consolas" w:cs="Consolas"/>
          <w:color w:val="0E6BA8"/>
          <w:sz w:val="19"/>
          <w:szCs w:val="19"/>
        </w:rPr>
        <w:t>conditionInputs</w:t>
      </w:r>
      <w:r>
        <w:t xml:space="preserve"> by ConditionValue id), those become child rows in the real schema.</w:t>
      </w:r>
    </w:p>
    <w:p w14:paraId="7D7793B2" w14:textId="77777777" w:rsidR="00FB316F" w:rsidRDefault="00A77955">
      <w:pPr>
        <w:spacing w:after="120" w:line="276" w:lineRule="auto"/>
      </w:pPr>
      <w:r>
        <w:t>Ids below are synthetic surrogate keys unless noted. Relationships list the main foreign keys, not every column.</w:t>
      </w:r>
    </w:p>
    <w:p w14:paraId="7D7793B3" w14:textId="77777777" w:rsidR="00FB316F" w:rsidRDefault="00A77955">
      <w:pPr>
        <w:pStyle w:val="Heading1"/>
        <w:spacing w:before="300" w:after="120"/>
      </w:pPr>
      <w:bookmarkStart w:id="1" w:name="_Toc238736096"/>
      <w:r>
        <w:t>2. Reference &amp; configuration tables</w:t>
      </w:r>
      <w:bookmarkEnd w:id="1"/>
    </w:p>
    <w:p w14:paraId="7D7793B4" w14:textId="77777777" w:rsidR="00FB316F" w:rsidRDefault="00A77955">
      <w:pPr>
        <w:spacing w:after="120" w:line="276" w:lineRule="auto"/>
      </w:pPr>
      <w:r>
        <w:t>Set up per customer; change rarely. This is where all the behaviour is configured.</w:t>
      </w:r>
    </w:p>
    <w:tbl>
      <w:tblPr>
        <w:tblW w:w="925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2" w:space="0" w:color="E3EAF1"/>
          <w:insideV w:val="single" w:sz="2" w:space="0" w:color="E3EAF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1237"/>
        <w:gridCol w:w="2633"/>
        <w:gridCol w:w="3257"/>
      </w:tblGrid>
      <w:tr w:rsidR="00FB316F" w14:paraId="7D7793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shd w:val="clear" w:color="auto" w:fill="DCE8F2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B5" w14:textId="77777777" w:rsidR="00FB316F" w:rsidRDefault="00A77955">
            <w:r>
              <w:rPr>
                <w:b/>
                <w:bCs/>
                <w:sz w:val="17"/>
                <w:szCs w:val="17"/>
              </w:rPr>
              <w:t>Table</w:t>
            </w:r>
          </w:p>
        </w:tc>
        <w:tc>
          <w:tcPr>
            <w:tcW w:w="1250" w:type="dxa"/>
            <w:shd w:val="clear" w:color="auto" w:fill="DCE8F2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B6" w14:textId="77777777" w:rsidR="00FB316F" w:rsidRDefault="00A77955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2650" w:type="dxa"/>
            <w:shd w:val="clear" w:color="auto" w:fill="DCE8F2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B7" w14:textId="77777777" w:rsidR="00FB316F" w:rsidRDefault="00A77955">
            <w:r>
              <w:rPr>
                <w:b/>
                <w:bCs/>
                <w:sz w:val="17"/>
                <w:szCs w:val="17"/>
              </w:rPr>
              <w:t>Relates to</w:t>
            </w:r>
          </w:p>
        </w:tc>
        <w:tc>
          <w:tcPr>
            <w:tcW w:w="3300" w:type="dxa"/>
            <w:shd w:val="clear" w:color="auto" w:fill="DCE8F2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B8" w14:textId="77777777" w:rsidR="00FB316F" w:rsidRDefault="00A77955">
            <w:r>
              <w:rPr>
                <w:b/>
                <w:bCs/>
                <w:sz w:val="17"/>
                <w:szCs w:val="17"/>
              </w:rPr>
              <w:t>Purpose</w:t>
            </w:r>
          </w:p>
        </w:tc>
      </w:tr>
      <w:tr w:rsidR="00FB316F" w14:paraId="7D7793BE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BA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LegalEntity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BB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BC" w14:textId="77777777" w:rsidR="00FB316F" w:rsidRDefault="00A77955">
            <w:r>
              <w:rPr>
                <w:sz w:val="17"/>
                <w:szCs w:val="17"/>
              </w:rPr>
              <w:t>Currency, ChartOfAccount, OrganizationUnit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BD" w14:textId="77777777" w:rsidR="00FB316F" w:rsidRDefault="00A77955">
            <w:r>
              <w:rPr>
                <w:sz w:val="17"/>
                <w:szCs w:val="17"/>
              </w:rPr>
              <w:t>The tenant boundary; owns all config below.</w:t>
            </w:r>
          </w:p>
        </w:tc>
      </w:tr>
      <w:tr w:rsidR="00FB316F" w14:paraId="7D7793C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BF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Currency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C0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C1" w14:textId="77777777" w:rsidR="00FB316F" w:rsidRDefault="00A77955">
            <w:r>
              <w:rPr>
                <w:sz w:val="17"/>
                <w:szCs w:val="17"/>
              </w:rPr>
              <w:t>—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C2" w14:textId="77777777" w:rsidR="00FB316F" w:rsidRDefault="00A77955">
            <w:r>
              <w:rPr>
                <w:sz w:val="17"/>
                <w:szCs w:val="17"/>
              </w:rPr>
              <w:t>Currencies and rate to the base currency.</w:t>
            </w:r>
          </w:p>
        </w:tc>
      </w:tr>
      <w:tr w:rsidR="00FB316F" w14:paraId="7D7793C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C4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OrganizationUnit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C5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C6" w14:textId="77777777" w:rsidR="00FB316F" w:rsidRDefault="00A77955">
            <w:r>
              <w:rPr>
                <w:sz w:val="17"/>
                <w:szCs w:val="17"/>
              </w:rPr>
              <w:t>LegalEntity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C7" w14:textId="77777777" w:rsidR="00FB316F" w:rsidRDefault="00A77955">
            <w:r>
              <w:rPr>
                <w:sz w:val="17"/>
                <w:szCs w:val="17"/>
              </w:rPr>
              <w:t>OU used in the external account string.</w:t>
            </w:r>
          </w:p>
        </w:tc>
      </w:tr>
      <w:tr w:rsidR="00FB316F" w14:paraId="7D7793C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C9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AccountingClass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CA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CB" w14:textId="77777777" w:rsidR="00FB316F" w:rsidRDefault="00A77955">
            <w:r>
              <w:rPr>
                <w:sz w:val="17"/>
                <w:szCs w:val="17"/>
              </w:rPr>
              <w:t>—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CC" w14:textId="77777777" w:rsidR="00FB316F" w:rsidRDefault="00A77955">
            <w:r>
              <w:rPr>
                <w:sz w:val="17"/>
                <w:szCs w:val="17"/>
              </w:rPr>
              <w:t>e.g. PF-Agreement, AR Invoicing, AR Payment.</w:t>
            </w:r>
          </w:p>
        </w:tc>
      </w:tr>
      <w:tr w:rsidR="00FB316F" w14:paraId="7D7793D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CE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LegalAccountingClass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CF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D0" w14:textId="77777777" w:rsidR="00FB316F" w:rsidRDefault="00A77955">
            <w:r>
              <w:rPr>
                <w:sz w:val="17"/>
                <w:szCs w:val="17"/>
              </w:rPr>
              <w:t>LegalEntity, AccountingClass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D1" w14:textId="77777777" w:rsidR="00FB316F" w:rsidRDefault="00A77955">
            <w:r>
              <w:rPr>
                <w:sz w:val="17"/>
                <w:szCs w:val="17"/>
              </w:rPr>
              <w:t>Which classes an entity uses.</w:t>
            </w:r>
          </w:p>
        </w:tc>
      </w:tr>
      <w:tr w:rsidR="00FB316F" w14:paraId="7D7793D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D3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Ledger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D4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D5" w14:textId="77777777" w:rsidR="00FB316F" w:rsidRDefault="00A77955">
            <w:r>
              <w:rPr>
                <w:sz w:val="17"/>
                <w:szCs w:val="17"/>
              </w:rPr>
              <w:t>—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D6" w14:textId="77777777" w:rsidR="00FB316F" w:rsidRDefault="00A77955">
            <w:r>
              <w:rPr>
                <w:sz w:val="17"/>
                <w:szCs w:val="17"/>
              </w:rPr>
              <w:t>Local Legal, US GAAP, …</w:t>
            </w:r>
          </w:p>
        </w:tc>
      </w:tr>
      <w:tr w:rsidR="00FB316F" w14:paraId="7D7793D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D8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LegalAccountingLedger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D9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DA" w14:textId="77777777" w:rsidR="00FB316F" w:rsidRDefault="00A77955">
            <w:r>
              <w:rPr>
                <w:sz w:val="17"/>
                <w:szCs w:val="17"/>
              </w:rPr>
              <w:t>LegalAccountingClass, Ledger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DB" w14:textId="77777777" w:rsidR="00FB316F" w:rsidRDefault="00A77955">
            <w:r>
              <w:rPr>
                <w:sz w:val="17"/>
                <w:szCs w:val="17"/>
              </w:rPr>
              <w:t>A ledger per class per entity.</w:t>
            </w:r>
          </w:p>
        </w:tc>
      </w:tr>
      <w:tr w:rsidR="00FB316F" w14:paraId="7D7793E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DD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LedgerSerie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DE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DF" w14:textId="77777777" w:rsidR="00FB316F" w:rsidRDefault="00A77955">
            <w:r>
              <w:rPr>
                <w:sz w:val="17"/>
                <w:szCs w:val="17"/>
              </w:rPr>
              <w:t>Ledger / entity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E0" w14:textId="77777777" w:rsidR="00FB316F" w:rsidRDefault="00A77955">
            <w:r>
              <w:rPr>
                <w:sz w:val="17"/>
                <w:szCs w:val="17"/>
              </w:rPr>
              <w:t>Journal (GLI) number series.</w:t>
            </w:r>
          </w:p>
        </w:tc>
      </w:tr>
      <w:tr w:rsidR="00FB316F" w14:paraId="7D7793E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E2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AmountType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E3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E4" w14:textId="77777777" w:rsidR="00FB316F" w:rsidRDefault="00A77955">
            <w:r>
              <w:rPr>
                <w:sz w:val="17"/>
                <w:szCs w:val="17"/>
              </w:rPr>
              <w:t>—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E5" w14:textId="77777777" w:rsidR="00FB316F" w:rsidRDefault="00A77955">
            <w:r>
              <w:rPr>
                <w:sz w:val="17"/>
                <w:szCs w:val="17"/>
              </w:rPr>
              <w:t>Types an amount can carry (Total Plan Rent, Tax, Insurance…).</w:t>
            </w:r>
          </w:p>
        </w:tc>
      </w:tr>
      <w:tr w:rsidR="00FB316F" w14:paraId="7D7793E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E7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ConditionValue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E8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E9" w14:textId="77777777" w:rsidR="00FB316F" w:rsidRDefault="00A77955">
            <w:r>
              <w:rPr>
                <w:sz w:val="17"/>
                <w:szCs w:val="17"/>
              </w:rPr>
              <w:t>—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EA" w14:textId="77777777" w:rsidR="00FB316F" w:rsidRDefault="00A77955">
            <w:r>
              <w:rPr>
                <w:sz w:val="17"/>
                <w:szCs w:val="17"/>
              </w:rPr>
              <w:t>Message attribute (Accounting Type, Product, Amount Code).</w:t>
            </w:r>
          </w:p>
        </w:tc>
      </w:tr>
      <w:tr w:rsidR="00FB316F" w14:paraId="7D7793F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EC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ConditionValueOption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ED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EE" w14:textId="77777777" w:rsidR="00FB316F" w:rsidRDefault="00A77955">
            <w:r>
              <w:rPr>
                <w:sz w:val="17"/>
                <w:szCs w:val="17"/>
              </w:rPr>
              <w:t>ConditionValue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EF" w14:textId="77777777" w:rsidR="00FB316F" w:rsidRDefault="00A77955">
            <w:r>
              <w:rPr>
                <w:sz w:val="17"/>
                <w:szCs w:val="17"/>
              </w:rPr>
              <w:t>Allowed codes + descriptions (message attribute codes).</w:t>
            </w:r>
          </w:p>
        </w:tc>
      </w:tr>
      <w:tr w:rsidR="00FB316F" w14:paraId="7D7793F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F1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EventCategory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F2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F3" w14:textId="77777777" w:rsidR="00FB316F" w:rsidRDefault="00A77955">
            <w:r>
              <w:rPr>
                <w:sz w:val="17"/>
                <w:szCs w:val="17"/>
              </w:rPr>
              <w:t>—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F4" w14:textId="77777777" w:rsidR="00FB316F" w:rsidRDefault="00A77955">
            <w:r>
              <w:rPr>
                <w:sz w:val="17"/>
                <w:szCs w:val="17"/>
              </w:rPr>
              <w:t>Normal / Reversal.</w:t>
            </w:r>
          </w:p>
        </w:tc>
      </w:tr>
      <w:tr w:rsidR="00FB316F" w14:paraId="7D7793F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F6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AccountingEvent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F7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F8" w14:textId="77777777" w:rsidR="00FB316F" w:rsidRDefault="00A77955">
            <w:r>
              <w:rPr>
                <w:sz w:val="17"/>
                <w:szCs w:val="17"/>
              </w:rPr>
              <w:t>EventCategory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F9" w14:textId="77777777" w:rsidR="00FB316F" w:rsidRDefault="00A77955">
            <w:r>
              <w:rPr>
                <w:sz w:val="17"/>
                <w:szCs w:val="17"/>
              </w:rPr>
              <w:t>Activation, Invoicing, Monthly Booking, Accrual, …</w:t>
            </w:r>
          </w:p>
        </w:tc>
      </w:tr>
      <w:tr w:rsidR="00FB316F" w14:paraId="7D7793F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FB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Formula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FC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FD" w14:textId="77777777" w:rsidR="00FB316F" w:rsidRDefault="00A77955">
            <w:r>
              <w:rPr>
                <w:sz w:val="17"/>
                <w:szCs w:val="17"/>
              </w:rPr>
              <w:t>AmountType, FormulaCondition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3FE" w14:textId="77777777" w:rsidR="00FB316F" w:rsidRDefault="00A77955">
            <w:r>
              <w:rPr>
                <w:sz w:val="17"/>
                <w:szCs w:val="17"/>
              </w:rPr>
              <w:t>Which account an amount books to (default + conditions).</w:t>
            </w:r>
          </w:p>
        </w:tc>
      </w:tr>
      <w:tr w:rsidR="00FB316F" w14:paraId="7D77940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00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FormulaCondition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01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02" w14:textId="77777777" w:rsidR="00FB316F" w:rsidRDefault="00A77955">
            <w:r>
              <w:rPr>
                <w:sz w:val="17"/>
                <w:szCs w:val="17"/>
              </w:rPr>
              <w:t>Formula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03" w14:textId="77777777" w:rsidR="00FB316F" w:rsidRDefault="00A77955">
            <w:r>
              <w:rPr>
                <w:sz w:val="17"/>
                <w:szCs w:val="17"/>
              </w:rPr>
              <w:t>A condition group on a formula.</w:t>
            </w:r>
          </w:p>
        </w:tc>
      </w:tr>
      <w:tr w:rsidR="00FB316F" w14:paraId="7D77940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05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Condition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06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07" w14:textId="77777777" w:rsidR="00FB316F" w:rsidRDefault="00A77955">
            <w:r>
              <w:rPr>
                <w:sz w:val="17"/>
                <w:szCs w:val="17"/>
              </w:rPr>
              <w:t>FormulaCondition, ConditionValue, PseudoAccount (D/C)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08" w14:textId="77777777" w:rsidR="00FB316F" w:rsidRDefault="00A77955">
            <w:r>
              <w:rPr>
                <w:sz w:val="17"/>
                <w:szCs w:val="17"/>
              </w:rPr>
              <w:t>The routing rows (attribute value → account).</w:t>
            </w:r>
          </w:p>
        </w:tc>
      </w:tr>
      <w:tr w:rsidR="00FB316F" w14:paraId="7D77940E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0A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AccountingRule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0B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0C" w14:textId="77777777" w:rsidR="00FB316F" w:rsidRDefault="00A77955">
            <w:r>
              <w:rPr>
                <w:sz w:val="17"/>
                <w:szCs w:val="17"/>
              </w:rPr>
              <w:t>LegalEntity, LegalAccountingLedger, AccountingEvent, Formula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0D" w14:textId="77777777" w:rsidR="00FB316F" w:rsidRDefault="00A77955">
            <w:r>
              <w:rPr>
                <w:sz w:val="17"/>
                <w:szCs w:val="17"/>
              </w:rPr>
              <w:t>Connects an event + ledger to the formulas that book it.</w:t>
            </w:r>
          </w:p>
        </w:tc>
      </w:tr>
      <w:tr w:rsidR="00FB316F" w14:paraId="7D77941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0F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ChartOfAccount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10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11" w14:textId="77777777" w:rsidR="00FB316F" w:rsidRDefault="00A77955">
            <w:r>
              <w:rPr>
                <w:sz w:val="17"/>
                <w:szCs w:val="17"/>
              </w:rPr>
              <w:t>—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12" w14:textId="77777777" w:rsidR="00FB316F" w:rsidRDefault="00A77955">
            <w:r>
              <w:rPr>
                <w:sz w:val="17"/>
                <w:szCs w:val="17"/>
              </w:rPr>
              <w:t>Chart-of-account template.</w:t>
            </w:r>
          </w:p>
        </w:tc>
      </w:tr>
      <w:tr w:rsidR="00FB316F" w14:paraId="7D77941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14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CoaNode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15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16" w14:textId="77777777" w:rsidR="00FB316F" w:rsidRDefault="00A77955">
            <w:r>
              <w:rPr>
                <w:sz w:val="17"/>
                <w:szCs w:val="17"/>
              </w:rPr>
              <w:t>ChartOfAccount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17" w14:textId="77777777" w:rsidR="00FB316F" w:rsidRDefault="00A77955">
            <w:r>
              <w:rPr>
                <w:sz w:val="17"/>
                <w:szCs w:val="17"/>
              </w:rPr>
              <w:t>Template nodes.</w:t>
            </w:r>
          </w:p>
        </w:tc>
      </w:tr>
      <w:tr w:rsidR="00FB316F" w14:paraId="7D77941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19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EntityCoaNode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1A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1B" w14:textId="77777777" w:rsidR="00FB316F" w:rsidRDefault="00A77955">
            <w:r>
              <w:rPr>
                <w:sz w:val="17"/>
                <w:szCs w:val="17"/>
              </w:rPr>
              <w:t>LegalEntity, parent EntityCoaNode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1C" w14:textId="77777777" w:rsidR="00FB316F" w:rsidRDefault="00A77955">
            <w:r>
              <w:rPr>
                <w:sz w:val="17"/>
                <w:szCs w:val="17"/>
              </w:rPr>
              <w:t>The entity’s own account tree.</w:t>
            </w:r>
          </w:p>
        </w:tc>
      </w:tr>
      <w:tr w:rsidR="00FB316F" w14:paraId="7D77942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1E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PseudoAccount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1F" w14:textId="77777777" w:rsidR="00FB316F" w:rsidRDefault="00A77955">
            <w:r>
              <w:rPr>
                <w:sz w:val="17"/>
                <w:szCs w:val="17"/>
              </w:rPr>
              <w:t>id (per entity)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20" w14:textId="77777777" w:rsidR="00FB316F" w:rsidRDefault="00A77955">
            <w:r>
              <w:rPr>
                <w:sz w:val="17"/>
                <w:szCs w:val="17"/>
              </w:rPr>
              <w:t>LegalEntity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21" w14:textId="77777777" w:rsidR="00FB316F" w:rsidRDefault="00A77955">
            <w:r>
              <w:rPr>
                <w:sz w:val="17"/>
                <w:szCs w:val="17"/>
              </w:rPr>
              <w:t>Internal account number + external GL mapping.</w:t>
            </w:r>
          </w:p>
        </w:tc>
      </w:tr>
      <w:tr w:rsidR="00FB316F" w14:paraId="7D77942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23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PseudoAccountCoaLink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24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25" w14:textId="77777777" w:rsidR="00FB316F" w:rsidRDefault="00A77955">
            <w:r>
              <w:rPr>
                <w:sz w:val="17"/>
                <w:szCs w:val="17"/>
              </w:rPr>
              <w:t>PseudoAccount, EntityCoaNode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26" w14:textId="77777777" w:rsidR="00FB316F" w:rsidRDefault="00A77955">
            <w:r>
              <w:rPr>
                <w:sz w:val="17"/>
                <w:szCs w:val="17"/>
              </w:rPr>
              <w:t>Placement of an account on a node.</w:t>
            </w:r>
          </w:p>
        </w:tc>
      </w:tr>
      <w:tr w:rsidR="00FB316F" w14:paraId="7D77942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28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ExtAccountValue / ExtAccountPart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29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2A" w14:textId="77777777" w:rsidR="00FB316F" w:rsidRDefault="00A77955">
            <w:r>
              <w:rPr>
                <w:sz w:val="17"/>
                <w:szCs w:val="17"/>
              </w:rPr>
              <w:t>LegalEntity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2B" w14:textId="77777777" w:rsidR="00FB316F" w:rsidRDefault="00A77955">
            <w:r>
              <w:rPr>
                <w:sz w:val="17"/>
                <w:szCs w:val="17"/>
              </w:rPr>
              <w:t>Configures the parts of the external account string.</w:t>
            </w:r>
          </w:p>
        </w:tc>
      </w:tr>
      <w:tr w:rsidR="00FB316F" w14:paraId="7D77943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2D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PseudoAccountExtPart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2E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2F" w14:textId="77777777" w:rsidR="00FB316F" w:rsidRDefault="00A77955">
            <w:r>
              <w:rPr>
                <w:sz w:val="17"/>
                <w:szCs w:val="17"/>
              </w:rPr>
              <w:t>PseudoAccount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30" w14:textId="77777777" w:rsidR="00FB316F" w:rsidRDefault="00A77955">
            <w:r>
              <w:rPr>
                <w:sz w:val="17"/>
                <w:szCs w:val="17"/>
              </w:rPr>
              <w:t>Per-account dimension overrides.</w:t>
            </w:r>
          </w:p>
        </w:tc>
      </w:tr>
      <w:tr w:rsidR="00FB316F" w14:paraId="7D77943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32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Party / PartyRef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33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34" w14:textId="77777777" w:rsidR="00FB316F" w:rsidRDefault="00A77955">
            <w:r>
              <w:rPr>
                <w:sz w:val="17"/>
                <w:szCs w:val="17"/>
              </w:rPr>
              <w:t>LegalEntity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35" w14:textId="77777777" w:rsidR="00FB316F" w:rsidRDefault="00A77955">
            <w:r>
              <w:rPr>
                <w:sz w:val="17"/>
                <w:szCs w:val="17"/>
              </w:rPr>
              <w:t>Customers / suppliers / parties.</w:t>
            </w:r>
          </w:p>
        </w:tc>
      </w:tr>
      <w:tr w:rsidR="00FB316F" w14:paraId="7D77943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37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AccrualCode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38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39" w14:textId="77777777" w:rsidR="00FB316F" w:rsidRDefault="00A77955">
            <w:r>
              <w:rPr>
                <w:sz w:val="17"/>
                <w:szCs w:val="17"/>
              </w:rPr>
              <w:t>LegalEntity, AmountType (trigger), Formula (recognition)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3A" w14:textId="77777777" w:rsidR="00FB316F" w:rsidRDefault="00A77955">
            <w:r>
              <w:rPr>
                <w:sz w:val="17"/>
                <w:szCs w:val="17"/>
              </w:rPr>
              <w:t>Accrual behaviour: direction, deferral account, recognition routing.</w:t>
            </w:r>
          </w:p>
        </w:tc>
      </w:tr>
      <w:tr w:rsidR="00FB316F" w14:paraId="7D77944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3C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RecognitionCategory</w:t>
            </w:r>
          </w:p>
        </w:tc>
        <w:tc>
          <w:tcPr>
            <w:tcW w:w="12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3D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6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3E" w14:textId="77777777" w:rsidR="00FB316F" w:rsidRDefault="00A77955">
            <w:r>
              <w:rPr>
                <w:sz w:val="17"/>
                <w:szCs w:val="17"/>
              </w:rPr>
              <w:t>LegalEntity</w:t>
            </w:r>
          </w:p>
        </w:tc>
        <w:tc>
          <w:tcPr>
            <w:tcW w:w="33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3F" w14:textId="77777777" w:rsidR="00FB316F" w:rsidRDefault="00A77955">
            <w:r>
              <w:rPr>
                <w:sz w:val="17"/>
                <w:szCs w:val="17"/>
              </w:rPr>
              <w:t>Rent (amortization) / Interest / Depreciation.</w:t>
            </w:r>
          </w:p>
        </w:tc>
      </w:tr>
    </w:tbl>
    <w:p w14:paraId="7D779441" w14:textId="77777777" w:rsidR="00FB316F" w:rsidRDefault="00A77955">
      <w:r>
        <w:br w:type="page"/>
      </w:r>
    </w:p>
    <w:p w14:paraId="7D779442" w14:textId="77777777" w:rsidR="00FB316F" w:rsidRDefault="00A77955">
      <w:pPr>
        <w:pStyle w:val="Heading1"/>
        <w:spacing w:before="300" w:after="120"/>
      </w:pPr>
      <w:bookmarkStart w:id="2" w:name="_Toc238736097"/>
      <w:r>
        <w:lastRenderedPageBreak/>
        <w:t>3. Transactional &amp; runtime tables</w:t>
      </w:r>
      <w:bookmarkEnd w:id="2"/>
    </w:p>
    <w:p w14:paraId="7D779443" w14:textId="77777777" w:rsidR="00FB316F" w:rsidRDefault="00A77955">
      <w:pPr>
        <w:spacing w:after="120" w:line="276" w:lineRule="auto"/>
      </w:pPr>
      <w:r>
        <w:t>Written by the engine as messages are processed and periodic runs happen.</w:t>
      </w:r>
    </w:p>
    <w:tbl>
      <w:tblPr>
        <w:tblW w:w="930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2" w:space="0" w:color="E3EAF1"/>
          <w:insideV w:val="single" w:sz="2" w:space="0" w:color="E3EAF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1578"/>
        <w:gridCol w:w="2404"/>
        <w:gridCol w:w="3101"/>
      </w:tblGrid>
      <w:tr w:rsidR="00FB316F" w14:paraId="7D7794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shd w:val="clear" w:color="auto" w:fill="DCE8F2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44" w14:textId="77777777" w:rsidR="00FB316F" w:rsidRDefault="00A77955">
            <w:r>
              <w:rPr>
                <w:b/>
                <w:bCs/>
                <w:sz w:val="17"/>
                <w:szCs w:val="17"/>
              </w:rPr>
              <w:t>Table</w:t>
            </w:r>
          </w:p>
        </w:tc>
        <w:tc>
          <w:tcPr>
            <w:tcW w:w="1600" w:type="dxa"/>
            <w:shd w:val="clear" w:color="auto" w:fill="DCE8F2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45" w14:textId="77777777" w:rsidR="00FB316F" w:rsidRDefault="00A77955">
            <w:r>
              <w:rPr>
                <w:b/>
                <w:bCs/>
                <w:sz w:val="17"/>
                <w:szCs w:val="17"/>
              </w:rPr>
              <w:t>Key</w:t>
            </w:r>
          </w:p>
        </w:tc>
        <w:tc>
          <w:tcPr>
            <w:tcW w:w="2450" w:type="dxa"/>
            <w:shd w:val="clear" w:color="auto" w:fill="DCE8F2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46" w14:textId="77777777" w:rsidR="00FB316F" w:rsidRDefault="00A77955">
            <w:r>
              <w:rPr>
                <w:b/>
                <w:bCs/>
                <w:sz w:val="17"/>
                <w:szCs w:val="17"/>
              </w:rPr>
              <w:t>Relates to</w:t>
            </w:r>
          </w:p>
        </w:tc>
        <w:tc>
          <w:tcPr>
            <w:tcW w:w="3200" w:type="dxa"/>
            <w:shd w:val="clear" w:color="auto" w:fill="DCE8F2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47" w14:textId="77777777" w:rsidR="00FB316F" w:rsidRDefault="00A77955">
            <w:r>
              <w:rPr>
                <w:b/>
                <w:bCs/>
                <w:sz w:val="17"/>
                <w:szCs w:val="17"/>
              </w:rPr>
              <w:t>Purpose</w:t>
            </w:r>
          </w:p>
        </w:tc>
      </w:tr>
      <w:tr w:rsidR="00FB316F" w14:paraId="7D77944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49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Journal</w:t>
            </w:r>
          </w:p>
        </w:tc>
        <w:tc>
          <w:tcPr>
            <w:tcW w:w="16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4A" w14:textId="77777777" w:rsidR="00FB316F" w:rsidRDefault="00A77955">
            <w:r>
              <w:rPr>
                <w:sz w:val="17"/>
                <w:szCs w:val="17"/>
              </w:rPr>
              <w:t>gliNumber (per entity)</w:t>
            </w:r>
          </w:p>
        </w:tc>
        <w:tc>
          <w:tcPr>
            <w:tcW w:w="24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4B" w14:textId="77777777" w:rsidR="00FB316F" w:rsidRDefault="00A77955">
            <w:r>
              <w:rPr>
                <w:sz w:val="17"/>
                <w:szCs w:val="17"/>
              </w:rPr>
              <w:t>LegalEntity</w:t>
            </w:r>
          </w:p>
        </w:tc>
        <w:tc>
          <w:tcPr>
            <w:tcW w:w="32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4C" w14:textId="77777777" w:rsidR="00FB316F" w:rsidRDefault="00A77955">
            <w:r>
              <w:rPr>
                <w:sz w:val="17"/>
                <w:szCs w:val="17"/>
              </w:rPr>
              <w:t>A booked journal (header).</w:t>
            </w:r>
          </w:p>
        </w:tc>
      </w:tr>
      <w:tr w:rsidR="00FB316F" w14:paraId="7D77945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4E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JournalLine</w:t>
            </w:r>
          </w:p>
        </w:tc>
        <w:tc>
          <w:tcPr>
            <w:tcW w:w="16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4F" w14:textId="77777777" w:rsidR="00FB316F" w:rsidRDefault="00A77955">
            <w:r>
              <w:rPr>
                <w:sz w:val="17"/>
                <w:szCs w:val="17"/>
              </w:rPr>
              <w:t>journal + line</w:t>
            </w:r>
          </w:p>
        </w:tc>
        <w:tc>
          <w:tcPr>
            <w:tcW w:w="24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50" w14:textId="77777777" w:rsidR="00FB316F" w:rsidRDefault="00A77955">
            <w:r>
              <w:rPr>
                <w:sz w:val="17"/>
                <w:szCs w:val="17"/>
              </w:rPr>
              <w:t>Journal, PseudoAccount</w:t>
            </w:r>
          </w:p>
        </w:tc>
        <w:tc>
          <w:tcPr>
            <w:tcW w:w="32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51" w14:textId="77777777" w:rsidR="00FB316F" w:rsidRDefault="00A77955">
            <w:r>
              <w:rPr>
                <w:sz w:val="17"/>
                <w:szCs w:val="17"/>
              </w:rPr>
              <w:t>The debit/credit lines, with ledger, dimension string, amount type, trace.</w:t>
            </w:r>
          </w:p>
        </w:tc>
      </w:tr>
      <w:tr w:rsidR="00FB316F" w14:paraId="7D77945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53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JournalPostedEvent</w:t>
            </w:r>
          </w:p>
        </w:tc>
        <w:tc>
          <w:tcPr>
            <w:tcW w:w="16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54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4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55" w14:textId="77777777" w:rsidR="00FB316F" w:rsidRDefault="00A77955">
            <w:r>
              <w:rPr>
                <w:sz w:val="17"/>
                <w:szCs w:val="17"/>
              </w:rPr>
              <w:t>LegalEntity, Journal</w:t>
            </w:r>
          </w:p>
        </w:tc>
        <w:tc>
          <w:tcPr>
            <w:tcW w:w="32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56" w14:textId="77777777" w:rsidR="00FB316F" w:rsidRDefault="00A77955">
            <w:r>
              <w:rPr>
                <w:sz w:val="17"/>
                <w:szCs w:val="17"/>
              </w:rPr>
              <w:t>Outbox — the "Journal posted" events other domains consume.</w:t>
            </w:r>
          </w:p>
        </w:tc>
      </w:tr>
      <w:tr w:rsidR="00FB316F" w14:paraId="7D77945C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58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PendingMessage</w:t>
            </w:r>
          </w:p>
        </w:tc>
        <w:tc>
          <w:tcPr>
            <w:tcW w:w="16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59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4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5A" w14:textId="77777777" w:rsidR="00FB316F" w:rsidRDefault="00A77955">
            <w:r>
              <w:rPr>
                <w:sz w:val="17"/>
                <w:szCs w:val="17"/>
              </w:rPr>
              <w:t>LegalEntity, AccountingClass, AccountingEvent</w:t>
            </w:r>
          </w:p>
        </w:tc>
        <w:tc>
          <w:tcPr>
            <w:tcW w:w="32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5B" w14:textId="77777777" w:rsidR="00FB316F" w:rsidRDefault="00A77955">
            <w:r>
              <w:rPr>
                <w:sz w:val="17"/>
                <w:szCs w:val="17"/>
              </w:rPr>
              <w:t>Held (End-of-Month) messages awaiting release.</w:t>
            </w:r>
          </w:p>
        </w:tc>
      </w:tr>
      <w:tr w:rsidR="00FB316F" w14:paraId="7D779461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5D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RecognitionPlan</w:t>
            </w:r>
          </w:p>
        </w:tc>
        <w:tc>
          <w:tcPr>
            <w:tcW w:w="16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5E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4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5F" w14:textId="77777777" w:rsidR="00FB316F" w:rsidRDefault="00A77955">
            <w:r>
              <w:rPr>
                <w:sz w:val="17"/>
                <w:szCs w:val="17"/>
              </w:rPr>
              <w:t>LegalEntity, agreement</w:t>
            </w:r>
          </w:p>
        </w:tc>
        <w:tc>
          <w:tcPr>
            <w:tcW w:w="32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60" w14:textId="77777777" w:rsidR="00FB316F" w:rsidRDefault="00A77955">
            <w:r>
              <w:rPr>
                <w:sz w:val="17"/>
                <w:szCs w:val="17"/>
              </w:rPr>
              <w:t>The adopted earning schedule for an agreement.</w:t>
            </w:r>
          </w:p>
        </w:tc>
      </w:tr>
      <w:tr w:rsidR="00FB316F" w14:paraId="7D77946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62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RecognitionPlanLine</w:t>
            </w:r>
          </w:p>
        </w:tc>
        <w:tc>
          <w:tcPr>
            <w:tcW w:w="16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63" w14:textId="77777777" w:rsidR="00FB316F" w:rsidRDefault="00A77955">
            <w:r>
              <w:rPr>
                <w:sz w:val="17"/>
                <w:szCs w:val="17"/>
              </w:rPr>
              <w:t>plan + agreementLine</w:t>
            </w:r>
          </w:p>
        </w:tc>
        <w:tc>
          <w:tcPr>
            <w:tcW w:w="24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64" w14:textId="77777777" w:rsidR="00FB316F" w:rsidRDefault="00A77955">
            <w:r>
              <w:rPr>
                <w:sz w:val="17"/>
                <w:szCs w:val="17"/>
              </w:rPr>
              <w:t>RecognitionPlan</w:t>
            </w:r>
          </w:p>
        </w:tc>
        <w:tc>
          <w:tcPr>
            <w:tcW w:w="32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65" w14:textId="77777777" w:rsidR="00FB316F" w:rsidRDefault="00A77955">
            <w:r>
              <w:rPr>
                <w:sz w:val="17"/>
                <w:szCs w:val="17"/>
              </w:rPr>
              <w:t>One line = one asset; holds the schedule (and imported table).</w:t>
            </w:r>
          </w:p>
        </w:tc>
      </w:tr>
      <w:tr w:rsidR="00FB316F" w14:paraId="7D77946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67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RecognitionScheduleRow</w:t>
            </w:r>
          </w:p>
        </w:tc>
        <w:tc>
          <w:tcPr>
            <w:tcW w:w="16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68" w14:textId="77777777" w:rsidR="00FB316F" w:rsidRDefault="00A77955">
            <w:r>
              <w:rPr>
                <w:sz w:val="17"/>
                <w:szCs w:val="17"/>
              </w:rPr>
              <w:t>(plan line + period + category)</w:t>
            </w:r>
          </w:p>
        </w:tc>
        <w:tc>
          <w:tcPr>
            <w:tcW w:w="24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69" w14:textId="77777777" w:rsidR="00FB316F" w:rsidRDefault="00A77955">
            <w:r>
              <w:rPr>
                <w:sz w:val="17"/>
                <w:szCs w:val="17"/>
              </w:rPr>
              <w:t>RecognitionPlanLine, RecognitionCategory</w:t>
            </w:r>
          </w:p>
        </w:tc>
        <w:tc>
          <w:tcPr>
            <w:tcW w:w="32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6A" w14:textId="77777777" w:rsidR="00FB316F" w:rsidRDefault="00A77955">
            <w:r>
              <w:rPr>
                <w:sz w:val="17"/>
                <w:szCs w:val="17"/>
              </w:rPr>
              <w:t>Planned amount earned per period per category.</w:t>
            </w:r>
          </w:p>
        </w:tc>
      </w:tr>
      <w:tr w:rsidR="00FB316F" w14:paraId="7D77947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6C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RecognitionState</w:t>
            </w:r>
          </w:p>
        </w:tc>
        <w:tc>
          <w:tcPr>
            <w:tcW w:w="16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6D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4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6E" w14:textId="77777777" w:rsidR="00FB316F" w:rsidRDefault="00A77955">
            <w:r>
              <w:rPr>
                <w:sz w:val="17"/>
                <w:szCs w:val="17"/>
              </w:rPr>
              <w:t>entity, agreement, line, category</w:t>
            </w:r>
          </w:p>
        </w:tc>
        <w:tc>
          <w:tcPr>
            <w:tcW w:w="32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6F" w14:textId="77777777" w:rsidR="00FB316F" w:rsidRDefault="00A77955">
            <w:r>
              <w:rPr>
                <w:sz w:val="17"/>
                <w:szCs w:val="17"/>
              </w:rPr>
              <w:t>Running accrued/deferred watermark for the cutoff.</w:t>
            </w:r>
          </w:p>
        </w:tc>
      </w:tr>
      <w:tr w:rsidR="00FB316F" w14:paraId="7D77947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71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AccrualItem</w:t>
            </w:r>
          </w:p>
        </w:tc>
        <w:tc>
          <w:tcPr>
            <w:tcW w:w="16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72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4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73" w14:textId="77777777" w:rsidR="00FB316F" w:rsidRDefault="00A77955">
            <w:r>
              <w:rPr>
                <w:sz w:val="17"/>
                <w:szCs w:val="17"/>
              </w:rPr>
              <w:t>LegalEntity, AccrualCode</w:t>
            </w:r>
          </w:p>
        </w:tc>
        <w:tc>
          <w:tcPr>
            <w:tcW w:w="32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74" w14:textId="77777777" w:rsidR="00FB316F" w:rsidRDefault="00A77955">
            <w:r>
              <w:rPr>
                <w:sz w:val="17"/>
                <w:szCs w:val="17"/>
              </w:rPr>
              <w:t>A runtime accrual + its snapshot (condition inputs, message context, term).</w:t>
            </w:r>
          </w:p>
        </w:tc>
      </w:tr>
      <w:tr w:rsidR="00FB316F" w14:paraId="7D77947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76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AccrualScheduleLine</w:t>
            </w:r>
          </w:p>
        </w:tc>
        <w:tc>
          <w:tcPr>
            <w:tcW w:w="16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77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4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78" w14:textId="77777777" w:rsidR="00FB316F" w:rsidRDefault="00A77955">
            <w:r>
              <w:rPr>
                <w:sz w:val="17"/>
                <w:szCs w:val="17"/>
              </w:rPr>
              <w:t>AccrualItem</w:t>
            </w:r>
          </w:p>
        </w:tc>
        <w:tc>
          <w:tcPr>
            <w:tcW w:w="32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79" w14:textId="77777777" w:rsidR="00FB316F" w:rsidRDefault="00A77955">
            <w:r>
              <w:rPr>
                <w:sz w:val="17"/>
                <w:szCs w:val="17"/>
              </w:rPr>
              <w:t>The monthly recognition slices.</w:t>
            </w:r>
          </w:p>
        </w:tc>
      </w:tr>
      <w:tr w:rsidR="00FB316F" w14:paraId="7D77947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7B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RevalueAccount / RevalueTransaction</w:t>
            </w:r>
          </w:p>
        </w:tc>
        <w:tc>
          <w:tcPr>
            <w:tcW w:w="16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7C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4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7D" w14:textId="77777777" w:rsidR="00FB316F" w:rsidRDefault="00A77955">
            <w:r>
              <w:rPr>
                <w:sz w:val="17"/>
                <w:szCs w:val="17"/>
              </w:rPr>
              <w:t>LegalEntity</w:t>
            </w:r>
          </w:p>
        </w:tc>
        <w:tc>
          <w:tcPr>
            <w:tcW w:w="32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7E" w14:textId="77777777" w:rsidR="00FB316F" w:rsidRDefault="00A77955">
            <w:r>
              <w:rPr>
                <w:sz w:val="17"/>
                <w:szCs w:val="17"/>
              </w:rPr>
              <w:t>FX revaluation state for balances / transactions.</w:t>
            </w:r>
          </w:p>
        </w:tc>
      </w:tr>
      <w:tr w:rsidR="00FB316F" w14:paraId="7D77948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80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Integration</w:t>
            </w:r>
          </w:p>
        </w:tc>
        <w:tc>
          <w:tcPr>
            <w:tcW w:w="16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81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4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82" w14:textId="77777777" w:rsidR="00FB316F" w:rsidRDefault="00A77955">
            <w:r>
              <w:rPr>
                <w:sz w:val="17"/>
                <w:szCs w:val="17"/>
              </w:rPr>
              <w:t>LegalEntity</w:t>
            </w:r>
          </w:p>
        </w:tc>
        <w:tc>
          <w:tcPr>
            <w:tcW w:w="32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83" w14:textId="77777777" w:rsidR="00FB316F" w:rsidRDefault="00A77955">
            <w:r>
              <w:rPr>
                <w:sz w:val="17"/>
                <w:szCs w:val="17"/>
              </w:rPr>
              <w:t>GL export configuration.</w:t>
            </w:r>
          </w:p>
        </w:tc>
      </w:tr>
      <w:tr w:rsidR="00FB316F" w14:paraId="7D779489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85" w14:textId="77777777" w:rsidR="00FB316F" w:rsidRDefault="00A77955">
            <w:r>
              <w:rPr>
                <w:rFonts w:ascii="Consolas" w:eastAsia="Consolas" w:hAnsi="Consolas" w:cs="Consolas"/>
                <w:sz w:val="17"/>
                <w:szCs w:val="17"/>
              </w:rPr>
              <w:t>ExportBatch / ExportBatchLine</w:t>
            </w:r>
          </w:p>
        </w:tc>
        <w:tc>
          <w:tcPr>
            <w:tcW w:w="16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86" w14:textId="77777777" w:rsidR="00FB316F" w:rsidRDefault="00A77955">
            <w:r>
              <w:rPr>
                <w:sz w:val="17"/>
                <w:szCs w:val="17"/>
              </w:rPr>
              <w:t>id</w:t>
            </w:r>
          </w:p>
        </w:tc>
        <w:tc>
          <w:tcPr>
            <w:tcW w:w="245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87" w14:textId="77777777" w:rsidR="00FB316F" w:rsidRDefault="00A77955">
            <w:r>
              <w:rPr>
                <w:sz w:val="17"/>
                <w:szCs w:val="17"/>
              </w:rPr>
              <w:t>LegalEntity, Integration</w:t>
            </w:r>
          </w:p>
        </w:tc>
        <w:tc>
          <w:tcPr>
            <w:tcW w:w="3200" w:type="dxa"/>
            <w:tcMar>
              <w:top w:w="36" w:type="dxa"/>
              <w:left w:w="80" w:type="dxa"/>
              <w:bottom w:w="36" w:type="dxa"/>
              <w:right w:w="80" w:type="dxa"/>
            </w:tcMar>
          </w:tcPr>
          <w:p w14:paraId="7D779488" w14:textId="77777777" w:rsidR="00FB316F" w:rsidRDefault="00A77955">
            <w:r>
              <w:rPr>
                <w:sz w:val="17"/>
                <w:szCs w:val="17"/>
              </w:rPr>
              <w:t>A GL export run and its lines.</w:t>
            </w:r>
          </w:p>
        </w:tc>
      </w:tr>
    </w:tbl>
    <w:p w14:paraId="7D77948A" w14:textId="77777777" w:rsidR="00FB316F" w:rsidRDefault="00A77955">
      <w:pPr>
        <w:pStyle w:val="Heading1"/>
        <w:spacing w:before="300" w:after="120"/>
      </w:pPr>
      <w:bookmarkStart w:id="3" w:name="_Toc238736098"/>
      <w:r>
        <w:t>4. Schema notes</w:t>
      </w:r>
      <w:bookmarkEnd w:id="3"/>
    </w:p>
    <w:p w14:paraId="7D77948B" w14:textId="77777777" w:rsidR="00FB316F" w:rsidRDefault="00A7795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Keys. </w:t>
      </w:r>
      <w:r>
        <w:t>The prototype uses simple integer ids and, for journals, a per-entity GLI number series (LedgerSerie). Keep the series concept (auditors expect stable, gap-controlled journal numbers).</w:t>
      </w:r>
    </w:p>
    <w:p w14:paraId="7D77948C" w14:textId="77777777" w:rsidR="00FB316F" w:rsidRDefault="00A7795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Amounts &amp; attributes as child rows. </w:t>
      </w:r>
      <w:r>
        <w:t xml:space="preserve">A message’s </w:t>
      </w:r>
      <w:r>
        <w:rPr>
          <w:rFonts w:ascii="Consolas" w:eastAsia="Consolas" w:hAnsi="Consolas" w:cs="Consolas"/>
          <w:color w:val="0E6BA8"/>
          <w:sz w:val="19"/>
          <w:szCs w:val="19"/>
        </w:rPr>
        <w:t>amounts</w:t>
      </w:r>
      <w:r>
        <w:t xml:space="preserve"> and </w:t>
      </w:r>
      <w:r>
        <w:rPr>
          <w:rFonts w:ascii="Consolas" w:eastAsia="Consolas" w:hAnsi="Consolas" w:cs="Consolas"/>
          <w:color w:val="0E6BA8"/>
          <w:sz w:val="19"/>
          <w:szCs w:val="19"/>
        </w:rPr>
        <w:t>conditionInputs</w:t>
      </w:r>
      <w:r>
        <w:t xml:space="preserve">, and a line’s </w:t>
      </w:r>
      <w:r>
        <w:rPr>
          <w:rFonts w:ascii="Consolas" w:eastAsia="Consolas" w:hAnsi="Consolas" w:cs="Consolas"/>
          <w:color w:val="0E6BA8"/>
          <w:sz w:val="19"/>
          <w:szCs w:val="19"/>
        </w:rPr>
        <w:t>accountValues</w:t>
      </w:r>
      <w:r>
        <w:t>, are id-keyed maps in the prototype — model them as child tables (message_amount, message_attribute, line_dimension).</w:t>
      </w:r>
    </w:p>
    <w:p w14:paraId="7D77948D" w14:textId="77777777" w:rsidR="00FB316F" w:rsidRDefault="00A7795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Snapshots. </w:t>
      </w:r>
      <w:r>
        <w:t xml:space="preserve">AccrualItem carries </w:t>
      </w:r>
      <w:r>
        <w:rPr>
          <w:rFonts w:ascii="Consolas" w:eastAsia="Consolas" w:hAnsi="Consolas" w:cs="Consolas"/>
          <w:color w:val="0E6BA8"/>
          <w:sz w:val="19"/>
          <w:szCs w:val="19"/>
        </w:rPr>
        <w:t>conditionInputs</w:t>
      </w:r>
      <w:r>
        <w:t xml:space="preserve"> and </w:t>
      </w:r>
      <w:r>
        <w:rPr>
          <w:rFonts w:ascii="Consolas" w:eastAsia="Consolas" w:hAnsi="Consolas" w:cs="Consolas"/>
          <w:color w:val="0E6BA8"/>
          <w:sz w:val="19"/>
          <w:szCs w:val="19"/>
        </w:rPr>
        <w:t>messageContext</w:t>
      </w:r>
      <w:r>
        <w:t xml:space="preserve"> captured at creation — persist those so monthly recognition is deterministic.</w:t>
      </w:r>
    </w:p>
    <w:p w14:paraId="7D77948E" w14:textId="77777777" w:rsidR="00FB316F" w:rsidRDefault="00A77955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Idempotency &amp; audit. </w:t>
      </w:r>
      <w:r>
        <w:t xml:space="preserve">Add </w:t>
      </w:r>
      <w:r>
        <w:rPr>
          <w:rFonts w:ascii="Consolas" w:eastAsia="Consolas" w:hAnsi="Consolas" w:cs="Consolas"/>
          <w:color w:val="0E6BA8"/>
          <w:sz w:val="19"/>
          <w:szCs w:val="19"/>
        </w:rPr>
        <w:t>messageId</w:t>
      </w:r>
      <w:r>
        <w:t xml:space="preserve"> + </w:t>
      </w:r>
      <w:r>
        <w:rPr>
          <w:rFonts w:ascii="Consolas" w:eastAsia="Consolas" w:hAnsi="Consolas" w:cs="Consolas"/>
          <w:color w:val="0E6BA8"/>
          <w:sz w:val="19"/>
          <w:szCs w:val="19"/>
        </w:rPr>
        <w:t>schemaVersion</w:t>
      </w:r>
      <w:r>
        <w:t xml:space="preserve"> on the inbound side, and keep the outbox (JournalPostedEvent) for reliable publishing.</w:t>
      </w:r>
    </w:p>
    <w:p w14:paraId="7D77948F" w14:textId="77777777" w:rsidR="00FB316F" w:rsidRDefault="00A77955">
      <w:pPr>
        <w:spacing w:before="240"/>
      </w:pPr>
      <w:r>
        <w:rPr>
          <w:i/>
          <w:iCs/>
          <w:color w:val="5A6472"/>
          <w:sz w:val="18"/>
          <w:szCs w:val="18"/>
        </w:rPr>
        <w:t>Tieto · derived from the prototype types.ts — a starting ER model, not a final schema.</w:t>
      </w:r>
    </w:p>
    <w:sectPr w:rsidR="00FB316F">
      <w:pgSz w:w="12240" w:h="15840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2C0D"/>
    <w:multiLevelType w:val="hybridMultilevel"/>
    <w:tmpl w:val="4484E7BC"/>
    <w:lvl w:ilvl="0" w:tplc="997806F6">
      <w:start w:val="1"/>
      <w:numFmt w:val="bullet"/>
      <w:lvlText w:val="•"/>
      <w:lvlJc w:val="left"/>
      <w:pPr>
        <w:ind w:left="460" w:hanging="260"/>
      </w:pPr>
      <w:rPr>
        <w:color w:val="00395D"/>
      </w:rPr>
    </w:lvl>
    <w:lvl w:ilvl="1" w:tplc="9028C266">
      <w:numFmt w:val="decimal"/>
      <w:lvlText w:val=""/>
      <w:lvlJc w:val="left"/>
    </w:lvl>
    <w:lvl w:ilvl="2" w:tplc="75B4F116">
      <w:numFmt w:val="decimal"/>
      <w:lvlText w:val=""/>
      <w:lvlJc w:val="left"/>
    </w:lvl>
    <w:lvl w:ilvl="3" w:tplc="92D8CE1C">
      <w:numFmt w:val="decimal"/>
      <w:lvlText w:val=""/>
      <w:lvlJc w:val="left"/>
    </w:lvl>
    <w:lvl w:ilvl="4" w:tplc="B01CC168">
      <w:numFmt w:val="decimal"/>
      <w:lvlText w:val=""/>
      <w:lvlJc w:val="left"/>
    </w:lvl>
    <w:lvl w:ilvl="5" w:tplc="53E63382">
      <w:numFmt w:val="decimal"/>
      <w:lvlText w:val=""/>
      <w:lvlJc w:val="left"/>
    </w:lvl>
    <w:lvl w:ilvl="6" w:tplc="921A61B4">
      <w:numFmt w:val="decimal"/>
      <w:lvlText w:val=""/>
      <w:lvlJc w:val="left"/>
    </w:lvl>
    <w:lvl w:ilvl="7" w:tplc="B7164B68">
      <w:numFmt w:val="decimal"/>
      <w:lvlText w:val=""/>
      <w:lvlJc w:val="left"/>
    </w:lvl>
    <w:lvl w:ilvl="8" w:tplc="51AEE7A6">
      <w:numFmt w:val="decimal"/>
      <w:lvlText w:val=""/>
      <w:lvlJc w:val="left"/>
    </w:lvl>
  </w:abstractNum>
  <w:abstractNum w:abstractNumId="1" w15:restartNumberingAfterBreak="0">
    <w:nsid w:val="6F670BE5"/>
    <w:multiLevelType w:val="hybridMultilevel"/>
    <w:tmpl w:val="0D2CCE50"/>
    <w:lvl w:ilvl="0" w:tplc="7F8EFAD8">
      <w:start w:val="1"/>
      <w:numFmt w:val="bullet"/>
      <w:lvlText w:val="●"/>
      <w:lvlJc w:val="left"/>
      <w:pPr>
        <w:ind w:left="720" w:hanging="360"/>
      </w:pPr>
    </w:lvl>
    <w:lvl w:ilvl="1" w:tplc="BB149F2C">
      <w:start w:val="1"/>
      <w:numFmt w:val="bullet"/>
      <w:lvlText w:val="○"/>
      <w:lvlJc w:val="left"/>
      <w:pPr>
        <w:ind w:left="1440" w:hanging="360"/>
      </w:pPr>
    </w:lvl>
    <w:lvl w:ilvl="2" w:tplc="CB54CF4C">
      <w:start w:val="1"/>
      <w:numFmt w:val="bullet"/>
      <w:lvlText w:val="■"/>
      <w:lvlJc w:val="left"/>
      <w:pPr>
        <w:ind w:left="2160" w:hanging="360"/>
      </w:pPr>
    </w:lvl>
    <w:lvl w:ilvl="3" w:tplc="134E186A">
      <w:start w:val="1"/>
      <w:numFmt w:val="bullet"/>
      <w:lvlText w:val="●"/>
      <w:lvlJc w:val="left"/>
      <w:pPr>
        <w:ind w:left="2880" w:hanging="360"/>
      </w:pPr>
    </w:lvl>
    <w:lvl w:ilvl="4" w:tplc="06E2900E">
      <w:start w:val="1"/>
      <w:numFmt w:val="bullet"/>
      <w:lvlText w:val="○"/>
      <w:lvlJc w:val="left"/>
      <w:pPr>
        <w:ind w:left="3600" w:hanging="360"/>
      </w:pPr>
    </w:lvl>
    <w:lvl w:ilvl="5" w:tplc="EBACAFE2">
      <w:start w:val="1"/>
      <w:numFmt w:val="bullet"/>
      <w:lvlText w:val="■"/>
      <w:lvlJc w:val="left"/>
      <w:pPr>
        <w:ind w:left="4320" w:hanging="360"/>
      </w:pPr>
    </w:lvl>
    <w:lvl w:ilvl="6" w:tplc="21BEEEA2">
      <w:start w:val="1"/>
      <w:numFmt w:val="bullet"/>
      <w:lvlText w:val="●"/>
      <w:lvlJc w:val="left"/>
      <w:pPr>
        <w:ind w:left="5040" w:hanging="360"/>
      </w:pPr>
    </w:lvl>
    <w:lvl w:ilvl="7" w:tplc="83302C30">
      <w:start w:val="1"/>
      <w:numFmt w:val="bullet"/>
      <w:lvlText w:val="●"/>
      <w:lvlJc w:val="left"/>
      <w:pPr>
        <w:ind w:left="5760" w:hanging="360"/>
      </w:pPr>
    </w:lvl>
    <w:lvl w:ilvl="8" w:tplc="B1128C2E">
      <w:start w:val="1"/>
      <w:numFmt w:val="bullet"/>
      <w:lvlText w:val="●"/>
      <w:lvlJc w:val="left"/>
      <w:pPr>
        <w:ind w:left="6480" w:hanging="360"/>
      </w:pPr>
    </w:lvl>
  </w:abstractNum>
  <w:num w:numId="1" w16cid:durableId="590965713">
    <w:abstractNumId w:val="1"/>
    <w:lvlOverride w:ilvl="0">
      <w:startOverride w:val="1"/>
    </w:lvlOverride>
  </w:num>
  <w:num w:numId="2" w16cid:durableId="7587942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16F"/>
    <w:rsid w:val="00841037"/>
    <w:rsid w:val="00A77955"/>
    <w:rsid w:val="00B04CDC"/>
    <w:rsid w:val="00FB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D7793A6"/>
  <w15:docId w15:val="{FF7129B6-C648-48EA-A0D3-BE8AF5D3E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430"/>
        <w:sz w:val="21"/>
        <w:szCs w:val="21"/>
        <w:lang w:val="en-SE" w:eastAsia="en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00395D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04CD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755</Words>
  <Characters>4964</Characters>
  <Application>Microsoft Office Word</Application>
  <DocSecurity>0</DocSecurity>
  <Lines>261</Lines>
  <Paragraphs>219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One Credit Engine</dc:creator>
  <cp:lastModifiedBy>Rikard Krameus</cp:lastModifiedBy>
  <cp:revision>2</cp:revision>
  <dcterms:created xsi:type="dcterms:W3CDTF">2026-08-27T13:04:00Z</dcterms:created>
  <dcterms:modified xsi:type="dcterms:W3CDTF">2026-08-27T13:14:00Z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623b29-abd1-4de3-a20c-27566d79b7c7_Enabled">
    <vt:lpwstr>true</vt:lpwstr>
  </property>
  <property fmtid="{D5CDD505-2E9C-101B-9397-08002B2CF9AE}" pid="3" name="MSIP_Label_3b623b29-abd1-4de3-a20c-27566d79b7c7_SetDate">
    <vt:lpwstr>2026-08-27T13:14:32Z</vt:lpwstr>
  </property>
  <property fmtid="{D5CDD505-2E9C-101B-9397-08002B2CF9AE}" pid="4" name="MSIP_Label_3b623b29-abd1-4de3-a20c-27566d79b7c7_Method">
    <vt:lpwstr>Standard</vt:lpwstr>
  </property>
  <property fmtid="{D5CDD505-2E9C-101B-9397-08002B2CF9AE}" pid="5" name="MSIP_Label_3b623b29-abd1-4de3-a20c-27566d79b7c7_Name">
    <vt:lpwstr>3b623b29-abd1-4de3-a20c-27566d79b7c7</vt:lpwstr>
  </property>
  <property fmtid="{D5CDD505-2E9C-101B-9397-08002B2CF9AE}" pid="6" name="MSIP_Label_3b623b29-abd1-4de3-a20c-27566d79b7c7_SiteId">
    <vt:lpwstr>cbede638-a3d9-459f-8f4e-24ced73b4e5e</vt:lpwstr>
  </property>
  <property fmtid="{D5CDD505-2E9C-101B-9397-08002B2CF9AE}" pid="7" name="MSIP_Label_3b623b29-abd1-4de3-a20c-27566d79b7c7_ActionId">
    <vt:lpwstr>afd828dd-c720-433c-b1a2-024bf32ed53c</vt:lpwstr>
  </property>
  <property fmtid="{D5CDD505-2E9C-101B-9397-08002B2CF9AE}" pid="8" name="MSIP_Label_3b623b29-abd1-4de3-a20c-27566d79b7c7_ContentBits">
    <vt:lpwstr>0</vt:lpwstr>
  </property>
  <property fmtid="{D5CDD505-2E9C-101B-9397-08002B2CF9AE}" pid="9" name="MSIP_Label_3b623b29-abd1-4de3-a20c-27566d79b7c7_Tag">
    <vt:lpwstr>10, 3, 0, 1</vt:lpwstr>
  </property>
</Properties>
</file>