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838A6" w14:textId="77777777" w:rsidR="00606A8D" w:rsidRDefault="007B6576">
      <w:pPr>
        <w:spacing w:after="60"/>
      </w:pPr>
      <w:r>
        <w:rPr>
          <w:b/>
          <w:bCs/>
          <w:color w:val="00395D"/>
          <w:sz w:val="30"/>
          <w:szCs w:val="30"/>
        </w:rPr>
        <w:t>tieto</w:t>
      </w:r>
      <w:r>
        <w:rPr>
          <w:color w:val="5A6472"/>
          <w:sz w:val="24"/>
          <w:szCs w:val="24"/>
        </w:rPr>
        <w:t xml:space="preserve">   |   One Credit Engine</w:t>
      </w:r>
    </w:p>
    <w:p w14:paraId="4CB838A7" w14:textId="77777777" w:rsidR="00606A8D" w:rsidRDefault="007B6576">
      <w:pPr>
        <w:spacing w:after="40"/>
      </w:pPr>
      <w:r>
        <w:rPr>
          <w:b/>
          <w:bCs/>
          <w:sz w:val="38"/>
          <w:szCs w:val="38"/>
        </w:rPr>
        <w:t>Opening Balances &amp; Year-End Close</w:t>
      </w:r>
    </w:p>
    <w:p w14:paraId="4CB838A8" w14:textId="77777777" w:rsidR="00606A8D" w:rsidRDefault="007B6576">
      <w:pPr>
        <w:spacing w:after="200"/>
      </w:pPr>
      <w:r>
        <w:rPr>
          <w:color w:val="5A6472"/>
          <w:sz w:val="25"/>
          <w:szCs w:val="25"/>
        </w:rPr>
        <w:t>How the process works — and a step-by-step guide to the screens</w:t>
      </w:r>
    </w:p>
    <w:p w14:paraId="4CB838A9" w14:textId="77777777" w:rsidR="00606A8D" w:rsidRDefault="00606A8D">
      <w:pPr>
        <w:pBdr>
          <w:bottom w:val="single" w:sz="8" w:space="0" w:color="00395D"/>
        </w:pBdr>
        <w:spacing w:after="200"/>
      </w:pPr>
    </w:p>
    <w:p w14:paraId="4CB838AA" w14:textId="77777777" w:rsidR="00606A8D" w:rsidRDefault="007B6576">
      <w:pPr>
        <w:spacing w:after="100"/>
      </w:pPr>
      <w:r>
        <w:rPr>
          <w:b/>
          <w:bCs/>
          <w:sz w:val="24"/>
          <w:szCs w:val="24"/>
        </w:rPr>
        <w:t>Contents</w:t>
      </w:r>
    </w:p>
    <w:sdt>
      <w:sdtPr>
        <w:alias w:val="Contents"/>
        <w:id w:val="-402293655"/>
      </w:sdtPr>
      <w:sdtEndPr/>
      <w:sdtContent>
        <w:p w14:paraId="1F0046B3" w14:textId="04004693" w:rsidR="00933433" w:rsidRDefault="007B6576">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9916921" w:history="1">
            <w:r w:rsidR="00933433" w:rsidRPr="009E3028">
              <w:rPr>
                <w:rStyle w:val="Hyperlink"/>
                <w:noProof/>
              </w:rPr>
              <w:t>1. What this guide covers</w:t>
            </w:r>
            <w:r w:rsidR="00933433">
              <w:rPr>
                <w:noProof/>
              </w:rPr>
              <w:tab/>
            </w:r>
            <w:r w:rsidR="00933433">
              <w:rPr>
                <w:noProof/>
              </w:rPr>
              <w:fldChar w:fldCharType="begin"/>
            </w:r>
            <w:r w:rsidR="00933433">
              <w:rPr>
                <w:noProof/>
              </w:rPr>
              <w:instrText xml:space="preserve"> PAGEREF _Toc239916921 \h </w:instrText>
            </w:r>
            <w:r w:rsidR="00933433">
              <w:rPr>
                <w:noProof/>
              </w:rPr>
            </w:r>
            <w:r w:rsidR="00933433">
              <w:rPr>
                <w:noProof/>
              </w:rPr>
              <w:fldChar w:fldCharType="separate"/>
            </w:r>
            <w:r w:rsidR="00933433">
              <w:rPr>
                <w:noProof/>
              </w:rPr>
              <w:t>2</w:t>
            </w:r>
            <w:r w:rsidR="00933433">
              <w:rPr>
                <w:noProof/>
              </w:rPr>
              <w:fldChar w:fldCharType="end"/>
            </w:r>
          </w:hyperlink>
        </w:p>
        <w:p w14:paraId="68A4F626" w14:textId="3235BB6D" w:rsidR="00933433" w:rsidRDefault="00933433">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916922" w:history="1">
            <w:r w:rsidRPr="009E3028">
              <w:rPr>
                <w:rStyle w:val="Hyperlink"/>
                <w:noProof/>
              </w:rPr>
              <w:t>2. The idea in one minute</w:t>
            </w:r>
            <w:r>
              <w:rPr>
                <w:noProof/>
              </w:rPr>
              <w:tab/>
            </w:r>
            <w:r>
              <w:rPr>
                <w:noProof/>
              </w:rPr>
              <w:fldChar w:fldCharType="begin"/>
            </w:r>
            <w:r>
              <w:rPr>
                <w:noProof/>
              </w:rPr>
              <w:instrText xml:space="preserve"> PAGEREF _Toc239916922 \h </w:instrText>
            </w:r>
            <w:r>
              <w:rPr>
                <w:noProof/>
              </w:rPr>
            </w:r>
            <w:r>
              <w:rPr>
                <w:noProof/>
              </w:rPr>
              <w:fldChar w:fldCharType="separate"/>
            </w:r>
            <w:r>
              <w:rPr>
                <w:noProof/>
              </w:rPr>
              <w:t>2</w:t>
            </w:r>
            <w:r>
              <w:rPr>
                <w:noProof/>
              </w:rPr>
              <w:fldChar w:fldCharType="end"/>
            </w:r>
          </w:hyperlink>
        </w:p>
        <w:p w14:paraId="1B8407B1" w14:textId="645E1277" w:rsidR="00933433" w:rsidRDefault="00933433">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916923" w:history="1">
            <w:r w:rsidRPr="009E3028">
              <w:rPr>
                <w:rStyle w:val="Hyperlink"/>
                <w:noProof/>
              </w:rPr>
              <w:t>2.1 Two kinds of account behave differently</w:t>
            </w:r>
            <w:r>
              <w:rPr>
                <w:noProof/>
              </w:rPr>
              <w:tab/>
            </w:r>
            <w:r>
              <w:rPr>
                <w:noProof/>
              </w:rPr>
              <w:fldChar w:fldCharType="begin"/>
            </w:r>
            <w:r>
              <w:rPr>
                <w:noProof/>
              </w:rPr>
              <w:instrText xml:space="preserve"> PAGEREF _Toc239916923 \h </w:instrText>
            </w:r>
            <w:r>
              <w:rPr>
                <w:noProof/>
              </w:rPr>
            </w:r>
            <w:r>
              <w:rPr>
                <w:noProof/>
              </w:rPr>
              <w:fldChar w:fldCharType="separate"/>
            </w:r>
            <w:r>
              <w:rPr>
                <w:noProof/>
              </w:rPr>
              <w:t>2</w:t>
            </w:r>
            <w:r>
              <w:rPr>
                <w:noProof/>
              </w:rPr>
              <w:fldChar w:fldCharType="end"/>
            </w:r>
          </w:hyperlink>
        </w:p>
        <w:p w14:paraId="3327DCC1" w14:textId="327D7767" w:rsidR="00933433" w:rsidRDefault="00933433">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916924" w:history="1">
            <w:r w:rsidRPr="009E3028">
              <w:rPr>
                <w:rStyle w:val="Hyperlink"/>
                <w:noProof/>
              </w:rPr>
              <w:t>2.2 Opening balances are normally carried forward, not typed</w:t>
            </w:r>
            <w:r>
              <w:rPr>
                <w:noProof/>
              </w:rPr>
              <w:tab/>
            </w:r>
            <w:r>
              <w:rPr>
                <w:noProof/>
              </w:rPr>
              <w:fldChar w:fldCharType="begin"/>
            </w:r>
            <w:r>
              <w:rPr>
                <w:noProof/>
              </w:rPr>
              <w:instrText xml:space="preserve"> PAGEREF _Toc239916924 \h </w:instrText>
            </w:r>
            <w:r>
              <w:rPr>
                <w:noProof/>
              </w:rPr>
            </w:r>
            <w:r>
              <w:rPr>
                <w:noProof/>
              </w:rPr>
              <w:fldChar w:fldCharType="separate"/>
            </w:r>
            <w:r>
              <w:rPr>
                <w:noProof/>
              </w:rPr>
              <w:t>2</w:t>
            </w:r>
            <w:r>
              <w:rPr>
                <w:noProof/>
              </w:rPr>
              <w:fldChar w:fldCharType="end"/>
            </w:r>
          </w:hyperlink>
        </w:p>
        <w:p w14:paraId="1B4CAE95" w14:textId="3299CBCB" w:rsidR="00933433" w:rsidRDefault="00933433">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916925" w:history="1">
            <w:r w:rsidRPr="009E3028">
              <w:rPr>
                <w:rStyle w:val="Hyperlink"/>
                <w:noProof/>
              </w:rPr>
              <w:t>2.3 The year-end close does two things</w:t>
            </w:r>
            <w:r>
              <w:rPr>
                <w:noProof/>
              </w:rPr>
              <w:tab/>
            </w:r>
            <w:r>
              <w:rPr>
                <w:noProof/>
              </w:rPr>
              <w:fldChar w:fldCharType="begin"/>
            </w:r>
            <w:r>
              <w:rPr>
                <w:noProof/>
              </w:rPr>
              <w:instrText xml:space="preserve"> PAGEREF _Toc239916925 \h </w:instrText>
            </w:r>
            <w:r>
              <w:rPr>
                <w:noProof/>
              </w:rPr>
            </w:r>
            <w:r>
              <w:rPr>
                <w:noProof/>
              </w:rPr>
              <w:fldChar w:fldCharType="separate"/>
            </w:r>
            <w:r>
              <w:rPr>
                <w:noProof/>
              </w:rPr>
              <w:t>2</w:t>
            </w:r>
            <w:r>
              <w:rPr>
                <w:noProof/>
              </w:rPr>
              <w:fldChar w:fldCharType="end"/>
            </w:r>
          </w:hyperlink>
        </w:p>
        <w:p w14:paraId="67D25521" w14:textId="1CF8AB5D" w:rsidR="00933433" w:rsidRDefault="00933433">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916926" w:history="1">
            <w:r w:rsidRPr="009E3028">
              <w:rPr>
                <w:rStyle w:val="Hyperlink"/>
                <w:noProof/>
              </w:rPr>
              <w:t>2.4 Out-of-balance “difference” journals are held out of the statements</w:t>
            </w:r>
            <w:r>
              <w:rPr>
                <w:noProof/>
              </w:rPr>
              <w:tab/>
            </w:r>
            <w:r>
              <w:rPr>
                <w:noProof/>
              </w:rPr>
              <w:fldChar w:fldCharType="begin"/>
            </w:r>
            <w:r>
              <w:rPr>
                <w:noProof/>
              </w:rPr>
              <w:instrText xml:space="preserve"> PAGEREF _Toc239916926 \h </w:instrText>
            </w:r>
            <w:r>
              <w:rPr>
                <w:noProof/>
              </w:rPr>
            </w:r>
            <w:r>
              <w:rPr>
                <w:noProof/>
              </w:rPr>
              <w:fldChar w:fldCharType="separate"/>
            </w:r>
            <w:r>
              <w:rPr>
                <w:noProof/>
              </w:rPr>
              <w:t>2</w:t>
            </w:r>
            <w:r>
              <w:rPr>
                <w:noProof/>
              </w:rPr>
              <w:fldChar w:fldCharType="end"/>
            </w:r>
          </w:hyperlink>
        </w:p>
        <w:p w14:paraId="0B18CC60" w14:textId="51AFDECE" w:rsidR="00933433" w:rsidRDefault="00933433">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916927" w:history="1">
            <w:r w:rsidRPr="009E3028">
              <w:rPr>
                <w:rStyle w:val="Hyperlink"/>
                <w:noProof/>
              </w:rPr>
              <w:t>2.5 A “Balance brought forward” journal makes the carry-forward visible</w:t>
            </w:r>
            <w:r>
              <w:rPr>
                <w:noProof/>
              </w:rPr>
              <w:tab/>
            </w:r>
            <w:r>
              <w:rPr>
                <w:noProof/>
              </w:rPr>
              <w:fldChar w:fldCharType="begin"/>
            </w:r>
            <w:r>
              <w:rPr>
                <w:noProof/>
              </w:rPr>
              <w:instrText xml:space="preserve"> PAGEREF _Toc239916927 \h </w:instrText>
            </w:r>
            <w:r>
              <w:rPr>
                <w:noProof/>
              </w:rPr>
            </w:r>
            <w:r>
              <w:rPr>
                <w:noProof/>
              </w:rPr>
              <w:fldChar w:fldCharType="separate"/>
            </w:r>
            <w:r>
              <w:rPr>
                <w:noProof/>
              </w:rPr>
              <w:t>2</w:t>
            </w:r>
            <w:r>
              <w:rPr>
                <w:noProof/>
              </w:rPr>
              <w:fldChar w:fldCharType="end"/>
            </w:r>
          </w:hyperlink>
        </w:p>
        <w:p w14:paraId="51653C3E" w14:textId="15031120" w:rsidR="00933433" w:rsidRDefault="00933433">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916928" w:history="1">
            <w:r w:rsidRPr="009E3028">
              <w:rPr>
                <w:rStyle w:val="Hyperlink"/>
                <w:noProof/>
              </w:rPr>
              <w:t>3. Where to find it in the app</w:t>
            </w:r>
            <w:r>
              <w:rPr>
                <w:noProof/>
              </w:rPr>
              <w:tab/>
            </w:r>
            <w:r>
              <w:rPr>
                <w:noProof/>
              </w:rPr>
              <w:fldChar w:fldCharType="begin"/>
            </w:r>
            <w:r>
              <w:rPr>
                <w:noProof/>
              </w:rPr>
              <w:instrText xml:space="preserve"> PAGEREF _Toc239916928 \h </w:instrText>
            </w:r>
            <w:r>
              <w:rPr>
                <w:noProof/>
              </w:rPr>
            </w:r>
            <w:r>
              <w:rPr>
                <w:noProof/>
              </w:rPr>
              <w:fldChar w:fldCharType="separate"/>
            </w:r>
            <w:r>
              <w:rPr>
                <w:noProof/>
              </w:rPr>
              <w:t>3</w:t>
            </w:r>
            <w:r>
              <w:rPr>
                <w:noProof/>
              </w:rPr>
              <w:fldChar w:fldCharType="end"/>
            </w:r>
          </w:hyperlink>
        </w:p>
        <w:p w14:paraId="33C4E74C" w14:textId="7A833B64" w:rsidR="00933433" w:rsidRDefault="00933433">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916929" w:history="1">
            <w:r w:rsidRPr="009E3028">
              <w:rPr>
                <w:rStyle w:val="Hyperlink"/>
                <w:noProof/>
              </w:rPr>
              <w:t>4. Walkthrough A — Enter &amp; review opening balances</w:t>
            </w:r>
            <w:r>
              <w:rPr>
                <w:noProof/>
              </w:rPr>
              <w:tab/>
            </w:r>
            <w:r>
              <w:rPr>
                <w:noProof/>
              </w:rPr>
              <w:fldChar w:fldCharType="begin"/>
            </w:r>
            <w:r>
              <w:rPr>
                <w:noProof/>
              </w:rPr>
              <w:instrText xml:space="preserve"> PAGEREF _Toc239916929 \h </w:instrText>
            </w:r>
            <w:r>
              <w:rPr>
                <w:noProof/>
              </w:rPr>
            </w:r>
            <w:r>
              <w:rPr>
                <w:noProof/>
              </w:rPr>
              <w:fldChar w:fldCharType="separate"/>
            </w:r>
            <w:r>
              <w:rPr>
                <w:noProof/>
              </w:rPr>
              <w:t>4</w:t>
            </w:r>
            <w:r>
              <w:rPr>
                <w:noProof/>
              </w:rPr>
              <w:fldChar w:fldCharType="end"/>
            </w:r>
          </w:hyperlink>
        </w:p>
        <w:p w14:paraId="23EA211C" w14:textId="3382DB35" w:rsidR="00933433" w:rsidRDefault="00933433">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916930" w:history="1">
            <w:r w:rsidRPr="009E3028">
              <w:rPr>
                <w:rStyle w:val="Hyperlink"/>
                <w:noProof/>
              </w:rPr>
              <w:t>5. Walkthrough B — Close a fiscal year</w:t>
            </w:r>
            <w:r>
              <w:rPr>
                <w:noProof/>
              </w:rPr>
              <w:tab/>
            </w:r>
            <w:r>
              <w:rPr>
                <w:noProof/>
              </w:rPr>
              <w:fldChar w:fldCharType="begin"/>
            </w:r>
            <w:r>
              <w:rPr>
                <w:noProof/>
              </w:rPr>
              <w:instrText xml:space="preserve"> PAGEREF _Toc239916930 \h </w:instrText>
            </w:r>
            <w:r>
              <w:rPr>
                <w:noProof/>
              </w:rPr>
            </w:r>
            <w:r>
              <w:rPr>
                <w:noProof/>
              </w:rPr>
              <w:fldChar w:fldCharType="separate"/>
            </w:r>
            <w:r>
              <w:rPr>
                <w:noProof/>
              </w:rPr>
              <w:t>5</w:t>
            </w:r>
            <w:r>
              <w:rPr>
                <w:noProof/>
              </w:rPr>
              <w:fldChar w:fldCharType="end"/>
            </w:r>
          </w:hyperlink>
        </w:p>
        <w:p w14:paraId="6804E21F" w14:textId="786410F3" w:rsidR="00933433" w:rsidRDefault="00933433">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916931" w:history="1">
            <w:r w:rsidRPr="009E3028">
              <w:rPr>
                <w:rStyle w:val="Hyperlink"/>
                <w:noProof/>
              </w:rPr>
              <w:t>6. Walkthrough C — Read the numbers with “Ask Accountant”</w:t>
            </w:r>
            <w:r>
              <w:rPr>
                <w:noProof/>
              </w:rPr>
              <w:tab/>
            </w:r>
            <w:r>
              <w:rPr>
                <w:noProof/>
              </w:rPr>
              <w:fldChar w:fldCharType="begin"/>
            </w:r>
            <w:r>
              <w:rPr>
                <w:noProof/>
              </w:rPr>
              <w:instrText xml:space="preserve"> PAGEREF _Toc239916931 \h </w:instrText>
            </w:r>
            <w:r>
              <w:rPr>
                <w:noProof/>
              </w:rPr>
            </w:r>
            <w:r>
              <w:rPr>
                <w:noProof/>
              </w:rPr>
              <w:fldChar w:fldCharType="separate"/>
            </w:r>
            <w:r>
              <w:rPr>
                <w:noProof/>
              </w:rPr>
              <w:t>6</w:t>
            </w:r>
            <w:r>
              <w:rPr>
                <w:noProof/>
              </w:rPr>
              <w:fldChar w:fldCharType="end"/>
            </w:r>
          </w:hyperlink>
        </w:p>
        <w:p w14:paraId="1E63ACE2" w14:textId="2893EDFB" w:rsidR="00933433" w:rsidRDefault="00933433">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916932" w:history="1">
            <w:r w:rsidRPr="009E3028">
              <w:rPr>
                <w:rStyle w:val="Hyperlink"/>
                <w:noProof/>
              </w:rPr>
              <w:t>7. How it all fits together</w:t>
            </w:r>
            <w:r>
              <w:rPr>
                <w:noProof/>
              </w:rPr>
              <w:tab/>
            </w:r>
            <w:r>
              <w:rPr>
                <w:noProof/>
              </w:rPr>
              <w:fldChar w:fldCharType="begin"/>
            </w:r>
            <w:r>
              <w:rPr>
                <w:noProof/>
              </w:rPr>
              <w:instrText xml:space="preserve"> PAGEREF _Toc239916932 \h </w:instrText>
            </w:r>
            <w:r>
              <w:rPr>
                <w:noProof/>
              </w:rPr>
            </w:r>
            <w:r>
              <w:rPr>
                <w:noProof/>
              </w:rPr>
              <w:fldChar w:fldCharType="separate"/>
            </w:r>
            <w:r>
              <w:rPr>
                <w:noProof/>
              </w:rPr>
              <w:t>7</w:t>
            </w:r>
            <w:r>
              <w:rPr>
                <w:noProof/>
              </w:rPr>
              <w:fldChar w:fldCharType="end"/>
            </w:r>
          </w:hyperlink>
        </w:p>
        <w:p w14:paraId="70EC29F9" w14:textId="5CD242E1" w:rsidR="00933433" w:rsidRDefault="00933433">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916933" w:history="1">
            <w:r w:rsidRPr="009E3028">
              <w:rPr>
                <w:rStyle w:val="Hyperlink"/>
                <w:noProof/>
              </w:rPr>
              <w:t>8. Rules &amp; principles</w:t>
            </w:r>
            <w:r>
              <w:rPr>
                <w:noProof/>
              </w:rPr>
              <w:tab/>
            </w:r>
            <w:r>
              <w:rPr>
                <w:noProof/>
              </w:rPr>
              <w:fldChar w:fldCharType="begin"/>
            </w:r>
            <w:r>
              <w:rPr>
                <w:noProof/>
              </w:rPr>
              <w:instrText xml:space="preserve"> PAGEREF _Toc239916933 \h </w:instrText>
            </w:r>
            <w:r>
              <w:rPr>
                <w:noProof/>
              </w:rPr>
            </w:r>
            <w:r>
              <w:rPr>
                <w:noProof/>
              </w:rPr>
              <w:fldChar w:fldCharType="separate"/>
            </w:r>
            <w:r>
              <w:rPr>
                <w:noProof/>
              </w:rPr>
              <w:t>7</w:t>
            </w:r>
            <w:r>
              <w:rPr>
                <w:noProof/>
              </w:rPr>
              <w:fldChar w:fldCharType="end"/>
            </w:r>
          </w:hyperlink>
        </w:p>
        <w:p w14:paraId="2F13276D" w14:textId="40EA4157" w:rsidR="00933433" w:rsidRDefault="00933433">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916934" w:history="1">
            <w:r w:rsidRPr="009E3028">
              <w:rPr>
                <w:rStyle w:val="Hyperlink"/>
                <w:noProof/>
              </w:rPr>
              <w:t>9. Reference</w:t>
            </w:r>
            <w:r>
              <w:rPr>
                <w:noProof/>
              </w:rPr>
              <w:tab/>
            </w:r>
            <w:r>
              <w:rPr>
                <w:noProof/>
              </w:rPr>
              <w:fldChar w:fldCharType="begin"/>
            </w:r>
            <w:r>
              <w:rPr>
                <w:noProof/>
              </w:rPr>
              <w:instrText xml:space="preserve"> PAGEREF _Toc239916934 \h </w:instrText>
            </w:r>
            <w:r>
              <w:rPr>
                <w:noProof/>
              </w:rPr>
            </w:r>
            <w:r>
              <w:rPr>
                <w:noProof/>
              </w:rPr>
              <w:fldChar w:fldCharType="separate"/>
            </w:r>
            <w:r>
              <w:rPr>
                <w:noProof/>
              </w:rPr>
              <w:t>7</w:t>
            </w:r>
            <w:r>
              <w:rPr>
                <w:noProof/>
              </w:rPr>
              <w:fldChar w:fldCharType="end"/>
            </w:r>
          </w:hyperlink>
        </w:p>
        <w:p w14:paraId="0CDC3EB7" w14:textId="3316131D" w:rsidR="00933433" w:rsidRDefault="00933433">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916935" w:history="1">
            <w:r w:rsidRPr="009E3028">
              <w:rPr>
                <w:rStyle w:val="Hyperlink"/>
                <w:noProof/>
              </w:rPr>
              <w:t>9.1 Opening balance record</w:t>
            </w:r>
            <w:r>
              <w:rPr>
                <w:noProof/>
              </w:rPr>
              <w:tab/>
            </w:r>
            <w:r>
              <w:rPr>
                <w:noProof/>
              </w:rPr>
              <w:fldChar w:fldCharType="begin"/>
            </w:r>
            <w:r>
              <w:rPr>
                <w:noProof/>
              </w:rPr>
              <w:instrText xml:space="preserve"> PAGEREF _Toc239916935 \h </w:instrText>
            </w:r>
            <w:r>
              <w:rPr>
                <w:noProof/>
              </w:rPr>
            </w:r>
            <w:r>
              <w:rPr>
                <w:noProof/>
              </w:rPr>
              <w:fldChar w:fldCharType="separate"/>
            </w:r>
            <w:r>
              <w:rPr>
                <w:noProof/>
              </w:rPr>
              <w:t>7</w:t>
            </w:r>
            <w:r>
              <w:rPr>
                <w:noProof/>
              </w:rPr>
              <w:fldChar w:fldCharType="end"/>
            </w:r>
          </w:hyperlink>
        </w:p>
        <w:p w14:paraId="785EBC35" w14:textId="13058AD8" w:rsidR="00933433" w:rsidRDefault="00933433">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916936" w:history="1">
            <w:r w:rsidRPr="009E3028">
              <w:rPr>
                <w:rStyle w:val="Hyperlink"/>
                <w:noProof/>
              </w:rPr>
              <w:t>9.2 Prototype notes</w:t>
            </w:r>
            <w:r>
              <w:rPr>
                <w:noProof/>
              </w:rPr>
              <w:tab/>
            </w:r>
            <w:r>
              <w:rPr>
                <w:noProof/>
              </w:rPr>
              <w:fldChar w:fldCharType="begin"/>
            </w:r>
            <w:r>
              <w:rPr>
                <w:noProof/>
              </w:rPr>
              <w:instrText xml:space="preserve"> PAGEREF _Toc239916936 \h </w:instrText>
            </w:r>
            <w:r>
              <w:rPr>
                <w:noProof/>
              </w:rPr>
            </w:r>
            <w:r>
              <w:rPr>
                <w:noProof/>
              </w:rPr>
              <w:fldChar w:fldCharType="separate"/>
            </w:r>
            <w:r>
              <w:rPr>
                <w:noProof/>
              </w:rPr>
              <w:t>7</w:t>
            </w:r>
            <w:r>
              <w:rPr>
                <w:noProof/>
              </w:rPr>
              <w:fldChar w:fldCharType="end"/>
            </w:r>
          </w:hyperlink>
        </w:p>
        <w:p w14:paraId="4CB838AC" w14:textId="65673344" w:rsidR="00606A8D" w:rsidRDefault="007B6576">
          <w:r>
            <w:fldChar w:fldCharType="end"/>
          </w:r>
        </w:p>
      </w:sdtContent>
    </w:sdt>
    <w:p w14:paraId="4CB838AD" w14:textId="77777777" w:rsidR="00606A8D" w:rsidRDefault="007B6576">
      <w:r>
        <w:br w:type="page"/>
      </w:r>
    </w:p>
    <w:p w14:paraId="4CB838AE" w14:textId="77777777" w:rsidR="00606A8D" w:rsidRDefault="007B6576">
      <w:pPr>
        <w:pStyle w:val="Heading1"/>
        <w:spacing w:before="300" w:after="120"/>
      </w:pPr>
      <w:bookmarkStart w:id="0" w:name="_Toc239916921"/>
      <w:r>
        <w:lastRenderedPageBreak/>
        <w:t>1. What this guide covers</w:t>
      </w:r>
      <w:bookmarkEnd w:id="0"/>
    </w:p>
    <w:p w14:paraId="4CB838AF" w14:textId="77777777" w:rsidR="00606A8D" w:rsidRDefault="007B6576">
      <w:pPr>
        <w:spacing w:after="120" w:line="276" w:lineRule="auto"/>
      </w:pPr>
      <w:r>
        <w:t>This guide explains how a legal entity’s opening balances and year-end close work in the Accounting Domain prototype, and walks you through the screens that do the job. It is written for someone using the app — an accountant, a product person or a developer — who wants to understand both the accounting idea and where to click.</w:t>
      </w:r>
    </w:p>
    <w:p w14:paraId="4CB838B0" w14:textId="77777777" w:rsidR="00606A8D" w:rsidRDefault="007B6576">
      <w:pPr>
        <w:spacing w:after="120" w:line="276" w:lineRule="auto"/>
      </w:pPr>
      <w:r>
        <w:rPr>
          <w:b/>
          <w:bCs/>
        </w:rPr>
        <w:t xml:space="preserve">You will learn: </w:t>
      </w:r>
      <w:r>
        <w:t>what an opening balance is and when it is entered; how the year-end close carries balances forward and disposes the result to equity; how to read profit, the trial balance and the balance sheet through the built-in “Ask Accountant” assistant; and the rules that keep the numbers honest.</w:t>
      </w:r>
    </w:p>
    <w:p w14:paraId="4CB838B1" w14:textId="77777777" w:rsidR="00606A8D" w:rsidRDefault="007B6576">
      <w:pPr>
        <w:pStyle w:val="Heading1"/>
        <w:spacing w:before="300" w:after="120"/>
      </w:pPr>
      <w:bookmarkStart w:id="1" w:name="_Toc239916922"/>
      <w:r>
        <w:t>2. The idea in one minute</w:t>
      </w:r>
      <w:bookmarkEnd w:id="1"/>
    </w:p>
    <w:p w14:paraId="4CB838B2" w14:textId="77777777" w:rsidR="00606A8D" w:rsidRDefault="007B6576">
      <w:pPr>
        <w:spacing w:after="120" w:line="276" w:lineRule="auto"/>
      </w:pPr>
      <w:r>
        <w:t>Five ideas carry the whole process. The rest of the guide is just doing them on screen.</w:t>
      </w:r>
    </w:p>
    <w:p w14:paraId="4CB838B3" w14:textId="77777777" w:rsidR="00606A8D" w:rsidRDefault="007B6576">
      <w:pPr>
        <w:pStyle w:val="Heading2"/>
        <w:spacing w:before="220"/>
      </w:pPr>
      <w:bookmarkStart w:id="2" w:name="_Toc239916923"/>
      <w:r>
        <w:t>2.1 Two kinds of account behave differently</w:t>
      </w:r>
      <w:bookmarkEnd w:id="2"/>
    </w:p>
    <w:p w14:paraId="4CB838B4" w14:textId="77777777" w:rsidR="00606A8D" w:rsidRDefault="007B6576">
      <w:pPr>
        <w:pStyle w:val="ListParagraph"/>
        <w:numPr>
          <w:ilvl w:val="0"/>
          <w:numId w:val="2"/>
        </w:numPr>
        <w:spacing w:after="60" w:line="264" w:lineRule="auto"/>
      </w:pPr>
      <w:r>
        <w:rPr>
          <w:b/>
          <w:bCs/>
        </w:rPr>
        <w:t xml:space="preserve">Balance-sheet accounts </w:t>
      </w:r>
      <w:r>
        <w:t>(assets, liabilities, equity) are continuous — they never reset. An account’s opening balance for a year is simply its closing balance from the year before.</w:t>
      </w:r>
    </w:p>
    <w:p w14:paraId="4CB838B5" w14:textId="77777777" w:rsidR="00606A8D" w:rsidRDefault="007B6576">
      <w:pPr>
        <w:pStyle w:val="ListParagraph"/>
        <w:numPr>
          <w:ilvl w:val="0"/>
          <w:numId w:val="2"/>
        </w:numPr>
        <w:spacing w:after="60" w:line="264" w:lineRule="auto"/>
      </w:pPr>
      <w:r>
        <w:rPr>
          <w:b/>
          <w:bCs/>
        </w:rPr>
        <w:t xml:space="preserve">Profit &amp; loss accounts </w:t>
      </w:r>
      <w:r>
        <w:t>(revenue, expense) are periodic — they accumulate during the year and are zeroed at year-end, because “profit” is always “profit for this year”.</w:t>
      </w:r>
    </w:p>
    <w:p w14:paraId="4CB838B6" w14:textId="77777777" w:rsidR="00606A8D" w:rsidRDefault="007B6576">
      <w:pPr>
        <w:spacing w:after="120" w:line="276" w:lineRule="auto"/>
      </w:pPr>
      <w:r>
        <w:t xml:space="preserve">In the app every account is tagged </w:t>
      </w:r>
      <w:r>
        <w:rPr>
          <w:b/>
          <w:bCs/>
          <w:color w:val="00395D"/>
        </w:rPr>
        <w:t>Balance</w:t>
      </w:r>
      <w:r>
        <w:t xml:space="preserve"> or </w:t>
      </w:r>
      <w:r>
        <w:rPr>
          <w:b/>
          <w:bCs/>
          <w:color w:val="00395D"/>
        </w:rPr>
        <w:t>Result</w:t>
      </w:r>
      <w:r>
        <w:t xml:space="preserve"> (P&amp;L). That single flag is what drives the split between the balance sheet and the income statement.</w:t>
      </w:r>
    </w:p>
    <w:p w14:paraId="4CB838B7" w14:textId="77777777" w:rsidR="00606A8D" w:rsidRDefault="007B6576">
      <w:pPr>
        <w:pStyle w:val="Heading2"/>
        <w:spacing w:before="220"/>
      </w:pPr>
      <w:bookmarkStart w:id="3" w:name="_Toc239916924"/>
      <w:r>
        <w:t>2.2 Opening balances are normally carried forward, not typed</w:t>
      </w:r>
      <w:bookmarkEnd w:id="3"/>
    </w:p>
    <w:p w14:paraId="4CB838B8" w14:textId="77777777" w:rsidR="00606A8D" w:rsidRDefault="007B6576">
      <w:pPr>
        <w:spacing w:after="120" w:line="276" w:lineRule="auto"/>
      </w:pPr>
      <w:r>
        <w:t xml:space="preserve">You enter opening balances </w:t>
      </w:r>
      <w:r>
        <w:rPr>
          <w:b/>
          <w:bCs/>
        </w:rPr>
        <w:t>by hand only once — at go-live</w:t>
      </w:r>
      <w:r>
        <w:t xml:space="preserve"> (or when a new legal entity starts), because there is no prior year in the system to carry from. After that, every year’s opening balance is produced automatically by closing the previous year. The manual “Opening balances” screen is therefore a setup / correction tool, not a yearly chore.</w:t>
      </w:r>
    </w:p>
    <w:p w14:paraId="4CB838B9" w14:textId="77777777" w:rsidR="00606A8D" w:rsidRDefault="007B6576">
      <w:pPr>
        <w:pStyle w:val="Heading2"/>
        <w:spacing w:before="220"/>
      </w:pPr>
      <w:bookmarkStart w:id="4" w:name="_Toc239916925"/>
      <w:r>
        <w:t>2.3 The year-end close does two things</w:t>
      </w:r>
      <w:bookmarkEnd w:id="4"/>
    </w:p>
    <w:p w14:paraId="4CB838BA" w14:textId="77777777" w:rsidR="00606A8D" w:rsidRDefault="007B6576">
      <w:pPr>
        <w:pStyle w:val="ListParagraph"/>
        <w:numPr>
          <w:ilvl w:val="0"/>
          <w:numId w:val="2"/>
        </w:numPr>
        <w:spacing w:after="60" w:line="264" w:lineRule="auto"/>
      </w:pPr>
      <w:r>
        <w:rPr>
          <w:b/>
          <w:bCs/>
        </w:rPr>
        <w:t xml:space="preserve">Result disposition. </w:t>
      </w:r>
      <w:r>
        <w:t>The year’s net P&amp;L result (profit or loss) is moved into an equity account — “retained earnings”. The P&amp;L accounts then start the new year at zero.</w:t>
      </w:r>
    </w:p>
    <w:p w14:paraId="4CB838BB" w14:textId="77777777" w:rsidR="00606A8D" w:rsidRDefault="007B6576">
      <w:pPr>
        <w:pStyle w:val="ListParagraph"/>
        <w:numPr>
          <w:ilvl w:val="0"/>
          <w:numId w:val="2"/>
        </w:numPr>
        <w:spacing w:after="60" w:line="264" w:lineRule="auto"/>
      </w:pPr>
      <w:r>
        <w:rPr>
          <w:b/>
          <w:bCs/>
        </w:rPr>
        <w:t xml:space="preserve">Carry forward. </w:t>
      </w:r>
      <w:r>
        <w:t>Next year’s opening balances are set to this year’s closing balance-sheet positions, with retained earnings updated by the result.</w:t>
      </w:r>
    </w:p>
    <w:p w14:paraId="4CB838BC" w14:textId="77777777" w:rsidR="00606A8D" w:rsidRDefault="007B6576">
      <w:pPr>
        <w:spacing w:after="120" w:line="276" w:lineRule="auto"/>
      </w:pPr>
      <w:r>
        <w:t xml:space="preserve">So closing a fiscal year is exactly what </w:t>
      </w:r>
      <w:r>
        <w:rPr>
          <w:b/>
          <w:bCs/>
        </w:rPr>
        <w:t>sets the next year’s opening balances</w:t>
      </w:r>
      <w:r>
        <w:t>. (A monthly / period close only locks a period; it does not zero P&amp;L — only the annual close does.)</w:t>
      </w:r>
    </w:p>
    <w:p w14:paraId="4CB838BD" w14:textId="77777777" w:rsidR="00606A8D" w:rsidRDefault="007B6576">
      <w:pPr>
        <w:pStyle w:val="Heading2"/>
        <w:spacing w:before="220"/>
      </w:pPr>
      <w:bookmarkStart w:id="5" w:name="_Toc239916926"/>
      <w:r>
        <w:t>2.4 Out-of-balance “difference” journals are held out of the statements</w:t>
      </w:r>
      <w:bookmarkEnd w:id="5"/>
    </w:p>
    <w:p w14:paraId="4CB838BE" w14:textId="77777777" w:rsidR="00606A8D" w:rsidRDefault="007B6576">
      <w:pPr>
        <w:spacing w:after="120" w:line="276" w:lineRule="auto"/>
      </w:pPr>
      <w:r>
        <w:t>A journal that does not balance (debit ≠ credit) is flagged as a difference. In real accounting such a voucher cannot post to the financial statements — it sits as a difference until someone corrects it. The reports and the carry-forward therefore exclude difference journals and disclose them separately, so the balance sheet still ties out and nothing is hidden.</w:t>
      </w:r>
    </w:p>
    <w:p w14:paraId="4CB838BF" w14:textId="77777777" w:rsidR="00606A8D" w:rsidRDefault="007B6576">
      <w:pPr>
        <w:pStyle w:val="Heading2"/>
        <w:spacing w:before="220"/>
      </w:pPr>
      <w:bookmarkStart w:id="6" w:name="_Toc239916927"/>
      <w:r>
        <w:t>2.5 A “Balance brought forward” journal makes the carry-forward visible</w:t>
      </w:r>
      <w:bookmarkEnd w:id="6"/>
    </w:p>
    <w:p w14:paraId="4CB838C0" w14:textId="77777777" w:rsidR="00606A8D" w:rsidRDefault="007B6576">
      <w:pPr>
        <w:spacing w:after="120" w:line="276" w:lineRule="auto"/>
      </w:pPr>
      <w:r>
        <w:t xml:space="preserve">When you close a year the app also posts a </w:t>
      </w:r>
      <w:r>
        <w:rPr>
          <w:b/>
          <w:bCs/>
          <w:color w:val="00395D"/>
        </w:rPr>
        <w:t>Balance brought forward</w:t>
      </w:r>
      <w:r>
        <w:t xml:space="preserve"> journal, dated the first day of the new year, carrying the opening positions into the ledger. It is a normal, viewable journal — but it is tagged so the statements ignore it (the opening-balances table is the single source of truth, so the journal is not double-counted).</w:t>
      </w:r>
    </w:p>
    <w:p w14:paraId="4CB838C1" w14:textId="77777777" w:rsidR="00606A8D" w:rsidRDefault="007B6576">
      <w:pPr>
        <w:pStyle w:val="Heading1"/>
        <w:spacing w:before="300" w:after="120"/>
      </w:pPr>
      <w:bookmarkStart w:id="7" w:name="_Toc239916928"/>
      <w:r>
        <w:lastRenderedPageBreak/>
        <w:t>3. Where to find it in the app</w:t>
      </w:r>
      <w:bookmarkEnd w:id="7"/>
    </w:p>
    <w:tbl>
      <w:tblPr>
        <w:tblW w:w="9360" w:type="dxa"/>
        <w:tblBorders>
          <w:top w:val="single" w:sz="4" w:space="0" w:color="C9D6E2"/>
          <w:left w:val="single" w:sz="4" w:space="0" w:color="C9D6E2"/>
          <w:bottom w:val="single" w:sz="4" w:space="0" w:color="C9D6E2"/>
          <w:right w:val="single" w:sz="4" w:space="0" w:color="C9D6E2"/>
          <w:insideH w:val="single" w:sz="2" w:space="0" w:color="E3EAF1"/>
          <w:insideV w:val="single" w:sz="2" w:space="0" w:color="E3EAF1"/>
        </w:tblBorders>
        <w:tblCellMar>
          <w:left w:w="10" w:type="dxa"/>
          <w:right w:w="10" w:type="dxa"/>
        </w:tblCellMar>
        <w:tblLook w:val="04A0" w:firstRow="1" w:lastRow="0" w:firstColumn="1" w:lastColumn="0" w:noHBand="0" w:noVBand="1"/>
      </w:tblPr>
      <w:tblGrid>
        <w:gridCol w:w="3900"/>
        <w:gridCol w:w="5460"/>
      </w:tblGrid>
      <w:tr w:rsidR="00606A8D" w14:paraId="4CB838C4" w14:textId="77777777">
        <w:tblPrEx>
          <w:tblCellMar>
            <w:top w:w="0" w:type="dxa"/>
            <w:bottom w:w="0" w:type="dxa"/>
          </w:tblCellMar>
        </w:tblPrEx>
        <w:trPr>
          <w:tblHeader/>
        </w:trPr>
        <w:tc>
          <w:tcPr>
            <w:tcW w:w="3900" w:type="dxa"/>
            <w:shd w:val="clear" w:color="auto" w:fill="DCE8F2"/>
            <w:tcMar>
              <w:top w:w="40" w:type="dxa"/>
              <w:left w:w="90" w:type="dxa"/>
              <w:bottom w:w="40" w:type="dxa"/>
              <w:right w:w="90" w:type="dxa"/>
            </w:tcMar>
          </w:tcPr>
          <w:p w14:paraId="4CB838C2" w14:textId="77777777" w:rsidR="00606A8D" w:rsidRDefault="007B6576">
            <w:r>
              <w:rPr>
                <w:b/>
                <w:bCs/>
                <w:sz w:val="18"/>
                <w:szCs w:val="18"/>
              </w:rPr>
              <w:t>To do this</w:t>
            </w:r>
          </w:p>
        </w:tc>
        <w:tc>
          <w:tcPr>
            <w:tcW w:w="5460" w:type="dxa"/>
            <w:shd w:val="clear" w:color="auto" w:fill="DCE8F2"/>
            <w:tcMar>
              <w:top w:w="40" w:type="dxa"/>
              <w:left w:w="90" w:type="dxa"/>
              <w:bottom w:w="40" w:type="dxa"/>
              <w:right w:w="90" w:type="dxa"/>
            </w:tcMar>
          </w:tcPr>
          <w:p w14:paraId="4CB838C3" w14:textId="77777777" w:rsidR="00606A8D" w:rsidRDefault="007B6576">
            <w:r>
              <w:rPr>
                <w:b/>
                <w:bCs/>
                <w:sz w:val="18"/>
                <w:szCs w:val="18"/>
              </w:rPr>
              <w:t>Go to</w:t>
            </w:r>
          </w:p>
        </w:tc>
      </w:tr>
      <w:tr w:rsidR="00606A8D" w14:paraId="4CB838C7" w14:textId="77777777">
        <w:tblPrEx>
          <w:tblCellMar>
            <w:top w:w="0" w:type="dxa"/>
            <w:bottom w:w="0" w:type="dxa"/>
          </w:tblCellMar>
        </w:tblPrEx>
        <w:tc>
          <w:tcPr>
            <w:tcW w:w="3900" w:type="dxa"/>
            <w:tcMar>
              <w:top w:w="40" w:type="dxa"/>
              <w:left w:w="90" w:type="dxa"/>
              <w:bottom w:w="40" w:type="dxa"/>
              <w:right w:w="90" w:type="dxa"/>
            </w:tcMar>
          </w:tcPr>
          <w:p w14:paraId="4CB838C5" w14:textId="77777777" w:rsidR="00606A8D" w:rsidRDefault="007B6576">
            <w:r>
              <w:rPr>
                <w:sz w:val="18"/>
                <w:szCs w:val="18"/>
              </w:rPr>
              <w:t>Enter / review opening balances, close a year</w:t>
            </w:r>
          </w:p>
        </w:tc>
        <w:tc>
          <w:tcPr>
            <w:tcW w:w="5460" w:type="dxa"/>
            <w:tcMar>
              <w:top w:w="40" w:type="dxa"/>
              <w:left w:w="90" w:type="dxa"/>
              <w:bottom w:w="40" w:type="dxa"/>
              <w:right w:w="90" w:type="dxa"/>
            </w:tcMar>
          </w:tcPr>
          <w:p w14:paraId="4CB838C6" w14:textId="77777777" w:rsidR="00606A8D" w:rsidRDefault="007B6576">
            <w:r>
              <w:rPr>
                <w:sz w:val="18"/>
                <w:szCs w:val="18"/>
              </w:rPr>
              <w:t>Legal entity → (pick an entity) → Legal-entity menu → Opening balances</w:t>
            </w:r>
          </w:p>
        </w:tc>
      </w:tr>
      <w:tr w:rsidR="00606A8D" w14:paraId="4CB838CA" w14:textId="77777777">
        <w:tblPrEx>
          <w:tblCellMar>
            <w:top w:w="0" w:type="dxa"/>
            <w:bottom w:w="0" w:type="dxa"/>
          </w:tblCellMar>
        </w:tblPrEx>
        <w:tc>
          <w:tcPr>
            <w:tcW w:w="3900" w:type="dxa"/>
            <w:tcMar>
              <w:top w:w="40" w:type="dxa"/>
              <w:left w:w="90" w:type="dxa"/>
              <w:bottom w:w="40" w:type="dxa"/>
              <w:right w:w="90" w:type="dxa"/>
            </w:tcMar>
          </w:tcPr>
          <w:p w14:paraId="4CB838C8" w14:textId="77777777" w:rsidR="00606A8D" w:rsidRDefault="007B6576">
            <w:r>
              <w:rPr>
                <w:sz w:val="18"/>
                <w:szCs w:val="18"/>
              </w:rPr>
              <w:t>See a brought-forward journal</w:t>
            </w:r>
          </w:p>
        </w:tc>
        <w:tc>
          <w:tcPr>
            <w:tcW w:w="5460" w:type="dxa"/>
            <w:tcMar>
              <w:top w:w="40" w:type="dxa"/>
              <w:left w:w="90" w:type="dxa"/>
              <w:bottom w:w="40" w:type="dxa"/>
              <w:right w:w="90" w:type="dxa"/>
            </w:tcMar>
          </w:tcPr>
          <w:p w14:paraId="4CB838C9" w14:textId="77777777" w:rsidR="00606A8D" w:rsidRDefault="007B6576">
            <w:r>
              <w:rPr>
                <w:sz w:val="18"/>
                <w:szCs w:val="18"/>
              </w:rPr>
              <w:t>Journals → Journal search (event “Balance brought forward”), or the entity’s Journal search</w:t>
            </w:r>
          </w:p>
        </w:tc>
      </w:tr>
      <w:tr w:rsidR="00606A8D" w14:paraId="4CB838CD" w14:textId="77777777">
        <w:tblPrEx>
          <w:tblCellMar>
            <w:top w:w="0" w:type="dxa"/>
            <w:bottom w:w="0" w:type="dxa"/>
          </w:tblCellMar>
        </w:tblPrEx>
        <w:tc>
          <w:tcPr>
            <w:tcW w:w="3900" w:type="dxa"/>
            <w:tcMar>
              <w:top w:w="40" w:type="dxa"/>
              <w:left w:w="90" w:type="dxa"/>
              <w:bottom w:w="40" w:type="dxa"/>
              <w:right w:w="90" w:type="dxa"/>
            </w:tcMar>
          </w:tcPr>
          <w:p w14:paraId="4CB838CB" w14:textId="77777777" w:rsidR="00606A8D" w:rsidRDefault="007B6576">
            <w:r>
              <w:rPr>
                <w:sz w:val="18"/>
                <w:szCs w:val="18"/>
              </w:rPr>
              <w:t>Ask for profit, trial balance or balance sheet</w:t>
            </w:r>
          </w:p>
        </w:tc>
        <w:tc>
          <w:tcPr>
            <w:tcW w:w="5460" w:type="dxa"/>
            <w:tcMar>
              <w:top w:w="40" w:type="dxa"/>
              <w:left w:w="90" w:type="dxa"/>
              <w:bottom w:w="40" w:type="dxa"/>
              <w:right w:w="90" w:type="dxa"/>
            </w:tcMar>
          </w:tcPr>
          <w:p w14:paraId="4CB838CC" w14:textId="77777777" w:rsidR="00606A8D" w:rsidRDefault="007B6576">
            <w:r>
              <w:rPr>
                <w:sz w:val="18"/>
                <w:szCs w:val="18"/>
              </w:rPr>
              <w:t>The “Ask Accountant” button, bottom-left on every screen</w:t>
            </w:r>
          </w:p>
        </w:tc>
      </w:tr>
    </w:tbl>
    <w:p w14:paraId="4CB838CE" w14:textId="77777777" w:rsidR="00606A8D" w:rsidRDefault="007B6576">
      <w:pPr>
        <w:spacing w:after="120" w:line="276" w:lineRule="auto"/>
      </w:pPr>
      <w:r>
        <w:rPr>
          <w:i/>
          <w:iCs/>
          <w:color w:val="5A6472"/>
          <w:sz w:val="19"/>
          <w:szCs w:val="19"/>
        </w:rPr>
        <w:t>Everything is per legal entity and per ledger (e.g. Local Legal, US GAAP) — each ledger closes and carries forward independently.</w:t>
      </w:r>
    </w:p>
    <w:p w14:paraId="4CB838CF" w14:textId="77777777" w:rsidR="00606A8D" w:rsidRDefault="007B6576">
      <w:r>
        <w:br w:type="page"/>
      </w:r>
    </w:p>
    <w:p w14:paraId="4CB838D0" w14:textId="77777777" w:rsidR="00606A8D" w:rsidRDefault="007B6576">
      <w:pPr>
        <w:pStyle w:val="Heading1"/>
        <w:spacing w:before="300" w:after="120"/>
      </w:pPr>
      <w:bookmarkStart w:id="8" w:name="_Toc239916929"/>
      <w:r>
        <w:lastRenderedPageBreak/>
        <w:t>4. Walkthrough A — Enter &amp; review opening balances</w:t>
      </w:r>
      <w:bookmarkEnd w:id="8"/>
    </w:p>
    <w:p w14:paraId="4CB838D1" w14:textId="77777777" w:rsidR="00606A8D" w:rsidRDefault="007B6576">
      <w:pPr>
        <w:spacing w:after="120" w:line="276" w:lineRule="auto"/>
      </w:pPr>
      <w:r>
        <w:t xml:space="preserve">Use this at go-live to key in the starting position, or any time to check it. The example uses </w:t>
      </w:r>
      <w:r>
        <w:rPr>
          <w:b/>
          <w:bCs/>
        </w:rPr>
        <w:t>ALS NLD, Local Legal, fiscal year 2024</w:t>
      </w:r>
      <w:r>
        <w:t>.</w:t>
      </w:r>
    </w:p>
    <w:p w14:paraId="4CB838D2" w14:textId="77777777" w:rsidR="00606A8D" w:rsidRDefault="007B6576">
      <w:pPr>
        <w:spacing w:after="20" w:line="276" w:lineRule="auto"/>
        <w:ind w:left="360" w:hanging="360"/>
      </w:pPr>
      <w:r>
        <w:rPr>
          <w:b/>
          <w:bCs/>
          <w:color w:val="00395D"/>
        </w:rPr>
        <w:t xml:space="preserve">1   </w:t>
      </w:r>
      <w:r>
        <w:t>From the top navigation choose Legal entity, then open the entity (e.g. “1 – Alliance Laundry (Netherlands) B.V.”).</w:t>
      </w:r>
    </w:p>
    <w:p w14:paraId="4CB838D3" w14:textId="77777777" w:rsidR="00606A8D" w:rsidRDefault="007B6576">
      <w:pPr>
        <w:spacing w:after="130" w:line="264" w:lineRule="auto"/>
        <w:ind w:left="360"/>
      </w:pPr>
      <w:r>
        <w:rPr>
          <w:b/>
          <w:bCs/>
          <w:i/>
          <w:iCs/>
          <w:color w:val="5A6472"/>
          <w:sz w:val="19"/>
          <w:szCs w:val="19"/>
        </w:rPr>
        <w:t xml:space="preserve">You’ll see: </w:t>
      </w:r>
      <w:r>
        <w:rPr>
          <w:i/>
          <w:iCs/>
          <w:color w:val="5A6472"/>
          <w:sz w:val="19"/>
          <w:szCs w:val="19"/>
        </w:rPr>
        <w:t>The legal-entity workspace with a menu down the left.</w:t>
      </w:r>
    </w:p>
    <w:p w14:paraId="4CB838D4" w14:textId="77777777" w:rsidR="00606A8D" w:rsidRDefault="007B6576">
      <w:pPr>
        <w:spacing w:after="20" w:line="276" w:lineRule="auto"/>
        <w:ind w:left="360" w:hanging="360"/>
      </w:pPr>
      <w:r>
        <w:rPr>
          <w:b/>
          <w:bCs/>
          <w:color w:val="00395D"/>
        </w:rPr>
        <w:t xml:space="preserve">2   </w:t>
      </w:r>
      <w:r>
        <w:t xml:space="preserve">In the Legal-entity menu click </w:t>
      </w:r>
      <w:r>
        <w:rPr>
          <w:b/>
          <w:bCs/>
          <w:color w:val="00395D"/>
        </w:rPr>
        <w:t>Opening balances</w:t>
      </w:r>
      <w:r>
        <w:t>.</w:t>
      </w:r>
    </w:p>
    <w:p w14:paraId="4CB838D5" w14:textId="77777777" w:rsidR="00606A8D" w:rsidRDefault="007B6576">
      <w:pPr>
        <w:spacing w:after="130" w:line="264" w:lineRule="auto"/>
        <w:ind w:left="360"/>
      </w:pPr>
      <w:r>
        <w:rPr>
          <w:b/>
          <w:bCs/>
          <w:i/>
          <w:iCs/>
          <w:color w:val="5A6472"/>
          <w:sz w:val="19"/>
          <w:szCs w:val="19"/>
        </w:rPr>
        <w:t xml:space="preserve">You’ll see: </w:t>
      </w:r>
      <w:r>
        <w:rPr>
          <w:i/>
          <w:iCs/>
          <w:color w:val="5A6472"/>
          <w:sz w:val="19"/>
          <w:szCs w:val="19"/>
        </w:rPr>
        <w:t>A toolbar with a Ledger picker and a Fiscal-year picker, a status banner, and a grid of accounts with Debit / Credit columns.</w:t>
      </w:r>
    </w:p>
    <w:p w14:paraId="4CB838D6" w14:textId="77777777" w:rsidR="00606A8D" w:rsidRDefault="007B6576">
      <w:pPr>
        <w:spacing w:after="20" w:line="276" w:lineRule="auto"/>
        <w:ind w:left="360" w:hanging="360"/>
      </w:pPr>
      <w:r>
        <w:rPr>
          <w:b/>
          <w:bCs/>
          <w:color w:val="00395D"/>
        </w:rPr>
        <w:t xml:space="preserve">3   </w:t>
      </w:r>
      <w:r>
        <w:t>Pick the ledger and fiscal year you want (top-left). The line next to them shows the “as of” date — the first day of that fiscal year.</w:t>
      </w:r>
    </w:p>
    <w:p w14:paraId="4CB838D7" w14:textId="77777777" w:rsidR="00606A8D" w:rsidRDefault="007B6576">
      <w:pPr>
        <w:spacing w:after="130" w:line="264" w:lineRule="auto"/>
        <w:ind w:left="360"/>
      </w:pPr>
      <w:r>
        <w:rPr>
          <w:b/>
          <w:bCs/>
          <w:i/>
          <w:iCs/>
          <w:color w:val="5A6472"/>
          <w:sz w:val="19"/>
          <w:szCs w:val="19"/>
        </w:rPr>
        <w:t xml:space="preserve">You’ll see: </w:t>
      </w:r>
      <w:r>
        <w:rPr>
          <w:i/>
          <w:iCs/>
          <w:color w:val="5A6472"/>
          <w:sz w:val="19"/>
          <w:szCs w:val="19"/>
        </w:rPr>
        <w:t>For a broken (non-calendar) year this date follows the entity’s fiscal-year start month, not 1 January.</w:t>
      </w:r>
    </w:p>
    <w:p w14:paraId="4CB838D8" w14:textId="77777777" w:rsidR="00606A8D" w:rsidRDefault="007B6576">
      <w:pPr>
        <w:spacing w:after="20" w:line="276" w:lineRule="auto"/>
        <w:ind w:left="360" w:hanging="360"/>
      </w:pPr>
      <w:r>
        <w:rPr>
          <w:b/>
          <w:bCs/>
          <w:color w:val="00395D"/>
        </w:rPr>
        <w:t xml:space="preserve">4   </w:t>
      </w:r>
      <w:r>
        <w:t xml:space="preserve">Read the </w:t>
      </w:r>
      <w:r>
        <w:rPr>
          <w:b/>
          <w:bCs/>
          <w:color w:val="00395D"/>
        </w:rPr>
        <w:t>status banner</w:t>
      </w:r>
      <w:r>
        <w:t>. Green “Balanced” means total debit = total credit; red “Out of balance by …” means the set does not yet add up.</w:t>
      </w:r>
    </w:p>
    <w:p w14:paraId="4CB838D9" w14:textId="77777777" w:rsidR="00606A8D" w:rsidRDefault="007B6576">
      <w:pPr>
        <w:spacing w:after="130" w:line="264" w:lineRule="auto"/>
        <w:ind w:left="360"/>
      </w:pPr>
      <w:r>
        <w:rPr>
          <w:b/>
          <w:bCs/>
          <w:i/>
          <w:iCs/>
          <w:color w:val="5A6472"/>
          <w:sz w:val="19"/>
          <w:szCs w:val="19"/>
        </w:rPr>
        <w:t xml:space="preserve">You’ll see: </w:t>
      </w:r>
      <w:r>
        <w:rPr>
          <w:i/>
          <w:iCs/>
          <w:color w:val="5A6472"/>
          <w:sz w:val="19"/>
          <w:szCs w:val="19"/>
        </w:rPr>
        <w:t>A valid opening set must balance — assets on debit, liabilities and equity on credit.</w:t>
      </w:r>
    </w:p>
    <w:p w14:paraId="4CB838DA" w14:textId="77777777" w:rsidR="00606A8D" w:rsidRDefault="007B6576">
      <w:pPr>
        <w:spacing w:after="20" w:line="276" w:lineRule="auto"/>
        <w:ind w:left="360" w:hanging="360"/>
      </w:pPr>
      <w:r>
        <w:rPr>
          <w:b/>
          <w:bCs/>
          <w:color w:val="00395D"/>
        </w:rPr>
        <w:t xml:space="preserve">5   </w:t>
      </w:r>
      <w:r>
        <w:t xml:space="preserve">To add a line, click </w:t>
      </w:r>
      <w:r>
        <w:rPr>
          <w:b/>
          <w:bCs/>
          <w:color w:val="00395D"/>
        </w:rPr>
        <w:t>Add</w:t>
      </w:r>
      <w:r>
        <w:t>. Choose the account (P&amp;L accounts are marked so you avoid them), enter a Debit or a Credit amount, and Save. Click any row to edit it, or use the trash icon to delete.</w:t>
      </w:r>
    </w:p>
    <w:p w14:paraId="4CB838DB" w14:textId="77777777" w:rsidR="00606A8D" w:rsidRDefault="007B6576">
      <w:pPr>
        <w:spacing w:after="130" w:line="264" w:lineRule="auto"/>
        <w:ind w:left="360"/>
      </w:pPr>
      <w:r>
        <w:rPr>
          <w:b/>
          <w:bCs/>
          <w:i/>
          <w:iCs/>
          <w:color w:val="5A6472"/>
          <w:sz w:val="19"/>
          <w:szCs w:val="19"/>
        </w:rPr>
        <w:t xml:space="preserve">You’ll see: </w:t>
      </w:r>
      <w:r>
        <w:rPr>
          <w:i/>
          <w:iCs/>
          <w:color w:val="5A6472"/>
          <w:sz w:val="19"/>
          <w:szCs w:val="19"/>
        </w:rPr>
        <w:t>The grid and the Total row update immediately, and the banner re-checks the balance.</w:t>
      </w:r>
    </w:p>
    <w:p w14:paraId="4CB838DC" w14:textId="77777777" w:rsidR="00606A8D" w:rsidRDefault="00606A8D">
      <w:pPr>
        <w:spacing w:after="40"/>
      </w:pPr>
    </w:p>
    <w:tbl>
      <w:tblPr>
        <w:tblW w:w="9360" w:type="dxa"/>
        <w:tblBorders>
          <w:top w:val="single" w:sz="4" w:space="0" w:color="00395D"/>
          <w:left w:val="single" w:sz="12" w:space="0" w:color="00395D"/>
          <w:bottom w:val="single" w:sz="4" w:space="0" w:color="C9D6E2"/>
          <w:right w:val="single" w:sz="4" w:space="0" w:color="C9D6E2"/>
        </w:tblBorders>
        <w:tblCellMar>
          <w:left w:w="10" w:type="dxa"/>
          <w:right w:w="10" w:type="dxa"/>
        </w:tblCellMar>
        <w:tblLook w:val="04A0" w:firstRow="1" w:lastRow="0" w:firstColumn="1" w:lastColumn="0" w:noHBand="0" w:noVBand="1"/>
      </w:tblPr>
      <w:tblGrid>
        <w:gridCol w:w="9360"/>
      </w:tblGrid>
      <w:tr w:rsidR="00606A8D" w14:paraId="4CB838DF" w14:textId="77777777">
        <w:tblPrEx>
          <w:tblCellMar>
            <w:top w:w="0" w:type="dxa"/>
            <w:bottom w:w="0" w:type="dxa"/>
          </w:tblCellMar>
        </w:tblPrEx>
        <w:tc>
          <w:tcPr>
            <w:tcW w:w="9360" w:type="dxa"/>
            <w:shd w:val="clear" w:color="auto" w:fill="F1F6FA"/>
            <w:tcMar>
              <w:top w:w="120" w:type="dxa"/>
              <w:left w:w="160" w:type="dxa"/>
              <w:bottom w:w="120" w:type="dxa"/>
              <w:right w:w="160" w:type="dxa"/>
            </w:tcMar>
          </w:tcPr>
          <w:p w14:paraId="4CB838DD" w14:textId="77777777" w:rsidR="00606A8D" w:rsidRDefault="007B6576">
            <w:pPr>
              <w:spacing w:after="40"/>
            </w:pPr>
            <w:r>
              <w:rPr>
                <w:b/>
                <w:bCs/>
                <w:color w:val="00395D"/>
                <w:sz w:val="20"/>
                <w:szCs w:val="20"/>
              </w:rPr>
              <w:t>What a good opening set looks like</w:t>
            </w:r>
          </w:p>
          <w:p w14:paraId="4CB838DE" w14:textId="77777777" w:rsidR="00606A8D" w:rsidRDefault="007B6576">
            <w:pPr>
              <w:spacing w:line="264" w:lineRule="auto"/>
            </w:pPr>
            <w:r>
              <w:t xml:space="preserve">For ALS NLD FY 2024 the seeded set is eight accounts and balances at </w:t>
            </w:r>
            <w:r>
              <w:rPr>
                <w:b/>
                <w:bCs/>
              </w:rPr>
              <w:t>850 000,00</w:t>
            </w:r>
            <w:r>
              <w:t xml:space="preserve"> — assets (Fixed asset 400 000, Bank 250 000, AR customer 120 000, Inventory 80 000) against contra-asset and liabilities (Cum. depreciation 90 000, VAT payable 35 000, Deposit liability 25 000) with </w:t>
            </w:r>
            <w:r>
              <w:rPr>
                <w:b/>
                <w:bCs/>
              </w:rPr>
              <w:t>Equity / Retained earnings 700 000</w:t>
            </w:r>
            <w:r>
              <w:t xml:space="preserve"> as the balancing figure.</w:t>
            </w:r>
          </w:p>
        </w:tc>
      </w:tr>
    </w:tbl>
    <w:p w14:paraId="4CB838E0" w14:textId="77777777" w:rsidR="00606A8D" w:rsidRDefault="00606A8D">
      <w:pPr>
        <w:spacing w:after="40"/>
      </w:pPr>
    </w:p>
    <w:tbl>
      <w:tblPr>
        <w:tblW w:w="9360" w:type="dxa"/>
        <w:tblBorders>
          <w:top w:val="single" w:sz="4" w:space="0" w:color="C9D6E2"/>
          <w:left w:val="single" w:sz="4" w:space="0" w:color="C9D6E2"/>
          <w:bottom w:val="single" w:sz="4" w:space="0" w:color="C9D6E2"/>
          <w:right w:val="single" w:sz="4" w:space="0" w:color="C9D6E2"/>
          <w:insideH w:val="single" w:sz="2" w:space="0" w:color="E3EAF1"/>
          <w:insideV w:val="single" w:sz="2" w:space="0" w:color="E3EAF1"/>
        </w:tblBorders>
        <w:tblCellMar>
          <w:left w:w="10" w:type="dxa"/>
          <w:right w:w="10" w:type="dxa"/>
        </w:tblCellMar>
        <w:tblLook w:val="04A0" w:firstRow="1" w:lastRow="0" w:firstColumn="1" w:lastColumn="0" w:noHBand="0" w:noVBand="1"/>
      </w:tblPr>
      <w:tblGrid>
        <w:gridCol w:w="2200"/>
        <w:gridCol w:w="7160"/>
      </w:tblGrid>
      <w:tr w:rsidR="00606A8D" w14:paraId="4CB838E3" w14:textId="77777777">
        <w:tblPrEx>
          <w:tblCellMar>
            <w:top w:w="0" w:type="dxa"/>
            <w:bottom w:w="0" w:type="dxa"/>
          </w:tblCellMar>
        </w:tblPrEx>
        <w:trPr>
          <w:tblHeader/>
        </w:trPr>
        <w:tc>
          <w:tcPr>
            <w:tcW w:w="2200" w:type="dxa"/>
            <w:shd w:val="clear" w:color="auto" w:fill="DCE8F2"/>
            <w:tcMar>
              <w:top w:w="40" w:type="dxa"/>
              <w:left w:w="90" w:type="dxa"/>
              <w:bottom w:w="40" w:type="dxa"/>
              <w:right w:w="90" w:type="dxa"/>
            </w:tcMar>
          </w:tcPr>
          <w:p w14:paraId="4CB838E1" w14:textId="77777777" w:rsidR="00606A8D" w:rsidRDefault="007B6576">
            <w:r>
              <w:rPr>
                <w:b/>
                <w:bCs/>
                <w:sz w:val="18"/>
                <w:szCs w:val="18"/>
              </w:rPr>
              <w:t>Field</w:t>
            </w:r>
          </w:p>
        </w:tc>
        <w:tc>
          <w:tcPr>
            <w:tcW w:w="7160" w:type="dxa"/>
            <w:shd w:val="clear" w:color="auto" w:fill="DCE8F2"/>
            <w:tcMar>
              <w:top w:w="40" w:type="dxa"/>
              <w:left w:w="90" w:type="dxa"/>
              <w:bottom w:w="40" w:type="dxa"/>
              <w:right w:w="90" w:type="dxa"/>
            </w:tcMar>
          </w:tcPr>
          <w:p w14:paraId="4CB838E2" w14:textId="77777777" w:rsidR="00606A8D" w:rsidRDefault="007B6576">
            <w:r>
              <w:rPr>
                <w:b/>
                <w:bCs/>
                <w:sz w:val="18"/>
                <w:szCs w:val="18"/>
              </w:rPr>
              <w:t>Meaning</w:t>
            </w:r>
          </w:p>
        </w:tc>
      </w:tr>
      <w:tr w:rsidR="00606A8D" w14:paraId="4CB838E6" w14:textId="77777777">
        <w:tblPrEx>
          <w:tblCellMar>
            <w:top w:w="0" w:type="dxa"/>
            <w:bottom w:w="0" w:type="dxa"/>
          </w:tblCellMar>
        </w:tblPrEx>
        <w:tc>
          <w:tcPr>
            <w:tcW w:w="2200" w:type="dxa"/>
            <w:tcMar>
              <w:top w:w="40" w:type="dxa"/>
              <w:left w:w="90" w:type="dxa"/>
              <w:bottom w:w="40" w:type="dxa"/>
              <w:right w:w="90" w:type="dxa"/>
            </w:tcMar>
          </w:tcPr>
          <w:p w14:paraId="4CB838E4" w14:textId="77777777" w:rsidR="00606A8D" w:rsidRDefault="007B6576">
            <w:r>
              <w:rPr>
                <w:sz w:val="18"/>
                <w:szCs w:val="18"/>
              </w:rPr>
              <w:t>Account</w:t>
            </w:r>
          </w:p>
        </w:tc>
        <w:tc>
          <w:tcPr>
            <w:tcW w:w="7160" w:type="dxa"/>
            <w:tcMar>
              <w:top w:w="40" w:type="dxa"/>
              <w:left w:w="90" w:type="dxa"/>
              <w:bottom w:w="40" w:type="dxa"/>
              <w:right w:w="90" w:type="dxa"/>
            </w:tcMar>
          </w:tcPr>
          <w:p w14:paraId="4CB838E5" w14:textId="77777777" w:rsidR="00606A8D" w:rsidRDefault="007B6576">
            <w:r>
              <w:rPr>
                <w:sz w:val="18"/>
                <w:szCs w:val="18"/>
              </w:rPr>
              <w:t>The pseudo (internal) account. Opening balances belong on Balance accounts; P&amp;L accounts open at zero.</w:t>
            </w:r>
          </w:p>
        </w:tc>
      </w:tr>
      <w:tr w:rsidR="00606A8D" w14:paraId="4CB838E9" w14:textId="77777777">
        <w:tblPrEx>
          <w:tblCellMar>
            <w:top w:w="0" w:type="dxa"/>
            <w:bottom w:w="0" w:type="dxa"/>
          </w:tblCellMar>
        </w:tblPrEx>
        <w:tc>
          <w:tcPr>
            <w:tcW w:w="2200" w:type="dxa"/>
            <w:tcMar>
              <w:top w:w="40" w:type="dxa"/>
              <w:left w:w="90" w:type="dxa"/>
              <w:bottom w:w="40" w:type="dxa"/>
              <w:right w:w="90" w:type="dxa"/>
            </w:tcMar>
          </w:tcPr>
          <w:p w14:paraId="4CB838E7" w14:textId="77777777" w:rsidR="00606A8D" w:rsidRDefault="007B6576">
            <w:r>
              <w:rPr>
                <w:sz w:val="18"/>
                <w:szCs w:val="18"/>
              </w:rPr>
              <w:t>Description</w:t>
            </w:r>
          </w:p>
        </w:tc>
        <w:tc>
          <w:tcPr>
            <w:tcW w:w="7160" w:type="dxa"/>
            <w:tcMar>
              <w:top w:w="40" w:type="dxa"/>
              <w:left w:w="90" w:type="dxa"/>
              <w:bottom w:w="40" w:type="dxa"/>
              <w:right w:w="90" w:type="dxa"/>
            </w:tcMar>
          </w:tcPr>
          <w:p w14:paraId="4CB838E8" w14:textId="77777777" w:rsidR="00606A8D" w:rsidRDefault="007B6576">
            <w:r>
              <w:rPr>
                <w:sz w:val="18"/>
                <w:szCs w:val="18"/>
              </w:rPr>
              <w:t>Defaults from the account; editable.</w:t>
            </w:r>
          </w:p>
        </w:tc>
      </w:tr>
      <w:tr w:rsidR="00606A8D" w14:paraId="4CB838EC" w14:textId="77777777">
        <w:tblPrEx>
          <w:tblCellMar>
            <w:top w:w="0" w:type="dxa"/>
            <w:bottom w:w="0" w:type="dxa"/>
          </w:tblCellMar>
        </w:tblPrEx>
        <w:tc>
          <w:tcPr>
            <w:tcW w:w="2200" w:type="dxa"/>
            <w:tcMar>
              <w:top w:w="40" w:type="dxa"/>
              <w:left w:w="90" w:type="dxa"/>
              <w:bottom w:w="40" w:type="dxa"/>
              <w:right w:w="90" w:type="dxa"/>
            </w:tcMar>
          </w:tcPr>
          <w:p w14:paraId="4CB838EA" w14:textId="77777777" w:rsidR="00606A8D" w:rsidRDefault="007B6576">
            <w:r>
              <w:rPr>
                <w:sz w:val="18"/>
                <w:szCs w:val="18"/>
              </w:rPr>
              <w:t>Debit</w:t>
            </w:r>
          </w:p>
        </w:tc>
        <w:tc>
          <w:tcPr>
            <w:tcW w:w="7160" w:type="dxa"/>
            <w:tcMar>
              <w:top w:w="40" w:type="dxa"/>
              <w:left w:w="90" w:type="dxa"/>
              <w:bottom w:w="40" w:type="dxa"/>
              <w:right w:w="90" w:type="dxa"/>
            </w:tcMar>
          </w:tcPr>
          <w:p w14:paraId="4CB838EB" w14:textId="77777777" w:rsidR="00606A8D" w:rsidRDefault="007B6576">
            <w:r>
              <w:rPr>
                <w:sz w:val="18"/>
                <w:szCs w:val="18"/>
              </w:rPr>
              <w:t>Opening debit amount (assets, and contra-liability). Base (reporting) currency.</w:t>
            </w:r>
          </w:p>
        </w:tc>
      </w:tr>
      <w:tr w:rsidR="00606A8D" w14:paraId="4CB838EF" w14:textId="77777777">
        <w:tblPrEx>
          <w:tblCellMar>
            <w:top w:w="0" w:type="dxa"/>
            <w:bottom w:w="0" w:type="dxa"/>
          </w:tblCellMar>
        </w:tblPrEx>
        <w:tc>
          <w:tcPr>
            <w:tcW w:w="2200" w:type="dxa"/>
            <w:tcMar>
              <w:top w:w="40" w:type="dxa"/>
              <w:left w:w="90" w:type="dxa"/>
              <w:bottom w:w="40" w:type="dxa"/>
              <w:right w:w="90" w:type="dxa"/>
            </w:tcMar>
          </w:tcPr>
          <w:p w14:paraId="4CB838ED" w14:textId="77777777" w:rsidR="00606A8D" w:rsidRDefault="007B6576">
            <w:r>
              <w:rPr>
                <w:sz w:val="18"/>
                <w:szCs w:val="18"/>
              </w:rPr>
              <w:t>Credit</w:t>
            </w:r>
          </w:p>
        </w:tc>
        <w:tc>
          <w:tcPr>
            <w:tcW w:w="7160" w:type="dxa"/>
            <w:tcMar>
              <w:top w:w="40" w:type="dxa"/>
              <w:left w:w="90" w:type="dxa"/>
              <w:bottom w:w="40" w:type="dxa"/>
              <w:right w:w="90" w:type="dxa"/>
            </w:tcMar>
          </w:tcPr>
          <w:p w14:paraId="4CB838EE" w14:textId="77777777" w:rsidR="00606A8D" w:rsidRDefault="007B6576">
            <w:r>
              <w:rPr>
                <w:sz w:val="18"/>
                <w:szCs w:val="18"/>
              </w:rPr>
              <w:t>Opening credit amount (liabilities, equity, contra-asset). Base currency.</w:t>
            </w:r>
          </w:p>
        </w:tc>
      </w:tr>
    </w:tbl>
    <w:p w14:paraId="4CB838F0" w14:textId="77777777" w:rsidR="00606A8D" w:rsidRDefault="007B6576">
      <w:r>
        <w:br w:type="page"/>
      </w:r>
    </w:p>
    <w:p w14:paraId="4CB838F1" w14:textId="77777777" w:rsidR="00606A8D" w:rsidRDefault="007B6576">
      <w:pPr>
        <w:pStyle w:val="Heading1"/>
        <w:spacing w:before="300" w:after="120"/>
      </w:pPr>
      <w:bookmarkStart w:id="9" w:name="_Toc239916930"/>
      <w:r>
        <w:lastRenderedPageBreak/>
        <w:t>5. Walkthrough B — Close a fiscal year</w:t>
      </w:r>
      <w:bookmarkEnd w:id="9"/>
    </w:p>
    <w:p w14:paraId="4CB838F2" w14:textId="77777777" w:rsidR="00606A8D" w:rsidRDefault="007B6576">
      <w:pPr>
        <w:spacing w:after="120" w:line="276" w:lineRule="auto"/>
      </w:pPr>
      <w:r>
        <w:t>Closing a year disposes the result to equity, creates next year’s opening balances, and posts a Balance-brought-forward journal — in one confirmed action.</w:t>
      </w:r>
    </w:p>
    <w:p w14:paraId="4CB838F3" w14:textId="77777777" w:rsidR="00606A8D" w:rsidRDefault="007B6576">
      <w:pPr>
        <w:spacing w:after="120" w:line="276" w:lineRule="auto"/>
        <w:ind w:left="360" w:hanging="360"/>
      </w:pPr>
      <w:r>
        <w:rPr>
          <w:b/>
          <w:bCs/>
          <w:color w:val="00395D"/>
        </w:rPr>
        <w:t xml:space="preserve">1   </w:t>
      </w:r>
      <w:r>
        <w:t xml:space="preserve">On the </w:t>
      </w:r>
      <w:r>
        <w:rPr>
          <w:b/>
          <w:bCs/>
          <w:color w:val="00395D"/>
        </w:rPr>
        <w:t>Opening balances</w:t>
      </w:r>
      <w:r>
        <w:t xml:space="preserve"> screen, select the ledger and the fiscal year you want to close (e.g. Local Legal, FY 2024).</w:t>
      </w:r>
    </w:p>
    <w:p w14:paraId="4CB838F4" w14:textId="77777777" w:rsidR="00606A8D" w:rsidRDefault="007B6576">
      <w:pPr>
        <w:spacing w:after="20" w:line="276" w:lineRule="auto"/>
        <w:ind w:left="360" w:hanging="360"/>
      </w:pPr>
      <w:r>
        <w:rPr>
          <w:b/>
          <w:bCs/>
          <w:color w:val="00395D"/>
        </w:rPr>
        <w:t xml:space="preserve">2   </w:t>
      </w:r>
      <w:r>
        <w:t xml:space="preserve">Click </w:t>
      </w:r>
      <w:r>
        <w:rPr>
          <w:b/>
          <w:bCs/>
          <w:color w:val="00395D"/>
        </w:rPr>
        <w:t>Close year → {next year}</w:t>
      </w:r>
      <w:r>
        <w:t xml:space="preserve"> in the toolbar.</w:t>
      </w:r>
    </w:p>
    <w:p w14:paraId="4CB838F5" w14:textId="77777777" w:rsidR="00606A8D" w:rsidRDefault="007B6576">
      <w:pPr>
        <w:spacing w:after="130" w:line="264" w:lineRule="auto"/>
        <w:ind w:left="360"/>
      </w:pPr>
      <w:r>
        <w:rPr>
          <w:b/>
          <w:bCs/>
          <w:i/>
          <w:iCs/>
          <w:color w:val="5A6472"/>
          <w:sz w:val="19"/>
          <w:szCs w:val="19"/>
        </w:rPr>
        <w:t xml:space="preserve">You’ll see: </w:t>
      </w:r>
      <w:r>
        <w:rPr>
          <w:i/>
          <w:iCs/>
          <w:color w:val="5A6472"/>
          <w:sz w:val="19"/>
          <w:szCs w:val="19"/>
        </w:rPr>
        <w:t>A confirmation dialog that previews exactly what will happen — nothing is changed yet.</w:t>
      </w:r>
    </w:p>
    <w:p w14:paraId="4CB838F6" w14:textId="77777777" w:rsidR="00606A8D" w:rsidRDefault="007B6576">
      <w:pPr>
        <w:spacing w:after="120" w:line="276" w:lineRule="auto"/>
        <w:ind w:left="360" w:hanging="360"/>
      </w:pPr>
      <w:r>
        <w:rPr>
          <w:b/>
          <w:bCs/>
          <w:color w:val="00395D"/>
        </w:rPr>
        <w:t xml:space="preserve">3   </w:t>
      </w:r>
      <w:r>
        <w:t>Review the preview. It shows the result for the year, how many accounts will be carried forward, the retained-earnings account, and its balance before → after. It also warns if next year already has opening balances (closing again replaces them).</w:t>
      </w:r>
    </w:p>
    <w:p w14:paraId="4CB838F7" w14:textId="77777777" w:rsidR="00606A8D" w:rsidRDefault="007B6576">
      <w:pPr>
        <w:spacing w:after="20" w:line="276" w:lineRule="auto"/>
        <w:ind w:left="360" w:hanging="360"/>
      </w:pPr>
      <w:r>
        <w:rPr>
          <w:b/>
          <w:bCs/>
          <w:color w:val="00395D"/>
        </w:rPr>
        <w:t xml:space="preserve">4   </w:t>
      </w:r>
      <w:r>
        <w:t xml:space="preserve">Click </w:t>
      </w:r>
      <w:r>
        <w:rPr>
          <w:b/>
          <w:bCs/>
          <w:color w:val="00395D"/>
        </w:rPr>
        <w:t>Close year &amp; carry forward</w:t>
      </w:r>
      <w:r>
        <w:t xml:space="preserve"> to apply.</w:t>
      </w:r>
    </w:p>
    <w:p w14:paraId="4CB838F8" w14:textId="77777777" w:rsidR="00606A8D" w:rsidRDefault="007B6576">
      <w:pPr>
        <w:spacing w:after="130" w:line="264" w:lineRule="auto"/>
        <w:ind w:left="360"/>
      </w:pPr>
      <w:r>
        <w:rPr>
          <w:b/>
          <w:bCs/>
          <w:i/>
          <w:iCs/>
          <w:color w:val="5A6472"/>
          <w:sz w:val="19"/>
          <w:szCs w:val="19"/>
        </w:rPr>
        <w:t xml:space="preserve">You’ll see: </w:t>
      </w:r>
      <w:r>
        <w:rPr>
          <w:i/>
          <w:iCs/>
          <w:color w:val="5A6472"/>
          <w:sz w:val="19"/>
          <w:szCs w:val="19"/>
        </w:rPr>
        <w:t>The screen switches to the new fiscal year, showing the carried-forward opening balances (Balanced), and the entity’s latest journal becomes the “Balance brought forward” voucher.</w:t>
      </w:r>
    </w:p>
    <w:p w14:paraId="4CB838F9" w14:textId="77777777" w:rsidR="00606A8D" w:rsidRDefault="007B6576">
      <w:pPr>
        <w:spacing w:after="20" w:line="276" w:lineRule="auto"/>
        <w:ind w:left="360" w:hanging="360"/>
      </w:pPr>
      <w:r>
        <w:rPr>
          <w:b/>
          <w:bCs/>
          <w:color w:val="00395D"/>
        </w:rPr>
        <w:t xml:space="preserve">5   </w:t>
      </w:r>
      <w:r>
        <w:t xml:space="preserve">To see the journal, go to </w:t>
      </w:r>
      <w:r>
        <w:rPr>
          <w:b/>
          <w:bCs/>
          <w:color w:val="00395D"/>
        </w:rPr>
        <w:t>Journals → Journal search</w:t>
      </w:r>
      <w:r>
        <w:t xml:space="preserve"> (or the entity’s Journal search) and open the one whose event is </w:t>
      </w:r>
      <w:r>
        <w:rPr>
          <w:b/>
          <w:bCs/>
          <w:color w:val="00395D"/>
        </w:rPr>
        <w:t>Balance brought forward</w:t>
      </w:r>
      <w:r>
        <w:t>. It is dated the first day of the new year and carries one line per opening account.</w:t>
      </w:r>
    </w:p>
    <w:p w14:paraId="4CB838FA" w14:textId="77777777" w:rsidR="00606A8D" w:rsidRDefault="007B6576">
      <w:pPr>
        <w:spacing w:after="130" w:line="264" w:lineRule="auto"/>
        <w:ind w:left="360"/>
      </w:pPr>
      <w:r>
        <w:rPr>
          <w:b/>
          <w:bCs/>
          <w:i/>
          <w:iCs/>
          <w:color w:val="5A6472"/>
          <w:sz w:val="19"/>
          <w:szCs w:val="19"/>
        </w:rPr>
        <w:t xml:space="preserve">You’ll see: </w:t>
      </w:r>
      <w:r>
        <w:rPr>
          <w:i/>
          <w:iCs/>
          <w:color w:val="5A6472"/>
          <w:sz w:val="19"/>
          <w:szCs w:val="19"/>
        </w:rPr>
        <w:t>A normal, balanced journal (Difference: No) you can inspect line by line.</w:t>
      </w:r>
    </w:p>
    <w:p w14:paraId="4CB838FB" w14:textId="77777777" w:rsidR="00606A8D" w:rsidRDefault="00606A8D">
      <w:pPr>
        <w:spacing w:after="40"/>
      </w:pPr>
    </w:p>
    <w:tbl>
      <w:tblPr>
        <w:tblW w:w="9360" w:type="dxa"/>
        <w:tblBorders>
          <w:top w:val="single" w:sz="4" w:space="0" w:color="00395D"/>
          <w:left w:val="single" w:sz="12" w:space="0" w:color="00395D"/>
          <w:bottom w:val="single" w:sz="4" w:space="0" w:color="C9D6E2"/>
          <w:right w:val="single" w:sz="4" w:space="0" w:color="C9D6E2"/>
        </w:tblBorders>
        <w:tblCellMar>
          <w:left w:w="10" w:type="dxa"/>
          <w:right w:w="10" w:type="dxa"/>
        </w:tblCellMar>
        <w:tblLook w:val="04A0" w:firstRow="1" w:lastRow="0" w:firstColumn="1" w:lastColumn="0" w:noHBand="0" w:noVBand="1"/>
      </w:tblPr>
      <w:tblGrid>
        <w:gridCol w:w="9360"/>
      </w:tblGrid>
      <w:tr w:rsidR="00606A8D" w14:paraId="4CB838FE" w14:textId="77777777">
        <w:tblPrEx>
          <w:tblCellMar>
            <w:top w:w="0" w:type="dxa"/>
            <w:bottom w:w="0" w:type="dxa"/>
          </w:tblCellMar>
        </w:tblPrEx>
        <w:tc>
          <w:tcPr>
            <w:tcW w:w="9360" w:type="dxa"/>
            <w:shd w:val="clear" w:color="auto" w:fill="F1F6FA"/>
            <w:tcMar>
              <w:top w:w="120" w:type="dxa"/>
              <w:left w:w="160" w:type="dxa"/>
              <w:bottom w:w="120" w:type="dxa"/>
              <w:right w:w="160" w:type="dxa"/>
            </w:tcMar>
          </w:tcPr>
          <w:p w14:paraId="4CB838FC" w14:textId="77777777" w:rsidR="00606A8D" w:rsidRDefault="007B6576">
            <w:pPr>
              <w:spacing w:after="40"/>
            </w:pPr>
            <w:r>
              <w:rPr>
                <w:b/>
                <w:bCs/>
                <w:color w:val="00395D"/>
                <w:sz w:val="20"/>
                <w:szCs w:val="20"/>
              </w:rPr>
              <w:t>Worked example — closing ALS NLD FY 2024 (Local Legal)</w:t>
            </w:r>
          </w:p>
          <w:p w14:paraId="4CB838FD" w14:textId="77777777" w:rsidR="00606A8D" w:rsidRDefault="007B6576">
            <w:pPr>
              <w:spacing w:line="264" w:lineRule="auto"/>
            </w:pPr>
            <w:r>
              <w:t xml:space="preserve">Result for the year </w:t>
            </w:r>
            <w:r>
              <w:rPr>
                <w:b/>
                <w:bCs/>
              </w:rPr>
              <w:t>12 557,00 (profit)</w:t>
            </w:r>
            <w:r>
              <w:t xml:space="preserve">; retained earnings roll </w:t>
            </w:r>
            <w:r>
              <w:rPr>
                <w:b/>
                <w:bCs/>
              </w:rPr>
              <w:t>700 000 → 712 557</w:t>
            </w:r>
            <w:r>
              <w:t xml:space="preserve">; </w:t>
            </w:r>
            <w:r>
              <w:rPr>
                <w:b/>
                <w:bCs/>
              </w:rPr>
              <w:t>12</w:t>
            </w:r>
            <w:r>
              <w:t xml:space="preserve"> accounts carried into FY 2025, which opens </w:t>
            </w:r>
            <w:r>
              <w:rPr>
                <w:b/>
                <w:bCs/>
              </w:rPr>
              <w:t>balanced at 864 880,50</w:t>
            </w:r>
            <w:r>
              <w:t>. Three out-of-balance “difference” journals (net 148 455) are excluded from the statements and reported separately — so the numbers tie out and the differences remain visible for investigation.</w:t>
            </w:r>
          </w:p>
        </w:tc>
      </w:tr>
    </w:tbl>
    <w:p w14:paraId="4CB838FF" w14:textId="77777777" w:rsidR="00606A8D" w:rsidRDefault="00606A8D">
      <w:pPr>
        <w:spacing w:after="40"/>
      </w:pPr>
    </w:p>
    <w:tbl>
      <w:tblPr>
        <w:tblW w:w="9360" w:type="dxa"/>
        <w:tblBorders>
          <w:top w:val="single" w:sz="4" w:space="0" w:color="C9D6E2"/>
          <w:left w:val="single" w:sz="4" w:space="0" w:color="C9D6E2"/>
          <w:bottom w:val="single" w:sz="4" w:space="0" w:color="C9D6E2"/>
          <w:right w:val="single" w:sz="4" w:space="0" w:color="C9D6E2"/>
          <w:insideH w:val="single" w:sz="2" w:space="0" w:color="E3EAF1"/>
          <w:insideV w:val="single" w:sz="2" w:space="0" w:color="E3EAF1"/>
        </w:tblBorders>
        <w:tblCellMar>
          <w:left w:w="10" w:type="dxa"/>
          <w:right w:w="10" w:type="dxa"/>
        </w:tblCellMar>
        <w:tblLook w:val="04A0" w:firstRow="1" w:lastRow="0" w:firstColumn="1" w:lastColumn="0" w:noHBand="0" w:noVBand="1"/>
      </w:tblPr>
      <w:tblGrid>
        <w:gridCol w:w="2600"/>
        <w:gridCol w:w="6760"/>
      </w:tblGrid>
      <w:tr w:rsidR="00606A8D" w14:paraId="4CB83902" w14:textId="77777777">
        <w:tblPrEx>
          <w:tblCellMar>
            <w:top w:w="0" w:type="dxa"/>
            <w:bottom w:w="0" w:type="dxa"/>
          </w:tblCellMar>
        </w:tblPrEx>
        <w:trPr>
          <w:tblHeader/>
        </w:trPr>
        <w:tc>
          <w:tcPr>
            <w:tcW w:w="2600" w:type="dxa"/>
            <w:shd w:val="clear" w:color="auto" w:fill="DCE8F2"/>
            <w:tcMar>
              <w:top w:w="40" w:type="dxa"/>
              <w:left w:w="90" w:type="dxa"/>
              <w:bottom w:w="40" w:type="dxa"/>
              <w:right w:w="90" w:type="dxa"/>
            </w:tcMar>
          </w:tcPr>
          <w:p w14:paraId="4CB83900" w14:textId="77777777" w:rsidR="00606A8D" w:rsidRDefault="007B6576">
            <w:r>
              <w:rPr>
                <w:b/>
                <w:bCs/>
                <w:sz w:val="18"/>
                <w:szCs w:val="18"/>
              </w:rPr>
              <w:t>Preview field</w:t>
            </w:r>
          </w:p>
        </w:tc>
        <w:tc>
          <w:tcPr>
            <w:tcW w:w="6760" w:type="dxa"/>
            <w:shd w:val="clear" w:color="auto" w:fill="DCE8F2"/>
            <w:tcMar>
              <w:top w:w="40" w:type="dxa"/>
              <w:left w:w="90" w:type="dxa"/>
              <w:bottom w:w="40" w:type="dxa"/>
              <w:right w:w="90" w:type="dxa"/>
            </w:tcMar>
          </w:tcPr>
          <w:p w14:paraId="4CB83901" w14:textId="77777777" w:rsidR="00606A8D" w:rsidRDefault="007B6576">
            <w:r>
              <w:rPr>
                <w:b/>
                <w:bCs/>
                <w:sz w:val="18"/>
                <w:szCs w:val="18"/>
              </w:rPr>
              <w:t>What it means</w:t>
            </w:r>
          </w:p>
        </w:tc>
      </w:tr>
      <w:tr w:rsidR="00606A8D" w14:paraId="4CB83905" w14:textId="77777777">
        <w:tblPrEx>
          <w:tblCellMar>
            <w:top w:w="0" w:type="dxa"/>
            <w:bottom w:w="0" w:type="dxa"/>
          </w:tblCellMar>
        </w:tblPrEx>
        <w:tc>
          <w:tcPr>
            <w:tcW w:w="2600" w:type="dxa"/>
            <w:tcMar>
              <w:top w:w="40" w:type="dxa"/>
              <w:left w:w="90" w:type="dxa"/>
              <w:bottom w:w="40" w:type="dxa"/>
              <w:right w:w="90" w:type="dxa"/>
            </w:tcMar>
          </w:tcPr>
          <w:p w14:paraId="4CB83903" w14:textId="77777777" w:rsidR="00606A8D" w:rsidRDefault="007B6576">
            <w:r>
              <w:rPr>
                <w:sz w:val="18"/>
                <w:szCs w:val="18"/>
              </w:rPr>
              <w:t>Result for the year</w:t>
            </w:r>
          </w:p>
        </w:tc>
        <w:tc>
          <w:tcPr>
            <w:tcW w:w="6760" w:type="dxa"/>
            <w:tcMar>
              <w:top w:w="40" w:type="dxa"/>
              <w:left w:w="90" w:type="dxa"/>
              <w:bottom w:w="40" w:type="dxa"/>
              <w:right w:w="90" w:type="dxa"/>
            </w:tcMar>
          </w:tcPr>
          <w:p w14:paraId="4CB83904" w14:textId="77777777" w:rsidR="00606A8D" w:rsidRDefault="007B6576">
            <w:r>
              <w:rPr>
                <w:sz w:val="18"/>
                <w:szCs w:val="18"/>
              </w:rPr>
              <w:t>Net P&amp;L (profit if positive), from balanced journals only.</w:t>
            </w:r>
          </w:p>
        </w:tc>
      </w:tr>
      <w:tr w:rsidR="00606A8D" w14:paraId="4CB83908" w14:textId="77777777">
        <w:tblPrEx>
          <w:tblCellMar>
            <w:top w:w="0" w:type="dxa"/>
            <w:bottom w:w="0" w:type="dxa"/>
          </w:tblCellMar>
        </w:tblPrEx>
        <w:tc>
          <w:tcPr>
            <w:tcW w:w="2600" w:type="dxa"/>
            <w:tcMar>
              <w:top w:w="40" w:type="dxa"/>
              <w:left w:w="90" w:type="dxa"/>
              <w:bottom w:w="40" w:type="dxa"/>
              <w:right w:w="90" w:type="dxa"/>
            </w:tcMar>
          </w:tcPr>
          <w:p w14:paraId="4CB83906" w14:textId="77777777" w:rsidR="00606A8D" w:rsidRDefault="007B6576">
            <w:r>
              <w:rPr>
                <w:sz w:val="18"/>
                <w:szCs w:val="18"/>
              </w:rPr>
              <w:t>Accounts carried forward</w:t>
            </w:r>
          </w:p>
        </w:tc>
        <w:tc>
          <w:tcPr>
            <w:tcW w:w="6760" w:type="dxa"/>
            <w:tcMar>
              <w:top w:w="40" w:type="dxa"/>
              <w:left w:w="90" w:type="dxa"/>
              <w:bottom w:w="40" w:type="dxa"/>
              <w:right w:w="90" w:type="dxa"/>
            </w:tcMar>
          </w:tcPr>
          <w:p w14:paraId="4CB83907" w14:textId="77777777" w:rsidR="00606A8D" w:rsidRDefault="007B6576">
            <w:r>
              <w:rPr>
                <w:sz w:val="18"/>
                <w:szCs w:val="18"/>
              </w:rPr>
              <w:t>How many opening rows next year will get (Balance accounts with a non-zero position).</w:t>
            </w:r>
          </w:p>
        </w:tc>
      </w:tr>
      <w:tr w:rsidR="00606A8D" w14:paraId="4CB8390B" w14:textId="77777777">
        <w:tblPrEx>
          <w:tblCellMar>
            <w:top w:w="0" w:type="dxa"/>
            <w:bottom w:w="0" w:type="dxa"/>
          </w:tblCellMar>
        </w:tblPrEx>
        <w:tc>
          <w:tcPr>
            <w:tcW w:w="2600" w:type="dxa"/>
            <w:tcMar>
              <w:top w:w="40" w:type="dxa"/>
              <w:left w:w="90" w:type="dxa"/>
              <w:bottom w:w="40" w:type="dxa"/>
              <w:right w:w="90" w:type="dxa"/>
            </w:tcMar>
          </w:tcPr>
          <w:p w14:paraId="4CB83909" w14:textId="77777777" w:rsidR="00606A8D" w:rsidRDefault="007B6576">
            <w:r>
              <w:rPr>
                <w:sz w:val="18"/>
                <w:szCs w:val="18"/>
              </w:rPr>
              <w:t>Retained earnings account</w:t>
            </w:r>
          </w:p>
        </w:tc>
        <w:tc>
          <w:tcPr>
            <w:tcW w:w="6760" w:type="dxa"/>
            <w:tcMar>
              <w:top w:w="40" w:type="dxa"/>
              <w:left w:w="90" w:type="dxa"/>
              <w:bottom w:w="40" w:type="dxa"/>
              <w:right w:w="90" w:type="dxa"/>
            </w:tcMar>
          </w:tcPr>
          <w:p w14:paraId="4CB8390A" w14:textId="77777777" w:rsidR="00606A8D" w:rsidRDefault="007B6576">
            <w:r>
              <w:rPr>
                <w:sz w:val="18"/>
                <w:szCs w:val="18"/>
              </w:rPr>
              <w:t>The equity account the result is disposed to (an entity Balance account named “Equity/Retained…”, else 2080).</w:t>
            </w:r>
          </w:p>
        </w:tc>
      </w:tr>
      <w:tr w:rsidR="00606A8D" w14:paraId="4CB8390E" w14:textId="77777777">
        <w:tblPrEx>
          <w:tblCellMar>
            <w:top w:w="0" w:type="dxa"/>
            <w:bottom w:w="0" w:type="dxa"/>
          </w:tblCellMar>
        </w:tblPrEx>
        <w:tc>
          <w:tcPr>
            <w:tcW w:w="2600" w:type="dxa"/>
            <w:tcMar>
              <w:top w:w="40" w:type="dxa"/>
              <w:left w:w="90" w:type="dxa"/>
              <w:bottom w:w="40" w:type="dxa"/>
              <w:right w:w="90" w:type="dxa"/>
            </w:tcMar>
          </w:tcPr>
          <w:p w14:paraId="4CB8390C" w14:textId="77777777" w:rsidR="00606A8D" w:rsidRDefault="007B6576">
            <w:r>
              <w:rPr>
                <w:sz w:val="18"/>
                <w:szCs w:val="18"/>
              </w:rPr>
              <w:t>Retained earnings after</w:t>
            </w:r>
          </w:p>
        </w:tc>
        <w:tc>
          <w:tcPr>
            <w:tcW w:w="6760" w:type="dxa"/>
            <w:tcMar>
              <w:top w:w="40" w:type="dxa"/>
              <w:left w:w="90" w:type="dxa"/>
              <w:bottom w:w="40" w:type="dxa"/>
              <w:right w:w="90" w:type="dxa"/>
            </w:tcMar>
          </w:tcPr>
          <w:p w14:paraId="4CB8390D" w14:textId="77777777" w:rsidR="00606A8D" w:rsidRDefault="007B6576">
            <w:r>
              <w:rPr>
                <w:sz w:val="18"/>
                <w:szCs w:val="18"/>
              </w:rPr>
              <w:t>Its closing balance → the new balance once the year’s result is rolled in.</w:t>
            </w:r>
          </w:p>
        </w:tc>
      </w:tr>
    </w:tbl>
    <w:p w14:paraId="4CB8390F" w14:textId="77777777" w:rsidR="00606A8D" w:rsidRDefault="00606A8D">
      <w:pPr>
        <w:spacing w:after="40"/>
      </w:pPr>
    </w:p>
    <w:p w14:paraId="4CB83910" w14:textId="77777777" w:rsidR="00606A8D" w:rsidRDefault="007B6576">
      <w:pPr>
        <w:spacing w:after="120" w:line="276" w:lineRule="auto"/>
      </w:pPr>
      <w:r>
        <w:rPr>
          <w:b/>
          <w:bCs/>
          <w:color w:val="00395D"/>
        </w:rPr>
        <w:t xml:space="preserve">Note — idempotent. </w:t>
      </w:r>
      <w:r>
        <w:t>Re-closing the same year is safe: it replaces that year’s carried-forward opening balances and its brought-forward journal rather than stacking new ones.</w:t>
      </w:r>
    </w:p>
    <w:p w14:paraId="4CB83911" w14:textId="77777777" w:rsidR="00606A8D" w:rsidRDefault="007B6576">
      <w:r>
        <w:br w:type="page"/>
      </w:r>
    </w:p>
    <w:p w14:paraId="4CB83912" w14:textId="77777777" w:rsidR="00606A8D" w:rsidRDefault="007B6576">
      <w:pPr>
        <w:pStyle w:val="Heading1"/>
        <w:spacing w:before="300" w:after="120"/>
      </w:pPr>
      <w:bookmarkStart w:id="10" w:name="_Toc239916931"/>
      <w:r>
        <w:lastRenderedPageBreak/>
        <w:t>6. Walkthrough C — Read the numbers with “Ask Accountant”</w:t>
      </w:r>
      <w:bookmarkEnd w:id="10"/>
    </w:p>
    <w:p w14:paraId="4CB83913" w14:textId="77777777" w:rsidR="00606A8D" w:rsidRDefault="007B6576">
      <w:pPr>
        <w:spacing w:after="120" w:line="276" w:lineRule="auto"/>
      </w:pPr>
      <w:r>
        <w:t>“Ask Accountant” is a chat panel that reads the app’s live data and runs the real engine. It is read-only: it computes and explains, it never posts. It is the quickest way to get profit, a trial balance or a balance sheet.</w:t>
      </w:r>
    </w:p>
    <w:p w14:paraId="4CB83914" w14:textId="77777777" w:rsidR="00606A8D" w:rsidRDefault="007B6576">
      <w:pPr>
        <w:spacing w:after="120" w:line="276" w:lineRule="auto"/>
        <w:ind w:left="360" w:hanging="360"/>
      </w:pPr>
      <w:r>
        <w:rPr>
          <w:b/>
          <w:bCs/>
          <w:color w:val="00395D"/>
        </w:rPr>
        <w:t xml:space="preserve">1   </w:t>
      </w:r>
      <w:r>
        <w:t xml:space="preserve">Click </w:t>
      </w:r>
      <w:r>
        <w:rPr>
          <w:b/>
          <w:bCs/>
          <w:color w:val="00395D"/>
        </w:rPr>
        <w:t>Ask Accountant</w:t>
      </w:r>
      <w:r>
        <w:t xml:space="preserve"> (bottom-left). A centred panel opens; drag it by its header to move it.</w:t>
      </w:r>
    </w:p>
    <w:p w14:paraId="4CB83915" w14:textId="77777777" w:rsidR="00606A8D" w:rsidRDefault="007B6576">
      <w:pPr>
        <w:spacing w:after="120" w:line="276" w:lineRule="auto"/>
        <w:ind w:left="360" w:hanging="360"/>
      </w:pPr>
      <w:r>
        <w:rPr>
          <w:b/>
          <w:bCs/>
          <w:color w:val="00395D"/>
        </w:rPr>
        <w:t xml:space="preserve">2   </w:t>
      </w:r>
      <w:r>
        <w:t>The first time, paste an Anthropic API key when prompted (stored in this browser for the demo). This only lets the app talk to the assistant; it has nothing to do with which data is reachable.</w:t>
      </w:r>
    </w:p>
    <w:p w14:paraId="4CB83916" w14:textId="77777777" w:rsidR="00606A8D" w:rsidRDefault="007B6576">
      <w:pPr>
        <w:spacing w:after="120" w:line="276" w:lineRule="auto"/>
        <w:ind w:left="360" w:hanging="360"/>
      </w:pPr>
      <w:r>
        <w:rPr>
          <w:b/>
          <w:bCs/>
          <w:color w:val="00395D"/>
        </w:rPr>
        <w:t xml:space="preserve">3   </w:t>
      </w:r>
      <w:r>
        <w:t>Ask in plain language. The panel shows what it is doing (e.g. “Built a balance sheet”) and answers with formatted tables.</w:t>
      </w:r>
    </w:p>
    <w:p w14:paraId="4CB83917" w14:textId="77777777" w:rsidR="00606A8D" w:rsidRDefault="00606A8D">
      <w:pPr>
        <w:spacing w:after="40"/>
      </w:pPr>
    </w:p>
    <w:p w14:paraId="4CB83918" w14:textId="77777777" w:rsidR="00606A8D" w:rsidRDefault="007B6576">
      <w:pPr>
        <w:spacing w:after="120" w:line="276" w:lineRule="auto"/>
      </w:pPr>
      <w:r>
        <w:rPr>
          <w:b/>
          <w:bCs/>
        </w:rPr>
        <w:t>Questions to try:</w:t>
      </w:r>
    </w:p>
    <w:p w14:paraId="4CB83919" w14:textId="77777777" w:rsidR="00606A8D" w:rsidRDefault="007B6576">
      <w:pPr>
        <w:pStyle w:val="ListParagraph"/>
        <w:numPr>
          <w:ilvl w:val="0"/>
          <w:numId w:val="2"/>
        </w:numPr>
        <w:spacing w:after="60" w:line="264" w:lineRule="auto"/>
      </w:pPr>
      <w:r>
        <w:rPr>
          <w:rFonts w:ascii="Consolas" w:eastAsia="Consolas" w:hAnsi="Consolas" w:cs="Consolas"/>
          <w:color w:val="0E6BA8"/>
          <w:sz w:val="20"/>
          <w:szCs w:val="20"/>
        </w:rPr>
        <w:t>What is ALS NLD’s profit for the latest year?</w:t>
      </w:r>
    </w:p>
    <w:p w14:paraId="4CB8391A" w14:textId="77777777" w:rsidR="00606A8D" w:rsidRDefault="007B6576">
      <w:pPr>
        <w:pStyle w:val="ListParagraph"/>
        <w:numPr>
          <w:ilvl w:val="0"/>
          <w:numId w:val="2"/>
        </w:numPr>
        <w:spacing w:after="60" w:line="264" w:lineRule="auto"/>
      </w:pPr>
      <w:r>
        <w:rPr>
          <w:rFonts w:ascii="Consolas" w:eastAsia="Consolas" w:hAnsi="Consolas" w:cs="Consolas"/>
          <w:color w:val="0E6BA8"/>
          <w:sz w:val="20"/>
          <w:szCs w:val="20"/>
        </w:rPr>
        <w:t>Show the trial balance for ALS NLD, Local Legal, FY 2024.</w:t>
      </w:r>
    </w:p>
    <w:p w14:paraId="4CB8391B" w14:textId="77777777" w:rsidR="00606A8D" w:rsidRDefault="007B6576">
      <w:pPr>
        <w:pStyle w:val="ListParagraph"/>
        <w:numPr>
          <w:ilvl w:val="0"/>
          <w:numId w:val="2"/>
        </w:numPr>
        <w:spacing w:after="60" w:line="264" w:lineRule="auto"/>
      </w:pPr>
      <w:r>
        <w:rPr>
          <w:rFonts w:ascii="Consolas" w:eastAsia="Consolas" w:hAnsi="Consolas" w:cs="Consolas"/>
          <w:color w:val="0E6BA8"/>
          <w:sz w:val="20"/>
          <w:szCs w:val="20"/>
        </w:rPr>
        <w:t>Balance sheet for ALS NLD, Local Legal, 2024 — does it balance?</w:t>
      </w:r>
    </w:p>
    <w:p w14:paraId="4CB8391C" w14:textId="77777777" w:rsidR="00606A8D" w:rsidRDefault="00606A8D">
      <w:pPr>
        <w:spacing w:after="40"/>
      </w:pPr>
    </w:p>
    <w:tbl>
      <w:tblPr>
        <w:tblW w:w="9360" w:type="dxa"/>
        <w:tblBorders>
          <w:top w:val="single" w:sz="4" w:space="0" w:color="C9D6E2"/>
          <w:left w:val="single" w:sz="4" w:space="0" w:color="C9D6E2"/>
          <w:bottom w:val="single" w:sz="4" w:space="0" w:color="C9D6E2"/>
          <w:right w:val="single" w:sz="4" w:space="0" w:color="C9D6E2"/>
          <w:insideH w:val="single" w:sz="2" w:space="0" w:color="E3EAF1"/>
          <w:insideV w:val="single" w:sz="2" w:space="0" w:color="E3EAF1"/>
        </w:tblBorders>
        <w:tblCellMar>
          <w:left w:w="10" w:type="dxa"/>
          <w:right w:w="10" w:type="dxa"/>
        </w:tblCellMar>
        <w:tblLook w:val="04A0" w:firstRow="1" w:lastRow="0" w:firstColumn="1" w:lastColumn="0" w:noHBand="0" w:noVBand="1"/>
      </w:tblPr>
      <w:tblGrid>
        <w:gridCol w:w="2100"/>
        <w:gridCol w:w="5060"/>
        <w:gridCol w:w="2200"/>
      </w:tblGrid>
      <w:tr w:rsidR="00606A8D" w14:paraId="4CB83920" w14:textId="77777777">
        <w:tblPrEx>
          <w:tblCellMar>
            <w:top w:w="0" w:type="dxa"/>
            <w:bottom w:w="0" w:type="dxa"/>
          </w:tblCellMar>
        </w:tblPrEx>
        <w:trPr>
          <w:tblHeader/>
        </w:trPr>
        <w:tc>
          <w:tcPr>
            <w:tcW w:w="2100" w:type="dxa"/>
            <w:shd w:val="clear" w:color="auto" w:fill="DCE8F2"/>
            <w:tcMar>
              <w:top w:w="40" w:type="dxa"/>
              <w:left w:w="90" w:type="dxa"/>
              <w:bottom w:w="40" w:type="dxa"/>
              <w:right w:w="90" w:type="dxa"/>
            </w:tcMar>
          </w:tcPr>
          <w:p w14:paraId="4CB8391D" w14:textId="77777777" w:rsidR="00606A8D" w:rsidRDefault="007B6576">
            <w:r>
              <w:rPr>
                <w:b/>
                <w:bCs/>
                <w:sz w:val="18"/>
                <w:szCs w:val="18"/>
              </w:rPr>
              <w:t>It can build</w:t>
            </w:r>
          </w:p>
        </w:tc>
        <w:tc>
          <w:tcPr>
            <w:tcW w:w="5060" w:type="dxa"/>
            <w:shd w:val="clear" w:color="auto" w:fill="DCE8F2"/>
            <w:tcMar>
              <w:top w:w="40" w:type="dxa"/>
              <w:left w:w="90" w:type="dxa"/>
              <w:bottom w:w="40" w:type="dxa"/>
              <w:right w:w="90" w:type="dxa"/>
            </w:tcMar>
          </w:tcPr>
          <w:p w14:paraId="4CB8391E" w14:textId="77777777" w:rsidR="00606A8D" w:rsidRDefault="007B6576">
            <w:r>
              <w:rPr>
                <w:b/>
                <w:bCs/>
                <w:sz w:val="18"/>
                <w:szCs w:val="18"/>
              </w:rPr>
              <w:t>What it computes</w:t>
            </w:r>
          </w:p>
        </w:tc>
        <w:tc>
          <w:tcPr>
            <w:tcW w:w="2200" w:type="dxa"/>
            <w:shd w:val="clear" w:color="auto" w:fill="DCE8F2"/>
            <w:tcMar>
              <w:top w:w="40" w:type="dxa"/>
              <w:left w:w="90" w:type="dxa"/>
              <w:bottom w:w="40" w:type="dxa"/>
              <w:right w:w="90" w:type="dxa"/>
            </w:tcMar>
          </w:tcPr>
          <w:p w14:paraId="4CB8391F" w14:textId="77777777" w:rsidR="00606A8D" w:rsidRDefault="007B6576">
            <w:r>
              <w:rPr>
                <w:b/>
                <w:bCs/>
                <w:sz w:val="18"/>
                <w:szCs w:val="18"/>
              </w:rPr>
              <w:t>Opening balances?</w:t>
            </w:r>
          </w:p>
        </w:tc>
      </w:tr>
      <w:tr w:rsidR="00606A8D" w14:paraId="4CB83924" w14:textId="77777777">
        <w:tblPrEx>
          <w:tblCellMar>
            <w:top w:w="0" w:type="dxa"/>
            <w:bottom w:w="0" w:type="dxa"/>
          </w:tblCellMar>
        </w:tblPrEx>
        <w:tc>
          <w:tcPr>
            <w:tcW w:w="2100" w:type="dxa"/>
            <w:tcMar>
              <w:top w:w="40" w:type="dxa"/>
              <w:left w:w="90" w:type="dxa"/>
              <w:bottom w:w="40" w:type="dxa"/>
              <w:right w:w="90" w:type="dxa"/>
            </w:tcMar>
          </w:tcPr>
          <w:p w14:paraId="4CB83921" w14:textId="77777777" w:rsidR="00606A8D" w:rsidRDefault="007B6576">
            <w:r>
              <w:rPr>
                <w:sz w:val="18"/>
                <w:szCs w:val="18"/>
              </w:rPr>
              <w:t>Profit &amp; loss</w:t>
            </w:r>
          </w:p>
        </w:tc>
        <w:tc>
          <w:tcPr>
            <w:tcW w:w="5060" w:type="dxa"/>
            <w:tcMar>
              <w:top w:w="40" w:type="dxa"/>
              <w:left w:w="90" w:type="dxa"/>
              <w:bottom w:w="40" w:type="dxa"/>
              <w:right w:w="90" w:type="dxa"/>
            </w:tcMar>
          </w:tcPr>
          <w:p w14:paraId="4CB83922" w14:textId="77777777" w:rsidR="00606A8D" w:rsidRDefault="007B6576">
            <w:r>
              <w:rPr>
                <w:sz w:val="18"/>
                <w:szCs w:val="18"/>
              </w:rPr>
              <w:t>Revenue − expenses on Result accounts, from journal movements.</w:t>
            </w:r>
          </w:p>
        </w:tc>
        <w:tc>
          <w:tcPr>
            <w:tcW w:w="2200" w:type="dxa"/>
            <w:tcMar>
              <w:top w:w="40" w:type="dxa"/>
              <w:left w:w="90" w:type="dxa"/>
              <w:bottom w:w="40" w:type="dxa"/>
              <w:right w:w="90" w:type="dxa"/>
            </w:tcMar>
          </w:tcPr>
          <w:p w14:paraId="4CB83923" w14:textId="77777777" w:rsidR="00606A8D" w:rsidRDefault="007B6576">
            <w:r>
              <w:rPr>
                <w:sz w:val="18"/>
                <w:szCs w:val="18"/>
              </w:rPr>
              <w:t>Not needed (P&amp;L opens at zero).</w:t>
            </w:r>
          </w:p>
        </w:tc>
      </w:tr>
      <w:tr w:rsidR="00606A8D" w14:paraId="4CB83928" w14:textId="77777777">
        <w:tblPrEx>
          <w:tblCellMar>
            <w:top w:w="0" w:type="dxa"/>
            <w:bottom w:w="0" w:type="dxa"/>
          </w:tblCellMar>
        </w:tblPrEx>
        <w:tc>
          <w:tcPr>
            <w:tcW w:w="2100" w:type="dxa"/>
            <w:tcMar>
              <w:top w:w="40" w:type="dxa"/>
              <w:left w:w="90" w:type="dxa"/>
              <w:bottom w:w="40" w:type="dxa"/>
              <w:right w:w="90" w:type="dxa"/>
            </w:tcMar>
          </w:tcPr>
          <w:p w14:paraId="4CB83925" w14:textId="77777777" w:rsidR="00606A8D" w:rsidRDefault="007B6576">
            <w:r>
              <w:rPr>
                <w:sz w:val="18"/>
                <w:szCs w:val="18"/>
              </w:rPr>
              <w:t>Trial balance</w:t>
            </w:r>
          </w:p>
        </w:tc>
        <w:tc>
          <w:tcPr>
            <w:tcW w:w="5060" w:type="dxa"/>
            <w:tcMar>
              <w:top w:w="40" w:type="dxa"/>
              <w:left w:w="90" w:type="dxa"/>
              <w:bottom w:w="40" w:type="dxa"/>
              <w:right w:w="90" w:type="dxa"/>
            </w:tcMar>
          </w:tcPr>
          <w:p w14:paraId="4CB83926" w14:textId="77777777" w:rsidR="00606A8D" w:rsidRDefault="007B6576">
            <w:r>
              <w:rPr>
                <w:sz w:val="18"/>
                <w:szCs w:val="18"/>
              </w:rPr>
              <w:t>Per-account closing balance = opening + journal movements.</w:t>
            </w:r>
          </w:p>
        </w:tc>
        <w:tc>
          <w:tcPr>
            <w:tcW w:w="2200" w:type="dxa"/>
            <w:tcMar>
              <w:top w:w="40" w:type="dxa"/>
              <w:left w:w="90" w:type="dxa"/>
              <w:bottom w:w="40" w:type="dxa"/>
              <w:right w:w="90" w:type="dxa"/>
            </w:tcMar>
          </w:tcPr>
          <w:p w14:paraId="4CB83927" w14:textId="77777777" w:rsidR="00606A8D" w:rsidRDefault="007B6576">
            <w:r>
              <w:rPr>
                <w:sz w:val="18"/>
                <w:szCs w:val="18"/>
              </w:rPr>
              <w:t>Used.</w:t>
            </w:r>
          </w:p>
        </w:tc>
      </w:tr>
      <w:tr w:rsidR="00606A8D" w14:paraId="4CB8392C" w14:textId="77777777">
        <w:tblPrEx>
          <w:tblCellMar>
            <w:top w:w="0" w:type="dxa"/>
            <w:bottom w:w="0" w:type="dxa"/>
          </w:tblCellMar>
        </w:tblPrEx>
        <w:tc>
          <w:tcPr>
            <w:tcW w:w="2100" w:type="dxa"/>
            <w:tcMar>
              <w:top w:w="40" w:type="dxa"/>
              <w:left w:w="90" w:type="dxa"/>
              <w:bottom w:w="40" w:type="dxa"/>
              <w:right w:w="90" w:type="dxa"/>
            </w:tcMar>
          </w:tcPr>
          <w:p w14:paraId="4CB83929" w14:textId="77777777" w:rsidR="00606A8D" w:rsidRDefault="007B6576">
            <w:r>
              <w:rPr>
                <w:sz w:val="18"/>
                <w:szCs w:val="18"/>
              </w:rPr>
              <w:t>Balance sheet</w:t>
            </w:r>
          </w:p>
        </w:tc>
        <w:tc>
          <w:tcPr>
            <w:tcW w:w="5060" w:type="dxa"/>
            <w:tcMar>
              <w:top w:w="40" w:type="dxa"/>
              <w:left w:w="90" w:type="dxa"/>
              <w:bottom w:w="40" w:type="dxa"/>
              <w:right w:w="90" w:type="dxa"/>
            </w:tcMar>
          </w:tcPr>
          <w:p w14:paraId="4CB8392A" w14:textId="77777777" w:rsidR="00606A8D" w:rsidRDefault="007B6576">
            <w:r>
              <w:rPr>
                <w:sz w:val="18"/>
                <w:szCs w:val="18"/>
              </w:rPr>
              <w:t>Assets vs liabilities + equity + result for the year, with a balance check.</w:t>
            </w:r>
          </w:p>
        </w:tc>
        <w:tc>
          <w:tcPr>
            <w:tcW w:w="2200" w:type="dxa"/>
            <w:tcMar>
              <w:top w:w="40" w:type="dxa"/>
              <w:left w:w="90" w:type="dxa"/>
              <w:bottom w:w="40" w:type="dxa"/>
              <w:right w:w="90" w:type="dxa"/>
            </w:tcMar>
          </w:tcPr>
          <w:p w14:paraId="4CB8392B" w14:textId="77777777" w:rsidR="00606A8D" w:rsidRDefault="007B6576">
            <w:r>
              <w:rPr>
                <w:sz w:val="18"/>
                <w:szCs w:val="18"/>
              </w:rPr>
              <w:t>Used.</w:t>
            </w:r>
          </w:p>
        </w:tc>
      </w:tr>
    </w:tbl>
    <w:p w14:paraId="4CB8392D" w14:textId="77777777" w:rsidR="00606A8D" w:rsidRDefault="00606A8D">
      <w:pPr>
        <w:spacing w:after="40"/>
      </w:pPr>
    </w:p>
    <w:p w14:paraId="4CB8392E" w14:textId="77777777" w:rsidR="00606A8D" w:rsidRDefault="007B6576">
      <w:pPr>
        <w:spacing w:after="120" w:line="276" w:lineRule="auto"/>
      </w:pPr>
      <w:r>
        <w:rPr>
          <w:b/>
          <w:bCs/>
          <w:color w:val="00395D"/>
        </w:rPr>
        <w:t xml:space="preserve">Honest by design. </w:t>
      </w:r>
      <w:r>
        <w:t>All three exclude out-of-balance “difference” journals and disclose them (count and net amount) rather than letting them distort the statement. Any residual imbalance the assistant reports means the opening balances are incomplete for that ledger / year — a prompt to finish the setup, not a hidden error.</w:t>
      </w:r>
    </w:p>
    <w:p w14:paraId="4CB8392F" w14:textId="77777777" w:rsidR="00606A8D" w:rsidRDefault="007B6576">
      <w:r>
        <w:br w:type="page"/>
      </w:r>
    </w:p>
    <w:p w14:paraId="4CB83930" w14:textId="77777777" w:rsidR="00606A8D" w:rsidRDefault="007B6576">
      <w:pPr>
        <w:pStyle w:val="Heading1"/>
        <w:spacing w:before="300" w:after="120"/>
      </w:pPr>
      <w:bookmarkStart w:id="11" w:name="_Toc239916932"/>
      <w:r>
        <w:lastRenderedPageBreak/>
        <w:t>7. How it all fits together</w:t>
      </w:r>
      <w:bookmarkEnd w:id="11"/>
    </w:p>
    <w:p w14:paraId="4CB83931" w14:textId="77777777" w:rsidR="00606A8D" w:rsidRDefault="007B6576">
      <w:pPr>
        <w:spacing w:after="120" w:line="276" w:lineRule="auto"/>
      </w:pPr>
      <w:r>
        <w:t>The opening-balance lifecycle mirrors a real ledger:</w:t>
      </w:r>
    </w:p>
    <w:tbl>
      <w:tblPr>
        <w:tblW w:w="9360" w:type="dxa"/>
        <w:tblBorders>
          <w:top w:val="single" w:sz="4" w:space="0" w:color="C9D6E2"/>
          <w:left w:val="single" w:sz="4" w:space="0" w:color="C9D6E2"/>
          <w:bottom w:val="single" w:sz="4" w:space="0" w:color="C9D6E2"/>
          <w:right w:val="single" w:sz="4" w:space="0" w:color="C9D6E2"/>
          <w:insideH w:val="single" w:sz="2" w:space="0" w:color="E3EAF1"/>
          <w:insideV w:val="single" w:sz="2" w:space="0" w:color="E3EAF1"/>
        </w:tblBorders>
        <w:tblCellMar>
          <w:left w:w="10" w:type="dxa"/>
          <w:right w:w="10" w:type="dxa"/>
        </w:tblCellMar>
        <w:tblLook w:val="04A0" w:firstRow="1" w:lastRow="0" w:firstColumn="1" w:lastColumn="0" w:noHBand="0" w:noVBand="1"/>
      </w:tblPr>
      <w:tblGrid>
        <w:gridCol w:w="1700"/>
        <w:gridCol w:w="5460"/>
        <w:gridCol w:w="2200"/>
      </w:tblGrid>
      <w:tr w:rsidR="00606A8D" w14:paraId="4CB83935" w14:textId="77777777">
        <w:tblPrEx>
          <w:tblCellMar>
            <w:top w:w="0" w:type="dxa"/>
            <w:bottom w:w="0" w:type="dxa"/>
          </w:tblCellMar>
        </w:tblPrEx>
        <w:trPr>
          <w:tblHeader/>
        </w:trPr>
        <w:tc>
          <w:tcPr>
            <w:tcW w:w="1700" w:type="dxa"/>
            <w:shd w:val="clear" w:color="auto" w:fill="DCE8F2"/>
            <w:tcMar>
              <w:top w:w="40" w:type="dxa"/>
              <w:left w:w="90" w:type="dxa"/>
              <w:bottom w:w="40" w:type="dxa"/>
              <w:right w:w="90" w:type="dxa"/>
            </w:tcMar>
          </w:tcPr>
          <w:p w14:paraId="4CB83932" w14:textId="77777777" w:rsidR="00606A8D" w:rsidRDefault="007B6576">
            <w:r>
              <w:rPr>
                <w:b/>
                <w:bCs/>
                <w:sz w:val="18"/>
                <w:szCs w:val="18"/>
              </w:rPr>
              <w:t>Stage</w:t>
            </w:r>
          </w:p>
        </w:tc>
        <w:tc>
          <w:tcPr>
            <w:tcW w:w="5460" w:type="dxa"/>
            <w:shd w:val="clear" w:color="auto" w:fill="DCE8F2"/>
            <w:tcMar>
              <w:top w:w="40" w:type="dxa"/>
              <w:left w:w="90" w:type="dxa"/>
              <w:bottom w:w="40" w:type="dxa"/>
              <w:right w:w="90" w:type="dxa"/>
            </w:tcMar>
          </w:tcPr>
          <w:p w14:paraId="4CB83933" w14:textId="77777777" w:rsidR="00606A8D" w:rsidRDefault="007B6576">
            <w:r>
              <w:rPr>
                <w:b/>
                <w:bCs/>
                <w:sz w:val="18"/>
                <w:szCs w:val="18"/>
              </w:rPr>
              <w:t>What happens</w:t>
            </w:r>
          </w:p>
        </w:tc>
        <w:tc>
          <w:tcPr>
            <w:tcW w:w="2200" w:type="dxa"/>
            <w:shd w:val="clear" w:color="auto" w:fill="DCE8F2"/>
            <w:tcMar>
              <w:top w:w="40" w:type="dxa"/>
              <w:left w:w="90" w:type="dxa"/>
              <w:bottom w:w="40" w:type="dxa"/>
              <w:right w:w="90" w:type="dxa"/>
            </w:tcMar>
          </w:tcPr>
          <w:p w14:paraId="4CB83934" w14:textId="77777777" w:rsidR="00606A8D" w:rsidRDefault="007B6576">
            <w:r>
              <w:rPr>
                <w:b/>
                <w:bCs/>
                <w:sz w:val="18"/>
                <w:szCs w:val="18"/>
              </w:rPr>
              <w:t>Where</w:t>
            </w:r>
          </w:p>
        </w:tc>
      </w:tr>
      <w:tr w:rsidR="00606A8D" w14:paraId="4CB83939" w14:textId="77777777">
        <w:tblPrEx>
          <w:tblCellMar>
            <w:top w:w="0" w:type="dxa"/>
            <w:bottom w:w="0" w:type="dxa"/>
          </w:tblCellMar>
        </w:tblPrEx>
        <w:tc>
          <w:tcPr>
            <w:tcW w:w="1700" w:type="dxa"/>
            <w:tcMar>
              <w:top w:w="40" w:type="dxa"/>
              <w:left w:w="90" w:type="dxa"/>
              <w:bottom w:w="40" w:type="dxa"/>
              <w:right w:w="90" w:type="dxa"/>
            </w:tcMar>
          </w:tcPr>
          <w:p w14:paraId="4CB83936" w14:textId="77777777" w:rsidR="00606A8D" w:rsidRDefault="007B6576">
            <w:r>
              <w:rPr>
                <w:sz w:val="18"/>
                <w:szCs w:val="18"/>
              </w:rPr>
              <w:t>Go-live</w:t>
            </w:r>
          </w:p>
        </w:tc>
        <w:tc>
          <w:tcPr>
            <w:tcW w:w="5460" w:type="dxa"/>
            <w:tcMar>
              <w:top w:w="40" w:type="dxa"/>
              <w:left w:w="90" w:type="dxa"/>
              <w:bottom w:w="40" w:type="dxa"/>
              <w:right w:w="90" w:type="dxa"/>
            </w:tcMar>
          </w:tcPr>
          <w:p w14:paraId="4CB83937" w14:textId="77777777" w:rsidR="00606A8D" w:rsidRDefault="007B6576">
            <w:r>
              <w:rPr>
                <w:sz w:val="18"/>
                <w:szCs w:val="18"/>
              </w:rPr>
              <w:t>Enter / import the first opening balances for the entity + ledger.</w:t>
            </w:r>
          </w:p>
        </w:tc>
        <w:tc>
          <w:tcPr>
            <w:tcW w:w="2200" w:type="dxa"/>
            <w:tcMar>
              <w:top w:w="40" w:type="dxa"/>
              <w:left w:w="90" w:type="dxa"/>
              <w:bottom w:w="40" w:type="dxa"/>
              <w:right w:w="90" w:type="dxa"/>
            </w:tcMar>
          </w:tcPr>
          <w:p w14:paraId="4CB83938" w14:textId="77777777" w:rsidR="00606A8D" w:rsidRDefault="007B6576">
            <w:r>
              <w:rPr>
                <w:sz w:val="18"/>
                <w:szCs w:val="18"/>
              </w:rPr>
              <w:t>Opening balances screen</w:t>
            </w:r>
          </w:p>
        </w:tc>
      </w:tr>
      <w:tr w:rsidR="00606A8D" w14:paraId="4CB8393D" w14:textId="77777777">
        <w:tblPrEx>
          <w:tblCellMar>
            <w:top w:w="0" w:type="dxa"/>
            <w:bottom w:w="0" w:type="dxa"/>
          </w:tblCellMar>
        </w:tblPrEx>
        <w:tc>
          <w:tcPr>
            <w:tcW w:w="1700" w:type="dxa"/>
            <w:tcMar>
              <w:top w:w="40" w:type="dxa"/>
              <w:left w:w="90" w:type="dxa"/>
              <w:bottom w:w="40" w:type="dxa"/>
              <w:right w:w="90" w:type="dxa"/>
            </w:tcMar>
          </w:tcPr>
          <w:p w14:paraId="4CB8393A" w14:textId="77777777" w:rsidR="00606A8D" w:rsidRDefault="007B6576">
            <w:r>
              <w:rPr>
                <w:sz w:val="18"/>
                <w:szCs w:val="18"/>
              </w:rPr>
              <w:t>During the year</w:t>
            </w:r>
          </w:p>
        </w:tc>
        <w:tc>
          <w:tcPr>
            <w:tcW w:w="5460" w:type="dxa"/>
            <w:tcMar>
              <w:top w:w="40" w:type="dxa"/>
              <w:left w:w="90" w:type="dxa"/>
              <w:bottom w:w="40" w:type="dxa"/>
              <w:right w:w="90" w:type="dxa"/>
            </w:tcMar>
          </w:tcPr>
          <w:p w14:paraId="4CB8393B" w14:textId="77777777" w:rsidR="00606A8D" w:rsidRDefault="007B6576">
            <w:r>
              <w:rPr>
                <w:sz w:val="18"/>
                <w:szCs w:val="18"/>
              </w:rPr>
              <w:t>Business events post journals; any that don’t balance are held as differences.</w:t>
            </w:r>
          </w:p>
        </w:tc>
        <w:tc>
          <w:tcPr>
            <w:tcW w:w="2200" w:type="dxa"/>
            <w:tcMar>
              <w:top w:w="40" w:type="dxa"/>
              <w:left w:w="90" w:type="dxa"/>
              <w:bottom w:w="40" w:type="dxa"/>
              <w:right w:w="90" w:type="dxa"/>
            </w:tcMar>
          </w:tcPr>
          <w:p w14:paraId="4CB8393C" w14:textId="77777777" w:rsidR="00606A8D" w:rsidRDefault="007B6576">
            <w:r>
              <w:rPr>
                <w:sz w:val="18"/>
                <w:szCs w:val="18"/>
              </w:rPr>
              <w:t>Simulator / message flow; Journal search</w:t>
            </w:r>
          </w:p>
        </w:tc>
      </w:tr>
      <w:tr w:rsidR="00606A8D" w14:paraId="4CB83941" w14:textId="77777777">
        <w:tblPrEx>
          <w:tblCellMar>
            <w:top w:w="0" w:type="dxa"/>
            <w:bottom w:w="0" w:type="dxa"/>
          </w:tblCellMar>
        </w:tblPrEx>
        <w:tc>
          <w:tcPr>
            <w:tcW w:w="1700" w:type="dxa"/>
            <w:tcMar>
              <w:top w:w="40" w:type="dxa"/>
              <w:left w:w="90" w:type="dxa"/>
              <w:bottom w:w="40" w:type="dxa"/>
              <w:right w:w="90" w:type="dxa"/>
            </w:tcMar>
          </w:tcPr>
          <w:p w14:paraId="4CB8393E" w14:textId="77777777" w:rsidR="00606A8D" w:rsidRDefault="007B6576">
            <w:r>
              <w:rPr>
                <w:sz w:val="18"/>
                <w:szCs w:val="18"/>
              </w:rPr>
              <w:t>Year-end close</w:t>
            </w:r>
          </w:p>
        </w:tc>
        <w:tc>
          <w:tcPr>
            <w:tcW w:w="5460" w:type="dxa"/>
            <w:tcMar>
              <w:top w:w="40" w:type="dxa"/>
              <w:left w:w="90" w:type="dxa"/>
              <w:bottom w:w="40" w:type="dxa"/>
              <w:right w:w="90" w:type="dxa"/>
            </w:tcMar>
          </w:tcPr>
          <w:p w14:paraId="4CB8393F" w14:textId="77777777" w:rsidR="00606A8D" w:rsidRDefault="007B6576">
            <w:r>
              <w:rPr>
                <w:sz w:val="18"/>
                <w:szCs w:val="18"/>
              </w:rPr>
              <w:t>Result → equity; next year’s openings created; a brought-forward journal posted.</w:t>
            </w:r>
          </w:p>
        </w:tc>
        <w:tc>
          <w:tcPr>
            <w:tcW w:w="2200" w:type="dxa"/>
            <w:tcMar>
              <w:top w:w="40" w:type="dxa"/>
              <w:left w:w="90" w:type="dxa"/>
              <w:bottom w:w="40" w:type="dxa"/>
              <w:right w:w="90" w:type="dxa"/>
            </w:tcMar>
          </w:tcPr>
          <w:p w14:paraId="4CB83940" w14:textId="77777777" w:rsidR="00606A8D" w:rsidRDefault="007B6576">
            <w:r>
              <w:rPr>
                <w:sz w:val="18"/>
                <w:szCs w:val="18"/>
              </w:rPr>
              <w:t>Opening balances → Close year</w:t>
            </w:r>
          </w:p>
        </w:tc>
      </w:tr>
      <w:tr w:rsidR="00606A8D" w14:paraId="4CB83945" w14:textId="77777777">
        <w:tblPrEx>
          <w:tblCellMar>
            <w:top w:w="0" w:type="dxa"/>
            <w:bottom w:w="0" w:type="dxa"/>
          </w:tblCellMar>
        </w:tblPrEx>
        <w:tc>
          <w:tcPr>
            <w:tcW w:w="1700" w:type="dxa"/>
            <w:tcMar>
              <w:top w:w="40" w:type="dxa"/>
              <w:left w:w="90" w:type="dxa"/>
              <w:bottom w:w="40" w:type="dxa"/>
              <w:right w:w="90" w:type="dxa"/>
            </w:tcMar>
          </w:tcPr>
          <w:p w14:paraId="4CB83942" w14:textId="77777777" w:rsidR="00606A8D" w:rsidRDefault="007B6576">
            <w:r>
              <w:rPr>
                <w:sz w:val="18"/>
                <w:szCs w:val="18"/>
              </w:rPr>
              <w:t>Reporting</w:t>
            </w:r>
          </w:p>
        </w:tc>
        <w:tc>
          <w:tcPr>
            <w:tcW w:w="5460" w:type="dxa"/>
            <w:tcMar>
              <w:top w:w="40" w:type="dxa"/>
              <w:left w:w="90" w:type="dxa"/>
              <w:bottom w:w="40" w:type="dxa"/>
              <w:right w:w="90" w:type="dxa"/>
            </w:tcMar>
          </w:tcPr>
          <w:p w14:paraId="4CB83943" w14:textId="77777777" w:rsidR="00606A8D" w:rsidRDefault="007B6576">
            <w:r>
              <w:rPr>
                <w:sz w:val="18"/>
                <w:szCs w:val="18"/>
              </w:rPr>
              <w:t>Profit, trial balance, balance sheet — difference-aware, tying out.</w:t>
            </w:r>
          </w:p>
        </w:tc>
        <w:tc>
          <w:tcPr>
            <w:tcW w:w="2200" w:type="dxa"/>
            <w:tcMar>
              <w:top w:w="40" w:type="dxa"/>
              <w:left w:w="90" w:type="dxa"/>
              <w:bottom w:w="40" w:type="dxa"/>
              <w:right w:w="90" w:type="dxa"/>
            </w:tcMar>
          </w:tcPr>
          <w:p w14:paraId="4CB83944" w14:textId="77777777" w:rsidR="00606A8D" w:rsidRDefault="007B6576">
            <w:r>
              <w:rPr>
                <w:sz w:val="18"/>
                <w:szCs w:val="18"/>
              </w:rPr>
              <w:t>Ask Accountant</w:t>
            </w:r>
          </w:p>
        </w:tc>
      </w:tr>
      <w:tr w:rsidR="00606A8D" w14:paraId="4CB83949" w14:textId="77777777">
        <w:tblPrEx>
          <w:tblCellMar>
            <w:top w:w="0" w:type="dxa"/>
            <w:bottom w:w="0" w:type="dxa"/>
          </w:tblCellMar>
        </w:tblPrEx>
        <w:tc>
          <w:tcPr>
            <w:tcW w:w="1700" w:type="dxa"/>
            <w:tcMar>
              <w:top w:w="40" w:type="dxa"/>
              <w:left w:w="90" w:type="dxa"/>
              <w:bottom w:w="40" w:type="dxa"/>
              <w:right w:w="90" w:type="dxa"/>
            </w:tcMar>
          </w:tcPr>
          <w:p w14:paraId="4CB83946" w14:textId="77777777" w:rsidR="00606A8D" w:rsidRDefault="007B6576">
            <w:r>
              <w:rPr>
                <w:sz w:val="18"/>
                <w:szCs w:val="18"/>
              </w:rPr>
              <w:t>New year</w:t>
            </w:r>
          </w:p>
        </w:tc>
        <w:tc>
          <w:tcPr>
            <w:tcW w:w="5460" w:type="dxa"/>
            <w:tcMar>
              <w:top w:w="40" w:type="dxa"/>
              <w:left w:w="90" w:type="dxa"/>
              <w:bottom w:w="40" w:type="dxa"/>
              <w:right w:w="90" w:type="dxa"/>
            </w:tcMar>
          </w:tcPr>
          <w:p w14:paraId="4CB83947" w14:textId="77777777" w:rsidR="00606A8D" w:rsidRDefault="007B6576">
            <w:r>
              <w:rPr>
                <w:sz w:val="18"/>
                <w:szCs w:val="18"/>
              </w:rPr>
              <w:t>Opening balances are now the carried-forward set (not re-typed).</w:t>
            </w:r>
          </w:p>
        </w:tc>
        <w:tc>
          <w:tcPr>
            <w:tcW w:w="2200" w:type="dxa"/>
            <w:tcMar>
              <w:top w:w="40" w:type="dxa"/>
              <w:left w:w="90" w:type="dxa"/>
              <w:bottom w:w="40" w:type="dxa"/>
              <w:right w:w="90" w:type="dxa"/>
            </w:tcMar>
          </w:tcPr>
          <w:p w14:paraId="4CB83948" w14:textId="77777777" w:rsidR="00606A8D" w:rsidRDefault="007B6576">
            <w:r>
              <w:rPr>
                <w:sz w:val="18"/>
                <w:szCs w:val="18"/>
              </w:rPr>
              <w:t>Opening balances (new year)</w:t>
            </w:r>
          </w:p>
        </w:tc>
      </w:tr>
    </w:tbl>
    <w:p w14:paraId="4CB8394A" w14:textId="77777777" w:rsidR="00606A8D" w:rsidRDefault="007B6576">
      <w:pPr>
        <w:pStyle w:val="Heading1"/>
        <w:spacing w:before="300" w:after="120"/>
      </w:pPr>
      <w:bookmarkStart w:id="12" w:name="_Toc239916933"/>
      <w:r>
        <w:t>8. Rules &amp; principles</w:t>
      </w:r>
      <w:bookmarkEnd w:id="12"/>
    </w:p>
    <w:p w14:paraId="4CB8394B" w14:textId="77777777" w:rsidR="00606A8D" w:rsidRDefault="007B6576">
      <w:pPr>
        <w:pStyle w:val="ListParagraph"/>
        <w:numPr>
          <w:ilvl w:val="0"/>
          <w:numId w:val="2"/>
        </w:numPr>
        <w:spacing w:after="60" w:line="264" w:lineRule="auto"/>
      </w:pPr>
      <w:r>
        <w:rPr>
          <w:b/>
          <w:bCs/>
        </w:rPr>
        <w:t xml:space="preserve">One source of truth. </w:t>
      </w:r>
      <w:r>
        <w:t>The opening-balances table drives the statements. The brought-forward journal is a visible copy for the ledger and is excluded from aggregation so it is never double-counted.</w:t>
      </w:r>
    </w:p>
    <w:p w14:paraId="4CB8394C" w14:textId="77777777" w:rsidR="00606A8D" w:rsidRDefault="007B6576">
      <w:pPr>
        <w:pStyle w:val="ListParagraph"/>
        <w:numPr>
          <w:ilvl w:val="0"/>
          <w:numId w:val="2"/>
        </w:numPr>
        <w:spacing w:after="60" w:line="264" w:lineRule="auto"/>
      </w:pPr>
      <w:r>
        <w:rPr>
          <w:b/>
          <w:bCs/>
        </w:rPr>
        <w:t xml:space="preserve">Statements exclude what can’t post. </w:t>
      </w:r>
      <w:r>
        <w:t>Difference journals (unbalanced) and brought-forward journals are left out of profit, trial balance, balance sheet and the next carry-forward; differences are disclosed separately.</w:t>
      </w:r>
    </w:p>
    <w:p w14:paraId="4CB8394D" w14:textId="77777777" w:rsidR="00606A8D" w:rsidRDefault="007B6576">
      <w:pPr>
        <w:pStyle w:val="ListParagraph"/>
        <w:numPr>
          <w:ilvl w:val="0"/>
          <w:numId w:val="2"/>
        </w:numPr>
        <w:spacing w:after="60" w:line="264" w:lineRule="auto"/>
      </w:pPr>
      <w:r>
        <w:rPr>
          <w:b/>
          <w:bCs/>
        </w:rPr>
        <w:t xml:space="preserve">Profit needs no opening balances. </w:t>
      </w:r>
      <w:r>
        <w:t>P&amp;L accounts open at zero each year, so a year’s profit is fully determined by that year’s journal movements.</w:t>
      </w:r>
    </w:p>
    <w:p w14:paraId="4CB8394E" w14:textId="77777777" w:rsidR="00606A8D" w:rsidRDefault="007B6576">
      <w:pPr>
        <w:pStyle w:val="ListParagraph"/>
        <w:numPr>
          <w:ilvl w:val="0"/>
          <w:numId w:val="2"/>
        </w:numPr>
        <w:spacing w:after="60" w:line="264" w:lineRule="auto"/>
      </w:pPr>
      <w:r>
        <w:rPr>
          <w:b/>
          <w:bCs/>
        </w:rPr>
        <w:t xml:space="preserve">Broken fiscal years are supported. </w:t>
      </w:r>
      <w:r>
        <w:t>Everything keys off the entity’s fiscal-year start month, so an April–March (or any) year works; the “as of” date and the year grouping follow it.</w:t>
      </w:r>
    </w:p>
    <w:p w14:paraId="4CB8394F" w14:textId="77777777" w:rsidR="00606A8D" w:rsidRDefault="007B6576">
      <w:pPr>
        <w:pStyle w:val="ListParagraph"/>
        <w:numPr>
          <w:ilvl w:val="0"/>
          <w:numId w:val="2"/>
        </w:numPr>
        <w:spacing w:after="60" w:line="264" w:lineRule="auto"/>
      </w:pPr>
      <w:r>
        <w:rPr>
          <w:b/>
          <w:bCs/>
        </w:rPr>
        <w:t xml:space="preserve">Per ledger, per entity. </w:t>
      </w:r>
      <w:r>
        <w:t>Opening balances, the close and the reports are all scoped to one ledger of one legal entity; parallel books (e.g. Local Legal vs US GAAP) are independent.</w:t>
      </w:r>
    </w:p>
    <w:p w14:paraId="4CB83950" w14:textId="77777777" w:rsidR="00606A8D" w:rsidRDefault="007B6576">
      <w:pPr>
        <w:pStyle w:val="ListParagraph"/>
        <w:numPr>
          <w:ilvl w:val="0"/>
          <w:numId w:val="2"/>
        </w:numPr>
        <w:spacing w:after="60" w:line="264" w:lineRule="auto"/>
      </w:pPr>
      <w:r>
        <w:rPr>
          <w:b/>
          <w:bCs/>
        </w:rPr>
        <w:t xml:space="preserve">Base currency. </w:t>
      </w:r>
      <w:r>
        <w:t>Opening balances and the statements are expressed in the entity’s base (reporting) currency; foreign-currency journal lines are converted at the line’s captured rate.</w:t>
      </w:r>
    </w:p>
    <w:p w14:paraId="4CB83951" w14:textId="77777777" w:rsidR="00606A8D" w:rsidRDefault="007B6576">
      <w:pPr>
        <w:pStyle w:val="ListParagraph"/>
        <w:numPr>
          <w:ilvl w:val="0"/>
          <w:numId w:val="2"/>
        </w:numPr>
        <w:spacing w:after="60" w:line="264" w:lineRule="auto"/>
      </w:pPr>
      <w:r>
        <w:rPr>
          <w:b/>
          <w:bCs/>
        </w:rPr>
        <w:t xml:space="preserve">Result disposition target. </w:t>
      </w:r>
      <w:r>
        <w:t>The year’s result is posted to an equity “retained earnings” account (an entity Balance account whose name contains “Equity”/“Retained”, otherwise account 2080). If none exists, add one before closing so the result can be disposed and the new year balances.</w:t>
      </w:r>
    </w:p>
    <w:p w14:paraId="4CB83952" w14:textId="77777777" w:rsidR="00606A8D" w:rsidRDefault="007B6576">
      <w:pPr>
        <w:pStyle w:val="Heading1"/>
        <w:spacing w:before="300" w:after="120"/>
      </w:pPr>
      <w:bookmarkStart w:id="13" w:name="_Toc239916934"/>
      <w:r>
        <w:t>9. Reference</w:t>
      </w:r>
      <w:bookmarkEnd w:id="13"/>
    </w:p>
    <w:p w14:paraId="4CB83953" w14:textId="77777777" w:rsidR="00606A8D" w:rsidRDefault="007B6576">
      <w:pPr>
        <w:pStyle w:val="Heading2"/>
        <w:spacing w:before="220"/>
      </w:pPr>
      <w:bookmarkStart w:id="14" w:name="_Toc239916935"/>
      <w:r>
        <w:t>9.1 Opening balance record</w:t>
      </w:r>
      <w:bookmarkEnd w:id="14"/>
    </w:p>
    <w:tbl>
      <w:tblPr>
        <w:tblW w:w="9360" w:type="dxa"/>
        <w:tblBorders>
          <w:top w:val="single" w:sz="4" w:space="0" w:color="C9D6E2"/>
          <w:left w:val="single" w:sz="4" w:space="0" w:color="C9D6E2"/>
          <w:bottom w:val="single" w:sz="4" w:space="0" w:color="C9D6E2"/>
          <w:right w:val="single" w:sz="4" w:space="0" w:color="C9D6E2"/>
          <w:insideH w:val="single" w:sz="2" w:space="0" w:color="E3EAF1"/>
          <w:insideV w:val="single" w:sz="2" w:space="0" w:color="E3EAF1"/>
        </w:tblBorders>
        <w:tblCellMar>
          <w:left w:w="10" w:type="dxa"/>
          <w:right w:w="10" w:type="dxa"/>
        </w:tblCellMar>
        <w:tblLook w:val="04A0" w:firstRow="1" w:lastRow="0" w:firstColumn="1" w:lastColumn="0" w:noHBand="0" w:noVBand="1"/>
      </w:tblPr>
      <w:tblGrid>
        <w:gridCol w:w="2600"/>
        <w:gridCol w:w="6760"/>
      </w:tblGrid>
      <w:tr w:rsidR="00606A8D" w14:paraId="4CB83956" w14:textId="77777777">
        <w:tblPrEx>
          <w:tblCellMar>
            <w:top w:w="0" w:type="dxa"/>
            <w:bottom w:w="0" w:type="dxa"/>
          </w:tblCellMar>
        </w:tblPrEx>
        <w:trPr>
          <w:tblHeader/>
        </w:trPr>
        <w:tc>
          <w:tcPr>
            <w:tcW w:w="2600" w:type="dxa"/>
            <w:shd w:val="clear" w:color="auto" w:fill="DCE8F2"/>
            <w:tcMar>
              <w:top w:w="40" w:type="dxa"/>
              <w:left w:w="90" w:type="dxa"/>
              <w:bottom w:w="40" w:type="dxa"/>
              <w:right w:w="90" w:type="dxa"/>
            </w:tcMar>
          </w:tcPr>
          <w:p w14:paraId="4CB83954" w14:textId="77777777" w:rsidR="00606A8D" w:rsidRDefault="007B6576">
            <w:r>
              <w:rPr>
                <w:b/>
                <w:bCs/>
                <w:sz w:val="18"/>
                <w:szCs w:val="18"/>
              </w:rPr>
              <w:t>Field</w:t>
            </w:r>
          </w:p>
        </w:tc>
        <w:tc>
          <w:tcPr>
            <w:tcW w:w="6760" w:type="dxa"/>
            <w:shd w:val="clear" w:color="auto" w:fill="DCE8F2"/>
            <w:tcMar>
              <w:top w:w="40" w:type="dxa"/>
              <w:left w:w="90" w:type="dxa"/>
              <w:bottom w:w="40" w:type="dxa"/>
              <w:right w:w="90" w:type="dxa"/>
            </w:tcMar>
          </w:tcPr>
          <w:p w14:paraId="4CB83955" w14:textId="77777777" w:rsidR="00606A8D" w:rsidRDefault="007B6576">
            <w:r>
              <w:rPr>
                <w:b/>
                <w:bCs/>
                <w:sz w:val="18"/>
                <w:szCs w:val="18"/>
              </w:rPr>
              <w:t>Notes</w:t>
            </w:r>
          </w:p>
        </w:tc>
      </w:tr>
      <w:tr w:rsidR="00606A8D" w14:paraId="4CB83959" w14:textId="77777777">
        <w:tblPrEx>
          <w:tblCellMar>
            <w:top w:w="0" w:type="dxa"/>
            <w:bottom w:w="0" w:type="dxa"/>
          </w:tblCellMar>
        </w:tblPrEx>
        <w:tc>
          <w:tcPr>
            <w:tcW w:w="2600" w:type="dxa"/>
            <w:tcMar>
              <w:top w:w="40" w:type="dxa"/>
              <w:left w:w="90" w:type="dxa"/>
              <w:bottom w:w="40" w:type="dxa"/>
              <w:right w:w="90" w:type="dxa"/>
            </w:tcMar>
          </w:tcPr>
          <w:p w14:paraId="4CB83957" w14:textId="77777777" w:rsidR="00606A8D" w:rsidRDefault="007B6576">
            <w:r>
              <w:rPr>
                <w:sz w:val="18"/>
                <w:szCs w:val="18"/>
              </w:rPr>
              <w:t>Legal entity + Ledger</w:t>
            </w:r>
          </w:p>
        </w:tc>
        <w:tc>
          <w:tcPr>
            <w:tcW w:w="6760" w:type="dxa"/>
            <w:tcMar>
              <w:top w:w="40" w:type="dxa"/>
              <w:left w:w="90" w:type="dxa"/>
              <w:bottom w:w="40" w:type="dxa"/>
              <w:right w:w="90" w:type="dxa"/>
            </w:tcMar>
          </w:tcPr>
          <w:p w14:paraId="4CB83958" w14:textId="77777777" w:rsidR="00606A8D" w:rsidRDefault="007B6576">
            <w:r>
              <w:rPr>
                <w:sz w:val="18"/>
                <w:szCs w:val="18"/>
              </w:rPr>
              <w:t>Which book the balance belongs to.</w:t>
            </w:r>
          </w:p>
        </w:tc>
      </w:tr>
      <w:tr w:rsidR="00606A8D" w14:paraId="4CB8395C" w14:textId="77777777">
        <w:tblPrEx>
          <w:tblCellMar>
            <w:top w:w="0" w:type="dxa"/>
            <w:bottom w:w="0" w:type="dxa"/>
          </w:tblCellMar>
        </w:tblPrEx>
        <w:tc>
          <w:tcPr>
            <w:tcW w:w="2600" w:type="dxa"/>
            <w:tcMar>
              <w:top w:w="40" w:type="dxa"/>
              <w:left w:w="90" w:type="dxa"/>
              <w:bottom w:w="40" w:type="dxa"/>
              <w:right w:w="90" w:type="dxa"/>
            </w:tcMar>
          </w:tcPr>
          <w:p w14:paraId="4CB8395A" w14:textId="77777777" w:rsidR="00606A8D" w:rsidRDefault="007B6576">
            <w:r>
              <w:rPr>
                <w:sz w:val="18"/>
                <w:szCs w:val="18"/>
              </w:rPr>
              <w:t>Fiscal year</w:t>
            </w:r>
          </w:p>
        </w:tc>
        <w:tc>
          <w:tcPr>
            <w:tcW w:w="6760" w:type="dxa"/>
            <w:tcMar>
              <w:top w:w="40" w:type="dxa"/>
              <w:left w:w="90" w:type="dxa"/>
              <w:bottom w:w="40" w:type="dxa"/>
              <w:right w:w="90" w:type="dxa"/>
            </w:tcMar>
          </w:tcPr>
          <w:p w14:paraId="4CB8395B" w14:textId="77777777" w:rsidR="00606A8D" w:rsidRDefault="007B6576">
            <w:r>
              <w:rPr>
                <w:sz w:val="18"/>
                <w:szCs w:val="18"/>
              </w:rPr>
              <w:t>The year this is the opening position for; “as of” = first day of that fiscal year.</w:t>
            </w:r>
          </w:p>
        </w:tc>
      </w:tr>
      <w:tr w:rsidR="00606A8D" w14:paraId="4CB8395F" w14:textId="77777777">
        <w:tblPrEx>
          <w:tblCellMar>
            <w:top w:w="0" w:type="dxa"/>
            <w:bottom w:w="0" w:type="dxa"/>
          </w:tblCellMar>
        </w:tblPrEx>
        <w:tc>
          <w:tcPr>
            <w:tcW w:w="2600" w:type="dxa"/>
            <w:tcMar>
              <w:top w:w="40" w:type="dxa"/>
              <w:left w:w="90" w:type="dxa"/>
              <w:bottom w:w="40" w:type="dxa"/>
              <w:right w:w="90" w:type="dxa"/>
            </w:tcMar>
          </w:tcPr>
          <w:p w14:paraId="4CB8395D" w14:textId="77777777" w:rsidR="00606A8D" w:rsidRDefault="007B6576">
            <w:r>
              <w:rPr>
                <w:sz w:val="18"/>
                <w:szCs w:val="18"/>
              </w:rPr>
              <w:t>Account + Description</w:t>
            </w:r>
          </w:p>
        </w:tc>
        <w:tc>
          <w:tcPr>
            <w:tcW w:w="6760" w:type="dxa"/>
            <w:tcMar>
              <w:top w:w="40" w:type="dxa"/>
              <w:left w:w="90" w:type="dxa"/>
              <w:bottom w:w="40" w:type="dxa"/>
              <w:right w:w="90" w:type="dxa"/>
            </w:tcMar>
          </w:tcPr>
          <w:p w14:paraId="4CB8395E" w14:textId="77777777" w:rsidR="00606A8D" w:rsidRDefault="007B6576">
            <w:r>
              <w:rPr>
                <w:sz w:val="18"/>
                <w:szCs w:val="18"/>
              </w:rPr>
              <w:t>The pseudo account (normally a Balance account) and its label.</w:t>
            </w:r>
          </w:p>
        </w:tc>
      </w:tr>
      <w:tr w:rsidR="00606A8D" w14:paraId="4CB83962" w14:textId="77777777">
        <w:tblPrEx>
          <w:tblCellMar>
            <w:top w:w="0" w:type="dxa"/>
            <w:bottom w:w="0" w:type="dxa"/>
          </w:tblCellMar>
        </w:tblPrEx>
        <w:tc>
          <w:tcPr>
            <w:tcW w:w="2600" w:type="dxa"/>
            <w:tcMar>
              <w:top w:w="40" w:type="dxa"/>
              <w:left w:w="90" w:type="dxa"/>
              <w:bottom w:w="40" w:type="dxa"/>
              <w:right w:w="90" w:type="dxa"/>
            </w:tcMar>
          </w:tcPr>
          <w:p w14:paraId="4CB83960" w14:textId="77777777" w:rsidR="00606A8D" w:rsidRDefault="007B6576">
            <w:r>
              <w:rPr>
                <w:sz w:val="18"/>
                <w:szCs w:val="18"/>
              </w:rPr>
              <w:t>Debit / Credit</w:t>
            </w:r>
          </w:p>
        </w:tc>
        <w:tc>
          <w:tcPr>
            <w:tcW w:w="6760" w:type="dxa"/>
            <w:tcMar>
              <w:top w:w="40" w:type="dxa"/>
              <w:left w:w="90" w:type="dxa"/>
              <w:bottom w:w="40" w:type="dxa"/>
              <w:right w:w="90" w:type="dxa"/>
            </w:tcMar>
          </w:tcPr>
          <w:p w14:paraId="4CB83961" w14:textId="77777777" w:rsidR="00606A8D" w:rsidRDefault="007B6576">
            <w:r>
              <w:rPr>
                <w:sz w:val="18"/>
                <w:szCs w:val="18"/>
              </w:rPr>
              <w:t>The opening amount, base currency; the set must balance across the ledger + year.</w:t>
            </w:r>
          </w:p>
        </w:tc>
      </w:tr>
    </w:tbl>
    <w:p w14:paraId="4CB83963" w14:textId="77777777" w:rsidR="00606A8D" w:rsidRDefault="007B6576">
      <w:pPr>
        <w:pStyle w:val="Heading2"/>
        <w:spacing w:before="220"/>
      </w:pPr>
      <w:bookmarkStart w:id="15" w:name="_Toc239916936"/>
      <w:r>
        <w:t>9.2 Prototype notes</w:t>
      </w:r>
      <w:bookmarkEnd w:id="15"/>
    </w:p>
    <w:p w14:paraId="4CB83964" w14:textId="77777777" w:rsidR="00606A8D" w:rsidRDefault="007B6576">
      <w:pPr>
        <w:spacing w:after="120" w:line="276" w:lineRule="auto"/>
      </w:pPr>
      <w:r>
        <w:t>This is a working prototype (a React + Vite single-page app). All data is seeded and kept in the browser, so every change is local and reversible; Settings → Reset data rebuilds from the seed. Amounts, account numbers and codes are illustrative. The process and screens described here reflect the actual behaviour of the application.</w:t>
      </w:r>
    </w:p>
    <w:p w14:paraId="4CB83965" w14:textId="77777777" w:rsidR="00606A8D" w:rsidRDefault="007B6576">
      <w:pPr>
        <w:spacing w:before="240"/>
      </w:pPr>
      <w:r>
        <w:rPr>
          <w:i/>
          <w:iCs/>
          <w:color w:val="5A6472"/>
          <w:sz w:val="18"/>
          <w:szCs w:val="18"/>
        </w:rPr>
        <w:t>Tieto · One Credit Engine — accounting-domain prototype. Guide for internal use; figures are illustrative.</w:t>
      </w:r>
    </w:p>
    <w:sectPr w:rsidR="00606A8D">
      <w:pgSz w:w="12240" w:h="15840"/>
      <w:pgMar w:top="1080" w:right="1180" w:bottom="1080" w:left="11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1161C"/>
    <w:multiLevelType w:val="hybridMultilevel"/>
    <w:tmpl w:val="535A35D8"/>
    <w:lvl w:ilvl="0" w:tplc="027ED5BE">
      <w:start w:val="1"/>
      <w:numFmt w:val="bullet"/>
      <w:lvlText w:val="●"/>
      <w:lvlJc w:val="left"/>
      <w:pPr>
        <w:ind w:left="720" w:hanging="360"/>
      </w:pPr>
    </w:lvl>
    <w:lvl w:ilvl="1" w:tplc="741002D0">
      <w:start w:val="1"/>
      <w:numFmt w:val="bullet"/>
      <w:lvlText w:val="○"/>
      <w:lvlJc w:val="left"/>
      <w:pPr>
        <w:ind w:left="1440" w:hanging="360"/>
      </w:pPr>
    </w:lvl>
    <w:lvl w:ilvl="2" w:tplc="2CA2B508">
      <w:start w:val="1"/>
      <w:numFmt w:val="bullet"/>
      <w:lvlText w:val="■"/>
      <w:lvlJc w:val="left"/>
      <w:pPr>
        <w:ind w:left="2160" w:hanging="360"/>
      </w:pPr>
    </w:lvl>
    <w:lvl w:ilvl="3" w:tplc="8BC8D846">
      <w:start w:val="1"/>
      <w:numFmt w:val="bullet"/>
      <w:lvlText w:val="●"/>
      <w:lvlJc w:val="left"/>
      <w:pPr>
        <w:ind w:left="2880" w:hanging="360"/>
      </w:pPr>
    </w:lvl>
    <w:lvl w:ilvl="4" w:tplc="B2BA1286">
      <w:start w:val="1"/>
      <w:numFmt w:val="bullet"/>
      <w:lvlText w:val="○"/>
      <w:lvlJc w:val="left"/>
      <w:pPr>
        <w:ind w:left="3600" w:hanging="360"/>
      </w:pPr>
    </w:lvl>
    <w:lvl w:ilvl="5" w:tplc="19DA39B4">
      <w:start w:val="1"/>
      <w:numFmt w:val="bullet"/>
      <w:lvlText w:val="■"/>
      <w:lvlJc w:val="left"/>
      <w:pPr>
        <w:ind w:left="4320" w:hanging="360"/>
      </w:pPr>
    </w:lvl>
    <w:lvl w:ilvl="6" w:tplc="40509298">
      <w:start w:val="1"/>
      <w:numFmt w:val="bullet"/>
      <w:lvlText w:val="●"/>
      <w:lvlJc w:val="left"/>
      <w:pPr>
        <w:ind w:left="5040" w:hanging="360"/>
      </w:pPr>
    </w:lvl>
    <w:lvl w:ilvl="7" w:tplc="39CA4760">
      <w:start w:val="1"/>
      <w:numFmt w:val="bullet"/>
      <w:lvlText w:val="●"/>
      <w:lvlJc w:val="left"/>
      <w:pPr>
        <w:ind w:left="5760" w:hanging="360"/>
      </w:pPr>
    </w:lvl>
    <w:lvl w:ilvl="8" w:tplc="7A769250">
      <w:start w:val="1"/>
      <w:numFmt w:val="bullet"/>
      <w:lvlText w:val="●"/>
      <w:lvlJc w:val="left"/>
      <w:pPr>
        <w:ind w:left="6480" w:hanging="360"/>
      </w:pPr>
    </w:lvl>
  </w:abstractNum>
  <w:abstractNum w:abstractNumId="1" w15:restartNumberingAfterBreak="0">
    <w:nsid w:val="5F4220D8"/>
    <w:multiLevelType w:val="hybridMultilevel"/>
    <w:tmpl w:val="4A5AF1B8"/>
    <w:lvl w:ilvl="0" w:tplc="B7F0286A">
      <w:start w:val="1"/>
      <w:numFmt w:val="bullet"/>
      <w:lvlText w:val="•"/>
      <w:lvlJc w:val="left"/>
      <w:pPr>
        <w:ind w:left="460" w:hanging="260"/>
      </w:pPr>
      <w:rPr>
        <w:color w:val="00395D"/>
      </w:rPr>
    </w:lvl>
    <w:lvl w:ilvl="1" w:tplc="C2D88322">
      <w:numFmt w:val="decimal"/>
      <w:lvlText w:val=""/>
      <w:lvlJc w:val="left"/>
    </w:lvl>
    <w:lvl w:ilvl="2" w:tplc="49804A6C">
      <w:numFmt w:val="decimal"/>
      <w:lvlText w:val=""/>
      <w:lvlJc w:val="left"/>
    </w:lvl>
    <w:lvl w:ilvl="3" w:tplc="7E18C476">
      <w:numFmt w:val="decimal"/>
      <w:lvlText w:val=""/>
      <w:lvlJc w:val="left"/>
    </w:lvl>
    <w:lvl w:ilvl="4" w:tplc="7256BB92">
      <w:numFmt w:val="decimal"/>
      <w:lvlText w:val=""/>
      <w:lvlJc w:val="left"/>
    </w:lvl>
    <w:lvl w:ilvl="5" w:tplc="7E029006">
      <w:numFmt w:val="decimal"/>
      <w:lvlText w:val=""/>
      <w:lvlJc w:val="left"/>
    </w:lvl>
    <w:lvl w:ilvl="6" w:tplc="A13871B6">
      <w:numFmt w:val="decimal"/>
      <w:lvlText w:val=""/>
      <w:lvlJc w:val="left"/>
    </w:lvl>
    <w:lvl w:ilvl="7" w:tplc="B83E9E0E">
      <w:numFmt w:val="decimal"/>
      <w:lvlText w:val=""/>
      <w:lvlJc w:val="left"/>
    </w:lvl>
    <w:lvl w:ilvl="8" w:tplc="215E704A">
      <w:numFmt w:val="decimal"/>
      <w:lvlText w:val=""/>
      <w:lvlJc w:val="left"/>
    </w:lvl>
  </w:abstractNum>
  <w:num w:numId="1" w16cid:durableId="1688941733">
    <w:abstractNumId w:val="0"/>
    <w:lvlOverride w:ilvl="0">
      <w:startOverride w:val="1"/>
    </w:lvlOverride>
  </w:num>
  <w:num w:numId="2" w16cid:durableId="1853648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A8D"/>
    <w:rsid w:val="001804FC"/>
    <w:rsid w:val="00606A8D"/>
    <w:rsid w:val="007B6576"/>
    <w:rsid w:val="00933433"/>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B838A6"/>
  <w15:docId w15:val="{EFCEC336-5027-470B-9497-03A111496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430"/>
        <w:sz w:val="21"/>
        <w:szCs w:val="21"/>
        <w:lang w:val="en-SE" w:eastAsia="en-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00395D"/>
      <w:sz w:val="30"/>
      <w:szCs w:val="30"/>
    </w:rPr>
  </w:style>
  <w:style w:type="paragraph" w:styleId="Heading2">
    <w:name w:val="heading 2"/>
    <w:uiPriority w:val="9"/>
    <w:unhideWhenUsed/>
    <w:qFormat/>
    <w:pPr>
      <w:spacing w:before="240" w:after="100"/>
      <w:outlineLvl w:val="1"/>
    </w:pPr>
    <w:rPr>
      <w:b/>
      <w:bCs/>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33433"/>
    <w:pPr>
      <w:spacing w:after="100"/>
    </w:pPr>
  </w:style>
  <w:style w:type="paragraph" w:styleId="TOC2">
    <w:name w:val="toc 2"/>
    <w:basedOn w:val="Normal"/>
    <w:next w:val="Normal"/>
    <w:autoRedefine/>
    <w:uiPriority w:val="39"/>
    <w:unhideWhenUsed/>
    <w:rsid w:val="00933433"/>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2179</Words>
  <Characters>11026</Characters>
  <Application>Microsoft Office Word</Application>
  <DocSecurity>0</DocSecurity>
  <Lines>240</Lines>
  <Paragraphs>161</Paragraphs>
  <ScaleCrop>false</ScaleCrop>
  <Company/>
  <LinksUpToDate>false</LinksUpToDate>
  <CharactersWithSpaces>13117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Opening Balances &amp; Year-End Close</dc:title>
  <dc:creator>One Credit Engine</dc:creator>
  <cp:lastModifiedBy>Rikard Krameus</cp:lastModifiedBy>
  <cp:revision>3</cp:revision>
  <dcterms:created xsi:type="dcterms:W3CDTF">2026-09-10T05:12:00Z</dcterms:created>
  <dcterms:modified xsi:type="dcterms:W3CDTF">2026-09-10T05:14:00Z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b623b29-abd1-4de3-a20c-27566d79b7c7_Enabled">
    <vt:lpwstr>true</vt:lpwstr>
  </property>
  <property fmtid="{D5CDD505-2E9C-101B-9397-08002B2CF9AE}" pid="3" name="MSIP_Label_3b623b29-abd1-4de3-a20c-27566d79b7c7_SetDate">
    <vt:lpwstr>2026-09-10T05:14:52Z</vt:lpwstr>
  </property>
  <property fmtid="{D5CDD505-2E9C-101B-9397-08002B2CF9AE}" pid="4" name="MSIP_Label_3b623b29-abd1-4de3-a20c-27566d79b7c7_Method">
    <vt:lpwstr>Standard</vt:lpwstr>
  </property>
  <property fmtid="{D5CDD505-2E9C-101B-9397-08002B2CF9AE}" pid="5" name="MSIP_Label_3b623b29-abd1-4de3-a20c-27566d79b7c7_Name">
    <vt:lpwstr>3b623b29-abd1-4de3-a20c-27566d79b7c7</vt:lpwstr>
  </property>
  <property fmtid="{D5CDD505-2E9C-101B-9397-08002B2CF9AE}" pid="6" name="MSIP_Label_3b623b29-abd1-4de3-a20c-27566d79b7c7_SiteId">
    <vt:lpwstr>cbede638-a3d9-459f-8f4e-24ced73b4e5e</vt:lpwstr>
  </property>
  <property fmtid="{D5CDD505-2E9C-101B-9397-08002B2CF9AE}" pid="7" name="MSIP_Label_3b623b29-abd1-4de3-a20c-27566d79b7c7_ActionId">
    <vt:lpwstr>9bbaf702-d056-43dd-9cc2-b626feb5d197</vt:lpwstr>
  </property>
  <property fmtid="{D5CDD505-2E9C-101B-9397-08002B2CF9AE}" pid="8" name="MSIP_Label_3b623b29-abd1-4de3-a20c-27566d79b7c7_ContentBits">
    <vt:lpwstr>0</vt:lpwstr>
  </property>
  <property fmtid="{D5CDD505-2E9C-101B-9397-08002B2CF9AE}" pid="9" name="MSIP_Label_3b623b29-abd1-4de3-a20c-27566d79b7c7_Tag">
    <vt:lpwstr>10, 3, 0, 1</vt:lpwstr>
  </property>
</Properties>
</file>