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84EA" w14:textId="77777777" w:rsidR="001275ED" w:rsidRDefault="001870F8">
      <w:pPr>
        <w:spacing w:after="60"/>
      </w:pPr>
      <w:r>
        <w:rPr>
          <w:b/>
          <w:bCs/>
          <w:color w:val="00395D"/>
          <w:sz w:val="30"/>
          <w:szCs w:val="30"/>
        </w:rPr>
        <w:t>tieto</w:t>
      </w:r>
      <w:r>
        <w:rPr>
          <w:color w:val="5A6472"/>
          <w:sz w:val="22"/>
          <w:szCs w:val="22"/>
        </w:rPr>
        <w:t xml:space="preserve">   |   One Credit Engine — Accounting Domain</w:t>
      </w:r>
    </w:p>
    <w:p w14:paraId="10FF84EB" w14:textId="77777777" w:rsidR="001275ED" w:rsidRDefault="001870F8">
      <w:pPr>
        <w:spacing w:after="30"/>
      </w:pPr>
      <w:r>
        <w:rPr>
          <w:b/>
          <w:bCs/>
          <w:sz w:val="40"/>
          <w:szCs w:val="40"/>
        </w:rPr>
        <w:t>Prototype → Production</w:t>
      </w:r>
    </w:p>
    <w:p w14:paraId="10FF84EC" w14:textId="77777777" w:rsidR="001275ED" w:rsidRDefault="001870F8">
      <w:pPr>
        <w:spacing w:after="200"/>
      </w:pPr>
      <w:r>
        <w:rPr>
          <w:color w:val="5A6472"/>
          <w:sz w:val="24"/>
          <w:szCs w:val="24"/>
        </w:rPr>
        <w:t>Developer roadmap — Git, SQL database, and the event-driven platform</w:t>
      </w:r>
    </w:p>
    <w:p w14:paraId="10FF84ED" w14:textId="77777777" w:rsidR="001275ED" w:rsidRDefault="001275ED">
      <w:pPr>
        <w:pBdr>
          <w:bottom w:val="single" w:sz="8" w:space="0" w:color="00395D"/>
        </w:pBdr>
        <w:spacing w:after="200"/>
      </w:pPr>
    </w:p>
    <w:p w14:paraId="10FF84EE" w14:textId="77777777" w:rsidR="001275ED" w:rsidRDefault="001870F8">
      <w:pPr>
        <w:spacing w:after="100"/>
      </w:pPr>
      <w:r>
        <w:rPr>
          <w:b/>
          <w:bCs/>
          <w:sz w:val="24"/>
          <w:szCs w:val="24"/>
        </w:rPr>
        <w:t>Contents</w:t>
      </w:r>
    </w:p>
    <w:sdt>
      <w:sdtPr>
        <w:alias w:val="Contents"/>
        <w:id w:val="-1482070084"/>
      </w:sdtPr>
      <w:sdtEndPr/>
      <w:sdtContent>
        <w:p w14:paraId="7B60C649" w14:textId="07605E2D" w:rsidR="000A4F42" w:rsidRDefault="001870F8">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863454" w:history="1">
            <w:r w:rsidR="000A4F42" w:rsidRPr="0071078E">
              <w:rPr>
                <w:rStyle w:val="Hyperlink"/>
                <w:noProof/>
              </w:rPr>
              <w:t>1. Purpose</w:t>
            </w:r>
            <w:r w:rsidR="000A4F42">
              <w:rPr>
                <w:noProof/>
              </w:rPr>
              <w:tab/>
            </w:r>
            <w:r w:rsidR="000A4F42">
              <w:rPr>
                <w:noProof/>
              </w:rPr>
              <w:fldChar w:fldCharType="begin"/>
            </w:r>
            <w:r w:rsidR="000A4F42">
              <w:rPr>
                <w:noProof/>
              </w:rPr>
              <w:instrText xml:space="preserve"> PAGEREF _Toc240863454 \h </w:instrText>
            </w:r>
            <w:r w:rsidR="000A4F42">
              <w:rPr>
                <w:noProof/>
              </w:rPr>
            </w:r>
            <w:r w:rsidR="000A4F42">
              <w:rPr>
                <w:noProof/>
              </w:rPr>
              <w:fldChar w:fldCharType="separate"/>
            </w:r>
            <w:r w:rsidR="000A4F42">
              <w:rPr>
                <w:noProof/>
              </w:rPr>
              <w:t>2</w:t>
            </w:r>
            <w:r w:rsidR="000A4F42">
              <w:rPr>
                <w:noProof/>
              </w:rPr>
              <w:fldChar w:fldCharType="end"/>
            </w:r>
          </w:hyperlink>
        </w:p>
        <w:p w14:paraId="4AA3E311" w14:textId="64C1FA74"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55" w:history="1">
            <w:r w:rsidRPr="0071078E">
              <w:rPr>
                <w:rStyle w:val="Hyperlink"/>
                <w:noProof/>
              </w:rPr>
              <w:t>2. Get it into Git</w:t>
            </w:r>
            <w:r>
              <w:rPr>
                <w:noProof/>
              </w:rPr>
              <w:tab/>
            </w:r>
            <w:r>
              <w:rPr>
                <w:noProof/>
              </w:rPr>
              <w:fldChar w:fldCharType="begin"/>
            </w:r>
            <w:r>
              <w:rPr>
                <w:noProof/>
              </w:rPr>
              <w:instrText xml:space="preserve"> PAGEREF _Toc240863455 \h </w:instrText>
            </w:r>
            <w:r>
              <w:rPr>
                <w:noProof/>
              </w:rPr>
            </w:r>
            <w:r>
              <w:rPr>
                <w:noProof/>
              </w:rPr>
              <w:fldChar w:fldCharType="separate"/>
            </w:r>
            <w:r>
              <w:rPr>
                <w:noProof/>
              </w:rPr>
              <w:t>2</w:t>
            </w:r>
            <w:r>
              <w:rPr>
                <w:noProof/>
              </w:rPr>
              <w:fldChar w:fldCharType="end"/>
            </w:r>
          </w:hyperlink>
        </w:p>
        <w:p w14:paraId="0C4AE975" w14:textId="4D0262FF" w:rsidR="000A4F42" w:rsidRDefault="000A4F42">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56" w:history="1">
            <w:r w:rsidRPr="0071078E">
              <w:rPr>
                <w:rStyle w:val="Hyperlink"/>
                <w:noProof/>
              </w:rPr>
              <w:t>2.1 Commit the current work</w:t>
            </w:r>
            <w:r>
              <w:rPr>
                <w:noProof/>
              </w:rPr>
              <w:tab/>
            </w:r>
            <w:r>
              <w:rPr>
                <w:noProof/>
              </w:rPr>
              <w:fldChar w:fldCharType="begin"/>
            </w:r>
            <w:r>
              <w:rPr>
                <w:noProof/>
              </w:rPr>
              <w:instrText xml:space="preserve"> PAGEREF _Toc240863456 \h </w:instrText>
            </w:r>
            <w:r>
              <w:rPr>
                <w:noProof/>
              </w:rPr>
            </w:r>
            <w:r>
              <w:rPr>
                <w:noProof/>
              </w:rPr>
              <w:fldChar w:fldCharType="separate"/>
            </w:r>
            <w:r>
              <w:rPr>
                <w:noProof/>
              </w:rPr>
              <w:t>2</w:t>
            </w:r>
            <w:r>
              <w:rPr>
                <w:noProof/>
              </w:rPr>
              <w:fldChar w:fldCharType="end"/>
            </w:r>
          </w:hyperlink>
        </w:p>
        <w:p w14:paraId="30EADEA8" w14:textId="6A69EEC1" w:rsidR="000A4F42" w:rsidRDefault="000A4F42">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57" w:history="1">
            <w:r w:rsidRPr="0071078E">
              <w:rPr>
                <w:rStyle w:val="Hyperlink"/>
                <w:noProof/>
              </w:rPr>
              <w:t>2.2 Create an empty repo on the Git host, then connect and push</w:t>
            </w:r>
            <w:r>
              <w:rPr>
                <w:noProof/>
              </w:rPr>
              <w:tab/>
            </w:r>
            <w:r>
              <w:rPr>
                <w:noProof/>
              </w:rPr>
              <w:fldChar w:fldCharType="begin"/>
            </w:r>
            <w:r>
              <w:rPr>
                <w:noProof/>
              </w:rPr>
              <w:instrText xml:space="preserve"> PAGEREF _Toc240863457 \h </w:instrText>
            </w:r>
            <w:r>
              <w:rPr>
                <w:noProof/>
              </w:rPr>
            </w:r>
            <w:r>
              <w:rPr>
                <w:noProof/>
              </w:rPr>
              <w:fldChar w:fldCharType="separate"/>
            </w:r>
            <w:r>
              <w:rPr>
                <w:noProof/>
              </w:rPr>
              <w:t>2</w:t>
            </w:r>
            <w:r>
              <w:rPr>
                <w:noProof/>
              </w:rPr>
              <w:fldChar w:fldCharType="end"/>
            </w:r>
          </w:hyperlink>
        </w:p>
        <w:p w14:paraId="3D6CB2DD" w14:textId="0204BFBA"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58" w:history="1">
            <w:r w:rsidRPr="0071078E">
              <w:rPr>
                <w:rStyle w:val="Hyperlink"/>
                <w:noProof/>
              </w:rPr>
              <w:t>3. Orientation — what to keep, what to rebuild</w:t>
            </w:r>
            <w:r>
              <w:rPr>
                <w:noProof/>
              </w:rPr>
              <w:tab/>
            </w:r>
            <w:r>
              <w:rPr>
                <w:noProof/>
              </w:rPr>
              <w:fldChar w:fldCharType="begin"/>
            </w:r>
            <w:r>
              <w:rPr>
                <w:noProof/>
              </w:rPr>
              <w:instrText xml:space="preserve"> PAGEREF _Toc240863458 \h </w:instrText>
            </w:r>
            <w:r>
              <w:rPr>
                <w:noProof/>
              </w:rPr>
            </w:r>
            <w:r>
              <w:rPr>
                <w:noProof/>
              </w:rPr>
              <w:fldChar w:fldCharType="separate"/>
            </w:r>
            <w:r>
              <w:rPr>
                <w:noProof/>
              </w:rPr>
              <w:t>2</w:t>
            </w:r>
            <w:r>
              <w:rPr>
                <w:noProof/>
              </w:rPr>
              <w:fldChar w:fldCharType="end"/>
            </w:r>
          </w:hyperlink>
        </w:p>
        <w:p w14:paraId="0E16AE57" w14:textId="188E62B0"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59" w:history="1">
            <w:r w:rsidRPr="0071078E">
              <w:rPr>
                <w:rStyle w:val="Hyperlink"/>
                <w:noProof/>
              </w:rPr>
              <w:t>4. Phase A — Database (SQL)</w:t>
            </w:r>
            <w:r>
              <w:rPr>
                <w:noProof/>
              </w:rPr>
              <w:tab/>
            </w:r>
            <w:r>
              <w:rPr>
                <w:noProof/>
              </w:rPr>
              <w:fldChar w:fldCharType="begin"/>
            </w:r>
            <w:r>
              <w:rPr>
                <w:noProof/>
              </w:rPr>
              <w:instrText xml:space="preserve"> PAGEREF _Toc240863459 \h </w:instrText>
            </w:r>
            <w:r>
              <w:rPr>
                <w:noProof/>
              </w:rPr>
            </w:r>
            <w:r>
              <w:rPr>
                <w:noProof/>
              </w:rPr>
              <w:fldChar w:fldCharType="separate"/>
            </w:r>
            <w:r>
              <w:rPr>
                <w:noProof/>
              </w:rPr>
              <w:t>2</w:t>
            </w:r>
            <w:r>
              <w:rPr>
                <w:noProof/>
              </w:rPr>
              <w:fldChar w:fldCharType="end"/>
            </w:r>
          </w:hyperlink>
        </w:p>
        <w:p w14:paraId="172B0238" w14:textId="4C55EDE6"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60" w:history="1">
            <w:r w:rsidRPr="0071078E">
              <w:rPr>
                <w:rStyle w:val="Hyperlink"/>
                <w:noProof/>
              </w:rPr>
              <w:t>5. Phase B — Port the engine (the crown jewel)</w:t>
            </w:r>
            <w:r>
              <w:rPr>
                <w:noProof/>
              </w:rPr>
              <w:tab/>
            </w:r>
            <w:r>
              <w:rPr>
                <w:noProof/>
              </w:rPr>
              <w:fldChar w:fldCharType="begin"/>
            </w:r>
            <w:r>
              <w:rPr>
                <w:noProof/>
              </w:rPr>
              <w:instrText xml:space="preserve"> PAGEREF _Toc240863460 \h </w:instrText>
            </w:r>
            <w:r>
              <w:rPr>
                <w:noProof/>
              </w:rPr>
            </w:r>
            <w:r>
              <w:rPr>
                <w:noProof/>
              </w:rPr>
              <w:fldChar w:fldCharType="separate"/>
            </w:r>
            <w:r>
              <w:rPr>
                <w:noProof/>
              </w:rPr>
              <w:t>3</w:t>
            </w:r>
            <w:r>
              <w:rPr>
                <w:noProof/>
              </w:rPr>
              <w:fldChar w:fldCharType="end"/>
            </w:r>
          </w:hyperlink>
        </w:p>
        <w:p w14:paraId="6800E42D" w14:textId="34E63946"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61" w:history="1">
            <w:r w:rsidRPr="0071078E">
              <w:rPr>
                <w:rStyle w:val="Hyperlink"/>
                <w:noProof/>
              </w:rPr>
              <w:t>6. Phase C — The event-driven platform</w:t>
            </w:r>
            <w:r>
              <w:rPr>
                <w:noProof/>
              </w:rPr>
              <w:tab/>
            </w:r>
            <w:r>
              <w:rPr>
                <w:noProof/>
              </w:rPr>
              <w:fldChar w:fldCharType="begin"/>
            </w:r>
            <w:r>
              <w:rPr>
                <w:noProof/>
              </w:rPr>
              <w:instrText xml:space="preserve"> PAGEREF _Toc240863461 \h </w:instrText>
            </w:r>
            <w:r>
              <w:rPr>
                <w:noProof/>
              </w:rPr>
            </w:r>
            <w:r>
              <w:rPr>
                <w:noProof/>
              </w:rPr>
              <w:fldChar w:fldCharType="separate"/>
            </w:r>
            <w:r>
              <w:rPr>
                <w:noProof/>
              </w:rPr>
              <w:t>3</w:t>
            </w:r>
            <w:r>
              <w:rPr>
                <w:noProof/>
              </w:rPr>
              <w:fldChar w:fldCharType="end"/>
            </w:r>
          </w:hyperlink>
        </w:p>
        <w:p w14:paraId="053E7748" w14:textId="72563919"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62" w:history="1">
            <w:r w:rsidRPr="0071078E">
              <w:rPr>
                <w:rStyle w:val="Hyperlink"/>
                <w:noProof/>
              </w:rPr>
              <w:t>7. Phase D — Configuration &amp; reference data</w:t>
            </w:r>
            <w:r>
              <w:rPr>
                <w:noProof/>
              </w:rPr>
              <w:tab/>
            </w:r>
            <w:r>
              <w:rPr>
                <w:noProof/>
              </w:rPr>
              <w:fldChar w:fldCharType="begin"/>
            </w:r>
            <w:r>
              <w:rPr>
                <w:noProof/>
              </w:rPr>
              <w:instrText xml:space="preserve"> PAGEREF _Toc240863462 \h </w:instrText>
            </w:r>
            <w:r>
              <w:rPr>
                <w:noProof/>
              </w:rPr>
            </w:r>
            <w:r>
              <w:rPr>
                <w:noProof/>
              </w:rPr>
              <w:fldChar w:fldCharType="separate"/>
            </w:r>
            <w:r>
              <w:rPr>
                <w:noProof/>
              </w:rPr>
              <w:t>3</w:t>
            </w:r>
            <w:r>
              <w:rPr>
                <w:noProof/>
              </w:rPr>
              <w:fldChar w:fldCharType="end"/>
            </w:r>
          </w:hyperlink>
        </w:p>
        <w:p w14:paraId="4872ABF8" w14:textId="5D669345"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63" w:history="1">
            <w:r w:rsidRPr="0071078E">
              <w:rPr>
                <w:rStyle w:val="Hyperlink"/>
                <w:noProof/>
              </w:rPr>
              <w:t>8. Phase E — Cross-cutting concerns</w:t>
            </w:r>
            <w:r>
              <w:rPr>
                <w:noProof/>
              </w:rPr>
              <w:tab/>
            </w:r>
            <w:r>
              <w:rPr>
                <w:noProof/>
              </w:rPr>
              <w:fldChar w:fldCharType="begin"/>
            </w:r>
            <w:r>
              <w:rPr>
                <w:noProof/>
              </w:rPr>
              <w:instrText xml:space="preserve"> PAGEREF _Toc240863463 \h </w:instrText>
            </w:r>
            <w:r>
              <w:rPr>
                <w:noProof/>
              </w:rPr>
            </w:r>
            <w:r>
              <w:rPr>
                <w:noProof/>
              </w:rPr>
              <w:fldChar w:fldCharType="separate"/>
            </w:r>
            <w:r>
              <w:rPr>
                <w:noProof/>
              </w:rPr>
              <w:t>3</w:t>
            </w:r>
            <w:r>
              <w:rPr>
                <w:noProof/>
              </w:rPr>
              <w:fldChar w:fldCharType="end"/>
            </w:r>
          </w:hyperlink>
        </w:p>
        <w:p w14:paraId="723C2660" w14:textId="23FCCC3A"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64" w:history="1">
            <w:r w:rsidRPr="0071078E">
              <w:rPr>
                <w:rStyle w:val="Hyperlink"/>
                <w:noProof/>
              </w:rPr>
              <w:t>9. Suggested order &amp; acceptance</w:t>
            </w:r>
            <w:r>
              <w:rPr>
                <w:noProof/>
              </w:rPr>
              <w:tab/>
            </w:r>
            <w:r>
              <w:rPr>
                <w:noProof/>
              </w:rPr>
              <w:fldChar w:fldCharType="begin"/>
            </w:r>
            <w:r>
              <w:rPr>
                <w:noProof/>
              </w:rPr>
              <w:instrText xml:space="preserve"> PAGEREF _Toc240863464 \h </w:instrText>
            </w:r>
            <w:r>
              <w:rPr>
                <w:noProof/>
              </w:rPr>
            </w:r>
            <w:r>
              <w:rPr>
                <w:noProof/>
              </w:rPr>
              <w:fldChar w:fldCharType="separate"/>
            </w:r>
            <w:r>
              <w:rPr>
                <w:noProof/>
              </w:rPr>
              <w:t>4</w:t>
            </w:r>
            <w:r>
              <w:rPr>
                <w:noProof/>
              </w:rPr>
              <w:fldChar w:fldCharType="end"/>
            </w:r>
          </w:hyperlink>
        </w:p>
        <w:p w14:paraId="0899368D" w14:textId="399A6CB8" w:rsidR="000A4F42" w:rsidRDefault="000A4F42">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40863465" w:history="1">
            <w:r w:rsidRPr="0071078E">
              <w:rPr>
                <w:rStyle w:val="Hyperlink"/>
                <w:noProof/>
              </w:rPr>
              <w:t>10. Notes</w:t>
            </w:r>
            <w:r>
              <w:rPr>
                <w:noProof/>
              </w:rPr>
              <w:tab/>
            </w:r>
            <w:r>
              <w:rPr>
                <w:noProof/>
              </w:rPr>
              <w:fldChar w:fldCharType="begin"/>
            </w:r>
            <w:r>
              <w:rPr>
                <w:noProof/>
              </w:rPr>
              <w:instrText xml:space="preserve"> PAGEREF _Toc240863465 \h </w:instrText>
            </w:r>
            <w:r>
              <w:rPr>
                <w:noProof/>
              </w:rPr>
            </w:r>
            <w:r>
              <w:rPr>
                <w:noProof/>
              </w:rPr>
              <w:fldChar w:fldCharType="separate"/>
            </w:r>
            <w:r>
              <w:rPr>
                <w:noProof/>
              </w:rPr>
              <w:t>4</w:t>
            </w:r>
            <w:r>
              <w:rPr>
                <w:noProof/>
              </w:rPr>
              <w:fldChar w:fldCharType="end"/>
            </w:r>
          </w:hyperlink>
        </w:p>
        <w:p w14:paraId="10FF84F0" w14:textId="78CE747E" w:rsidR="001275ED" w:rsidRDefault="001870F8">
          <w:r>
            <w:fldChar w:fldCharType="end"/>
          </w:r>
        </w:p>
      </w:sdtContent>
    </w:sdt>
    <w:p w14:paraId="10FF84F1" w14:textId="77777777" w:rsidR="001275ED" w:rsidRDefault="001870F8">
      <w:r>
        <w:br w:type="page"/>
      </w:r>
    </w:p>
    <w:p w14:paraId="10FF84F2" w14:textId="77777777" w:rsidR="001275ED" w:rsidRDefault="001870F8">
      <w:pPr>
        <w:pStyle w:val="Heading1"/>
        <w:spacing w:before="300" w:after="120"/>
      </w:pPr>
      <w:bookmarkStart w:id="0" w:name="_Toc240863454"/>
      <w:r>
        <w:lastRenderedPageBreak/>
        <w:t>1. Purpose</w:t>
      </w:r>
      <w:bookmarkEnd w:id="0"/>
    </w:p>
    <w:p w14:paraId="10FF84F3" w14:textId="77777777" w:rsidR="001275ED" w:rsidRDefault="001870F8">
      <w:pPr>
        <w:spacing w:after="110" w:line="276" w:lineRule="auto"/>
      </w:pPr>
      <w:r>
        <w:t>This document is the hand-off plan for taking the Accounting Domain from its working prototype to a production service: getting the code into Git, backing it with a SQL database, and running it on the organisation’s new event-driven (EDA) platform. It is written for the development team that will build the service.</w:t>
      </w:r>
    </w:p>
    <w:tbl>
      <w:tblPr>
        <w:tblW w:w="9360" w:type="dxa"/>
        <w:tblBorders>
          <w:top w:val="single" w:sz="4" w:space="0" w:color="00395D"/>
          <w:left w:val="single" w:sz="12" w:space="0" w:color="00395D"/>
          <w:bottom w:val="single" w:sz="4" w:space="0" w:color="C9D6E2"/>
          <w:right w:val="single" w:sz="4" w:space="0" w:color="C9D6E2"/>
        </w:tblBorders>
        <w:tblCellMar>
          <w:left w:w="10" w:type="dxa"/>
          <w:right w:w="10" w:type="dxa"/>
        </w:tblCellMar>
        <w:tblLook w:val="04A0" w:firstRow="1" w:lastRow="0" w:firstColumn="1" w:lastColumn="0" w:noHBand="0" w:noVBand="1"/>
      </w:tblPr>
      <w:tblGrid>
        <w:gridCol w:w="9360"/>
      </w:tblGrid>
      <w:tr w:rsidR="001275ED" w14:paraId="10FF84F6" w14:textId="77777777">
        <w:tblPrEx>
          <w:tblCellMar>
            <w:top w:w="0" w:type="dxa"/>
            <w:bottom w:w="0" w:type="dxa"/>
          </w:tblCellMar>
        </w:tblPrEx>
        <w:tc>
          <w:tcPr>
            <w:tcW w:w="9360" w:type="dxa"/>
            <w:shd w:val="clear" w:color="auto" w:fill="F1F6FA"/>
            <w:tcMar>
              <w:top w:w="120" w:type="dxa"/>
              <w:left w:w="160" w:type="dxa"/>
              <w:bottom w:w="120" w:type="dxa"/>
              <w:right w:w="160" w:type="dxa"/>
            </w:tcMar>
          </w:tcPr>
          <w:p w14:paraId="10FF84F4" w14:textId="77777777" w:rsidR="001275ED" w:rsidRDefault="001870F8">
            <w:pPr>
              <w:spacing w:after="40"/>
            </w:pPr>
            <w:r>
              <w:rPr>
                <w:b/>
                <w:bCs/>
                <w:color w:val="00395D"/>
                <w:sz w:val="20"/>
                <w:szCs w:val="20"/>
              </w:rPr>
              <w:t>The one rule that shapes everything</w:t>
            </w:r>
          </w:p>
          <w:p w14:paraId="10FF84F5" w14:textId="77777777" w:rsidR="001275ED" w:rsidRDefault="001870F8">
            <w:pPr>
              <w:spacing w:line="264" w:lineRule="auto"/>
            </w:pPr>
            <w:r>
              <w:t xml:space="preserve">The React app in </w:t>
            </w:r>
            <w:r>
              <w:rPr>
                <w:rFonts w:ascii="Consolas" w:eastAsia="Consolas" w:hAnsi="Consolas" w:cs="Consolas"/>
                <w:color w:val="0E6BA8"/>
                <w:sz w:val="19"/>
                <w:szCs w:val="19"/>
              </w:rPr>
              <w:t>App/</w:t>
            </w:r>
            <w:r>
              <w:t xml:space="preserve"> is the </w:t>
            </w:r>
            <w:r>
              <w:rPr>
                <w:b/>
                <w:bCs/>
              </w:rPr>
              <w:t>executable specification of behaviour</w:t>
            </w:r>
            <w:r>
              <w:t xml:space="preserve">, not production code to port. “Whatever </w:t>
            </w:r>
            <w:r>
              <w:rPr>
                <w:rFonts w:ascii="Consolas" w:eastAsia="Consolas" w:hAnsi="Consolas" w:cs="Consolas"/>
                <w:color w:val="0E6BA8"/>
                <w:sz w:val="19"/>
                <w:szCs w:val="19"/>
              </w:rPr>
              <w:t>App/</w:t>
            </w:r>
            <w:r>
              <w:t xml:space="preserve"> does” is the answer to how a rule should work. The team </w:t>
            </w:r>
            <w:r>
              <w:rPr>
                <w:b/>
                <w:bCs/>
              </w:rPr>
              <w:t>rebuilds the rules in the .NET service</w:t>
            </w:r>
            <w:r>
              <w:t xml:space="preserve"> (</w:t>
            </w:r>
            <w:r>
              <w:rPr>
                <w:rFonts w:ascii="Consolas" w:eastAsia="Consolas" w:hAnsi="Consolas" w:cs="Consolas"/>
                <w:color w:val="0E6BA8"/>
                <w:sz w:val="19"/>
                <w:szCs w:val="19"/>
              </w:rPr>
              <w:t>Service/</w:t>
            </w:r>
            <w:r>
              <w:t>) and uses the prototype as the reference and the test oracle.</w:t>
            </w:r>
          </w:p>
        </w:tc>
      </w:tr>
    </w:tbl>
    <w:p w14:paraId="10FF84F7" w14:textId="77777777" w:rsidR="001275ED" w:rsidRDefault="001870F8">
      <w:pPr>
        <w:pStyle w:val="Heading1"/>
        <w:spacing w:before="300" w:after="120"/>
      </w:pPr>
      <w:bookmarkStart w:id="1" w:name="_Toc240863455"/>
      <w:r>
        <w:t>2. Get it into Git</w:t>
      </w:r>
      <w:bookmarkEnd w:id="1"/>
    </w:p>
    <w:p w14:paraId="10FF84F8" w14:textId="77777777" w:rsidR="001275ED" w:rsidRDefault="001870F8">
      <w:pPr>
        <w:spacing w:after="110" w:line="276" w:lineRule="auto"/>
      </w:pPr>
      <w:r>
        <w:t xml:space="preserve">The repository already exists locally (it has commits and a </w:t>
      </w:r>
      <w:r>
        <w:rPr>
          <w:rFonts w:ascii="Consolas" w:eastAsia="Consolas" w:hAnsi="Consolas" w:cs="Consolas"/>
          <w:color w:val="0E6BA8"/>
          <w:sz w:val="19"/>
          <w:szCs w:val="19"/>
        </w:rPr>
        <w:t>.gitignore</w:t>
      </w:r>
      <w:r>
        <w:t xml:space="preserve">), but there is </w:t>
      </w:r>
      <w:r>
        <w:rPr>
          <w:b/>
          <w:bCs/>
        </w:rPr>
        <w:t>no remote yet</w:t>
      </w:r>
      <w:r>
        <w:t xml:space="preserve">, and the most recent work — opening balances, year-end close, Ask Accountant, the engine changes and the docs — is </w:t>
      </w:r>
      <w:r>
        <w:rPr>
          <w:b/>
          <w:bCs/>
        </w:rPr>
        <w:t>uncommitted</w:t>
      </w:r>
      <w:r>
        <w:t>. First capture the current state, then connect a remote and push.</w:t>
      </w:r>
    </w:p>
    <w:p w14:paraId="10FF84F9" w14:textId="77777777" w:rsidR="001275ED" w:rsidRDefault="001870F8">
      <w:pPr>
        <w:pStyle w:val="Heading2"/>
        <w:spacing w:before="200" w:after="80"/>
      </w:pPr>
      <w:bookmarkStart w:id="2" w:name="_Toc240863456"/>
      <w:r>
        <w:t>2.1 Commit the current work</w:t>
      </w:r>
      <w:bookmarkEnd w:id="2"/>
    </w:p>
    <w:p w14:paraId="10FF84FA" w14:textId="77777777" w:rsidR="001275ED" w:rsidRDefault="001870F8">
      <w:pPr>
        <w:shd w:val="clear" w:color="auto" w:fill="EEF4F9"/>
        <w:spacing w:before="60"/>
        <w:ind w:left="120" w:right="120"/>
      </w:pPr>
      <w:r>
        <w:rPr>
          <w:rFonts w:ascii="Consolas" w:eastAsia="Consolas" w:hAnsi="Consolas" w:cs="Consolas"/>
          <w:sz w:val="18"/>
          <w:szCs w:val="18"/>
        </w:rPr>
        <w:t>cd Accounting_Claude</w:t>
      </w:r>
    </w:p>
    <w:p w14:paraId="10FF84FB" w14:textId="77777777" w:rsidR="001275ED" w:rsidRDefault="001870F8">
      <w:pPr>
        <w:shd w:val="clear" w:color="auto" w:fill="EEF4F9"/>
        <w:ind w:left="120" w:right="120"/>
      </w:pPr>
      <w:r>
        <w:rPr>
          <w:rFonts w:ascii="Consolas" w:eastAsia="Consolas" w:hAnsi="Consolas" w:cs="Consolas"/>
          <w:sz w:val="18"/>
          <w:szCs w:val="18"/>
        </w:rPr>
        <w:t>git add -A</w:t>
      </w:r>
    </w:p>
    <w:p w14:paraId="10FF84FC" w14:textId="77777777" w:rsidR="001275ED" w:rsidRDefault="001870F8">
      <w:pPr>
        <w:shd w:val="clear" w:color="auto" w:fill="EEF4F9"/>
        <w:ind w:left="120" w:right="120"/>
      </w:pPr>
      <w:r>
        <w:rPr>
          <w:rFonts w:ascii="Consolas" w:eastAsia="Consolas" w:hAnsi="Consolas" w:cs="Consolas"/>
          <w:sz w:val="18"/>
          <w:szCs w:val="18"/>
        </w:rPr>
        <w:t>git commit -m "Prototype: opening balances, year-end close, Ask Accountant, docs"</w:t>
      </w:r>
    </w:p>
    <w:p w14:paraId="10FF84FD" w14:textId="77777777" w:rsidR="001275ED" w:rsidRDefault="001870F8">
      <w:pPr>
        <w:pStyle w:val="Heading2"/>
        <w:spacing w:before="200" w:after="80"/>
      </w:pPr>
      <w:bookmarkStart w:id="3" w:name="_Toc240863457"/>
      <w:r>
        <w:t>2.2 Create an empty repo on the Git host, then connect and push</w:t>
      </w:r>
      <w:bookmarkEnd w:id="3"/>
    </w:p>
    <w:p w14:paraId="10FF84FE" w14:textId="77777777" w:rsidR="001275ED" w:rsidRDefault="001870F8">
      <w:pPr>
        <w:spacing w:after="110" w:line="276" w:lineRule="auto"/>
      </w:pPr>
      <w:r>
        <w:t>Create an empty repository on your host (GitHub / GitLab / Azure DevOps), then:</w:t>
      </w:r>
    </w:p>
    <w:p w14:paraId="10FF84FF" w14:textId="77777777" w:rsidR="001275ED" w:rsidRDefault="001870F8">
      <w:pPr>
        <w:shd w:val="clear" w:color="auto" w:fill="EEF4F9"/>
        <w:spacing w:before="60"/>
        <w:ind w:left="120" w:right="120"/>
      </w:pPr>
      <w:r>
        <w:rPr>
          <w:rFonts w:ascii="Consolas" w:eastAsia="Consolas" w:hAnsi="Consolas" w:cs="Consolas"/>
          <w:sz w:val="18"/>
          <w:szCs w:val="18"/>
        </w:rPr>
        <w:t>git remote add origin &lt;YOUR-REPO-URL&gt;</w:t>
      </w:r>
    </w:p>
    <w:p w14:paraId="10FF8500" w14:textId="77777777" w:rsidR="001275ED" w:rsidRDefault="001870F8">
      <w:pPr>
        <w:shd w:val="clear" w:color="auto" w:fill="EEF4F9"/>
        <w:ind w:left="120" w:right="120"/>
      </w:pPr>
      <w:r>
        <w:rPr>
          <w:rFonts w:ascii="Consolas" w:eastAsia="Consolas" w:hAnsi="Consolas" w:cs="Consolas"/>
          <w:sz w:val="18"/>
          <w:szCs w:val="18"/>
        </w:rPr>
        <w:t>git branch -M main</w:t>
      </w:r>
    </w:p>
    <w:p w14:paraId="10FF8501" w14:textId="77777777" w:rsidR="001275ED" w:rsidRDefault="001870F8">
      <w:pPr>
        <w:shd w:val="clear" w:color="auto" w:fill="EEF4F9"/>
        <w:ind w:left="120" w:right="120"/>
      </w:pPr>
      <w:r>
        <w:rPr>
          <w:rFonts w:ascii="Consolas" w:eastAsia="Consolas" w:hAnsi="Consolas" w:cs="Consolas"/>
          <w:sz w:val="18"/>
          <w:szCs w:val="18"/>
        </w:rPr>
        <w:t>git push -u origin main</w:t>
      </w:r>
    </w:p>
    <w:p w14:paraId="10FF8502" w14:textId="77777777" w:rsidR="001275ED" w:rsidRDefault="001870F8">
      <w:pPr>
        <w:spacing w:after="110" w:line="276" w:lineRule="auto"/>
      </w:pPr>
      <w:r>
        <w:rPr>
          <w:i/>
          <w:iCs/>
          <w:color w:val="5A6472"/>
          <w:sz w:val="19"/>
          <w:szCs w:val="19"/>
        </w:rPr>
        <w:t>node_modules/, bin/ and obj/ are already ignored, so the push stays clean. Everything ships together: App/ (prototype), Service/ (.NET scaffold), message-contract/, and the docs.</w:t>
      </w:r>
    </w:p>
    <w:p w14:paraId="10FF8503" w14:textId="77777777" w:rsidR="001275ED" w:rsidRDefault="001870F8">
      <w:pPr>
        <w:pStyle w:val="Heading1"/>
        <w:spacing w:before="300" w:after="120"/>
      </w:pPr>
      <w:bookmarkStart w:id="4" w:name="_Toc240863458"/>
      <w:r>
        <w:t>3. Orientation — what to keep, what to rebuild</w:t>
      </w:r>
      <w:bookmarkEnd w:id="4"/>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1900"/>
        <w:gridCol w:w="4160"/>
        <w:gridCol w:w="3300"/>
      </w:tblGrid>
      <w:tr w:rsidR="001275ED" w14:paraId="10FF8507" w14:textId="77777777">
        <w:tblPrEx>
          <w:tblCellMar>
            <w:top w:w="0" w:type="dxa"/>
            <w:bottom w:w="0" w:type="dxa"/>
          </w:tblCellMar>
        </w:tblPrEx>
        <w:trPr>
          <w:tblHeader/>
        </w:trPr>
        <w:tc>
          <w:tcPr>
            <w:tcW w:w="1900" w:type="dxa"/>
            <w:shd w:val="clear" w:color="auto" w:fill="DCE8F2"/>
            <w:tcMar>
              <w:top w:w="40" w:type="dxa"/>
              <w:left w:w="90" w:type="dxa"/>
              <w:bottom w:w="40" w:type="dxa"/>
              <w:right w:w="90" w:type="dxa"/>
            </w:tcMar>
          </w:tcPr>
          <w:p w14:paraId="10FF8504" w14:textId="77777777" w:rsidR="001275ED" w:rsidRDefault="001870F8">
            <w:r>
              <w:rPr>
                <w:b/>
                <w:bCs/>
                <w:sz w:val="18"/>
                <w:szCs w:val="18"/>
              </w:rPr>
              <w:t>Folder</w:t>
            </w:r>
          </w:p>
        </w:tc>
        <w:tc>
          <w:tcPr>
            <w:tcW w:w="4160" w:type="dxa"/>
            <w:shd w:val="clear" w:color="auto" w:fill="DCE8F2"/>
            <w:tcMar>
              <w:top w:w="40" w:type="dxa"/>
              <w:left w:w="90" w:type="dxa"/>
              <w:bottom w:w="40" w:type="dxa"/>
              <w:right w:w="90" w:type="dxa"/>
            </w:tcMar>
          </w:tcPr>
          <w:p w14:paraId="10FF8505" w14:textId="77777777" w:rsidR="001275ED" w:rsidRDefault="001870F8">
            <w:r>
              <w:rPr>
                <w:b/>
                <w:bCs/>
                <w:sz w:val="18"/>
                <w:szCs w:val="18"/>
              </w:rPr>
              <w:t>What it is</w:t>
            </w:r>
          </w:p>
        </w:tc>
        <w:tc>
          <w:tcPr>
            <w:tcW w:w="3300" w:type="dxa"/>
            <w:shd w:val="clear" w:color="auto" w:fill="DCE8F2"/>
            <w:tcMar>
              <w:top w:w="40" w:type="dxa"/>
              <w:left w:w="90" w:type="dxa"/>
              <w:bottom w:w="40" w:type="dxa"/>
              <w:right w:w="90" w:type="dxa"/>
            </w:tcMar>
          </w:tcPr>
          <w:p w14:paraId="10FF8506" w14:textId="77777777" w:rsidR="001275ED" w:rsidRDefault="001870F8">
            <w:r>
              <w:rPr>
                <w:b/>
                <w:bCs/>
                <w:sz w:val="18"/>
                <w:szCs w:val="18"/>
              </w:rPr>
              <w:t>What the team does with it</w:t>
            </w:r>
          </w:p>
        </w:tc>
      </w:tr>
      <w:tr w:rsidR="001275ED" w14:paraId="10FF850B" w14:textId="77777777">
        <w:tblPrEx>
          <w:tblCellMar>
            <w:top w:w="0" w:type="dxa"/>
            <w:bottom w:w="0" w:type="dxa"/>
          </w:tblCellMar>
        </w:tblPrEx>
        <w:tc>
          <w:tcPr>
            <w:tcW w:w="1900" w:type="dxa"/>
            <w:tcMar>
              <w:top w:w="40" w:type="dxa"/>
              <w:left w:w="90" w:type="dxa"/>
              <w:bottom w:w="40" w:type="dxa"/>
              <w:right w:w="90" w:type="dxa"/>
            </w:tcMar>
          </w:tcPr>
          <w:p w14:paraId="10FF8508" w14:textId="77777777" w:rsidR="001275ED" w:rsidRDefault="001870F8">
            <w:r>
              <w:rPr>
                <w:sz w:val="18"/>
                <w:szCs w:val="18"/>
              </w:rPr>
              <w:t>App/</w:t>
            </w:r>
          </w:p>
        </w:tc>
        <w:tc>
          <w:tcPr>
            <w:tcW w:w="4160" w:type="dxa"/>
            <w:tcMar>
              <w:top w:w="40" w:type="dxa"/>
              <w:left w:w="90" w:type="dxa"/>
              <w:bottom w:w="40" w:type="dxa"/>
              <w:right w:w="90" w:type="dxa"/>
            </w:tcMar>
          </w:tcPr>
          <w:p w14:paraId="10FF8509" w14:textId="77777777" w:rsidR="001275ED" w:rsidRDefault="001870F8">
            <w:r>
              <w:rPr>
                <w:sz w:val="18"/>
                <w:szCs w:val="18"/>
              </w:rPr>
              <w:t>The prototype (React + Vite). Runs the real rules in the browser (localStorage).</w:t>
            </w:r>
          </w:p>
        </w:tc>
        <w:tc>
          <w:tcPr>
            <w:tcW w:w="3300" w:type="dxa"/>
            <w:tcMar>
              <w:top w:w="40" w:type="dxa"/>
              <w:left w:w="90" w:type="dxa"/>
              <w:bottom w:w="40" w:type="dxa"/>
              <w:right w:w="90" w:type="dxa"/>
            </w:tcMar>
          </w:tcPr>
          <w:p w14:paraId="10FF850A" w14:textId="77777777" w:rsidR="001275ED" w:rsidRDefault="001870F8">
            <w:r>
              <w:rPr>
                <w:sz w:val="18"/>
                <w:szCs w:val="18"/>
              </w:rPr>
              <w:t>Reference &amp; test oracle for behaviour. Not ported to production.</w:t>
            </w:r>
          </w:p>
        </w:tc>
      </w:tr>
      <w:tr w:rsidR="001275ED" w14:paraId="10FF850F" w14:textId="77777777">
        <w:tblPrEx>
          <w:tblCellMar>
            <w:top w:w="0" w:type="dxa"/>
            <w:bottom w:w="0" w:type="dxa"/>
          </w:tblCellMar>
        </w:tblPrEx>
        <w:tc>
          <w:tcPr>
            <w:tcW w:w="1900" w:type="dxa"/>
            <w:tcMar>
              <w:top w:w="40" w:type="dxa"/>
              <w:left w:w="90" w:type="dxa"/>
              <w:bottom w:w="40" w:type="dxa"/>
              <w:right w:w="90" w:type="dxa"/>
            </w:tcMar>
          </w:tcPr>
          <w:p w14:paraId="10FF850C" w14:textId="77777777" w:rsidR="001275ED" w:rsidRDefault="001870F8">
            <w:r>
              <w:rPr>
                <w:sz w:val="18"/>
                <w:szCs w:val="18"/>
              </w:rPr>
              <w:t>Service/</w:t>
            </w:r>
          </w:p>
        </w:tc>
        <w:tc>
          <w:tcPr>
            <w:tcW w:w="4160" w:type="dxa"/>
            <w:tcMar>
              <w:top w:w="40" w:type="dxa"/>
              <w:left w:w="90" w:type="dxa"/>
              <w:bottom w:w="40" w:type="dxa"/>
              <w:right w:w="90" w:type="dxa"/>
            </w:tcMar>
          </w:tcPr>
          <w:p w14:paraId="10FF850D" w14:textId="77777777" w:rsidR="001275ED" w:rsidRDefault="001870F8">
            <w:r>
              <w:rPr>
                <w:sz w:val="18"/>
                <w:szCs w:val="18"/>
              </w:rPr>
              <w:t>The production service, scaffolded (.NET 10, Clean Architecture/DDD, EF Core, outbox, Docker).</w:t>
            </w:r>
          </w:p>
        </w:tc>
        <w:tc>
          <w:tcPr>
            <w:tcW w:w="3300" w:type="dxa"/>
            <w:tcMar>
              <w:top w:w="40" w:type="dxa"/>
              <w:left w:w="90" w:type="dxa"/>
              <w:bottom w:w="40" w:type="dxa"/>
              <w:right w:w="90" w:type="dxa"/>
            </w:tcMar>
          </w:tcPr>
          <w:p w14:paraId="10FF850E" w14:textId="77777777" w:rsidR="001275ED" w:rsidRDefault="001870F8">
            <w:r>
              <w:rPr>
                <w:sz w:val="18"/>
                <w:szCs w:val="18"/>
              </w:rPr>
              <w:t>This is what gets built.</w:t>
            </w:r>
          </w:p>
        </w:tc>
      </w:tr>
      <w:tr w:rsidR="001275ED" w14:paraId="10FF8513" w14:textId="77777777">
        <w:tblPrEx>
          <w:tblCellMar>
            <w:top w:w="0" w:type="dxa"/>
            <w:bottom w:w="0" w:type="dxa"/>
          </w:tblCellMar>
        </w:tblPrEx>
        <w:tc>
          <w:tcPr>
            <w:tcW w:w="1900" w:type="dxa"/>
            <w:tcMar>
              <w:top w:w="40" w:type="dxa"/>
              <w:left w:w="90" w:type="dxa"/>
              <w:bottom w:w="40" w:type="dxa"/>
              <w:right w:w="90" w:type="dxa"/>
            </w:tcMar>
          </w:tcPr>
          <w:p w14:paraId="10FF8510" w14:textId="77777777" w:rsidR="001275ED" w:rsidRDefault="001870F8">
            <w:r>
              <w:rPr>
                <w:sz w:val="18"/>
                <w:szCs w:val="18"/>
              </w:rPr>
              <w:t>message-contract/</w:t>
            </w:r>
          </w:p>
        </w:tc>
        <w:tc>
          <w:tcPr>
            <w:tcW w:w="4160" w:type="dxa"/>
            <w:tcMar>
              <w:top w:w="40" w:type="dxa"/>
              <w:left w:w="90" w:type="dxa"/>
              <w:bottom w:w="40" w:type="dxa"/>
              <w:right w:w="90" w:type="dxa"/>
            </w:tcMar>
          </w:tcPr>
          <w:p w14:paraId="10FF8511" w14:textId="77777777" w:rsidR="001275ED" w:rsidRDefault="001870F8">
            <w:r>
              <w:rPr>
                <w:sz w:val="18"/>
                <w:szCs w:val="18"/>
              </w:rPr>
              <w:t>The inbound contract: JSON Schema per event, AsyncAPI, reference data, dry-run validate schemas.</w:t>
            </w:r>
          </w:p>
        </w:tc>
        <w:tc>
          <w:tcPr>
            <w:tcW w:w="3300" w:type="dxa"/>
            <w:tcMar>
              <w:top w:w="40" w:type="dxa"/>
              <w:left w:w="90" w:type="dxa"/>
              <w:bottom w:w="40" w:type="dxa"/>
              <w:right w:w="90" w:type="dxa"/>
            </w:tcMar>
          </w:tcPr>
          <w:p w14:paraId="10FF8512" w14:textId="77777777" w:rsidR="001275ED" w:rsidRDefault="001870F8">
            <w:r>
              <w:rPr>
                <w:sz w:val="18"/>
                <w:szCs w:val="18"/>
              </w:rPr>
              <w:t>How other domains integrate; drives validation &amp; tests.</w:t>
            </w:r>
          </w:p>
        </w:tc>
      </w:tr>
      <w:tr w:rsidR="001275ED" w14:paraId="10FF8517" w14:textId="77777777">
        <w:tblPrEx>
          <w:tblCellMar>
            <w:top w:w="0" w:type="dxa"/>
            <w:bottom w:w="0" w:type="dxa"/>
          </w:tblCellMar>
        </w:tblPrEx>
        <w:tc>
          <w:tcPr>
            <w:tcW w:w="1900" w:type="dxa"/>
            <w:tcMar>
              <w:top w:w="40" w:type="dxa"/>
              <w:left w:w="90" w:type="dxa"/>
              <w:bottom w:w="40" w:type="dxa"/>
              <w:right w:w="90" w:type="dxa"/>
            </w:tcMar>
          </w:tcPr>
          <w:p w14:paraId="10FF8514" w14:textId="77777777" w:rsidR="001275ED" w:rsidRDefault="001870F8">
            <w:r>
              <w:rPr>
                <w:sz w:val="18"/>
                <w:szCs w:val="18"/>
              </w:rPr>
              <w:t>*.docx (root)</w:t>
            </w:r>
          </w:p>
        </w:tc>
        <w:tc>
          <w:tcPr>
            <w:tcW w:w="4160" w:type="dxa"/>
            <w:tcMar>
              <w:top w:w="40" w:type="dxa"/>
              <w:left w:w="90" w:type="dxa"/>
              <w:bottom w:w="40" w:type="dxa"/>
              <w:right w:w="90" w:type="dxa"/>
            </w:tcMar>
          </w:tcPr>
          <w:p w14:paraId="10FF8515" w14:textId="77777777" w:rsidR="001275ED" w:rsidRDefault="001870F8">
            <w:r>
              <w:rPr>
                <w:sz w:val="18"/>
                <w:szCs w:val="18"/>
              </w:rPr>
              <w:t>Design &amp; hand-over docs (Overview, Data Model Outline, Developer Handover, this roadmap).</w:t>
            </w:r>
          </w:p>
        </w:tc>
        <w:tc>
          <w:tcPr>
            <w:tcW w:w="3300" w:type="dxa"/>
            <w:tcMar>
              <w:top w:w="40" w:type="dxa"/>
              <w:left w:w="90" w:type="dxa"/>
              <w:bottom w:w="40" w:type="dxa"/>
              <w:right w:w="90" w:type="dxa"/>
            </w:tcMar>
          </w:tcPr>
          <w:p w14:paraId="10FF8516" w14:textId="77777777" w:rsidR="001275ED" w:rsidRDefault="001870F8">
            <w:r>
              <w:rPr>
                <w:sz w:val="18"/>
                <w:szCs w:val="18"/>
              </w:rPr>
              <w:t>Read first: Developer Handover + Data Model Outline.</w:t>
            </w:r>
          </w:p>
        </w:tc>
      </w:tr>
    </w:tbl>
    <w:p w14:paraId="10FF8518" w14:textId="77777777" w:rsidR="001275ED" w:rsidRDefault="001870F8">
      <w:pPr>
        <w:pStyle w:val="Heading1"/>
        <w:spacing w:before="300" w:after="120"/>
      </w:pPr>
      <w:bookmarkStart w:id="5" w:name="_Toc240863459"/>
      <w:r>
        <w:t>4. Phase A — Database (SQL)</w:t>
      </w:r>
      <w:bookmarkEnd w:id="5"/>
    </w:p>
    <w:p w14:paraId="10FF8519" w14:textId="77777777" w:rsidR="001275ED" w:rsidRDefault="001870F8">
      <w:pPr>
        <w:pStyle w:val="ListParagraph"/>
        <w:numPr>
          <w:ilvl w:val="0"/>
          <w:numId w:val="2"/>
        </w:numPr>
        <w:spacing w:after="50" w:line="264" w:lineRule="auto"/>
      </w:pPr>
      <w:r>
        <w:t>Turn the prototype’s data model (</w:t>
      </w:r>
      <w:r>
        <w:rPr>
          <w:rFonts w:ascii="Consolas" w:eastAsia="Consolas" w:hAnsi="Consolas" w:cs="Consolas"/>
          <w:color w:val="0E6BA8"/>
          <w:sz w:val="19"/>
          <w:szCs w:val="19"/>
        </w:rPr>
        <w:t>App/src/types.ts</w:t>
      </w:r>
      <w:r>
        <w:t xml:space="preserve">, already drafted in </w:t>
      </w:r>
      <w:r>
        <w:rPr>
          <w:b/>
          <w:bCs/>
        </w:rPr>
        <w:t>OCE-Data-Model-Outline.docx</w:t>
      </w:r>
      <w:r>
        <w:t xml:space="preserve">) into </w:t>
      </w:r>
      <w:r>
        <w:rPr>
          <w:b/>
          <w:bCs/>
          <w:color w:val="00395D"/>
        </w:rPr>
        <w:t>EF Core entities + a DbContext + migrations</w:t>
      </w:r>
      <w:r>
        <w:t>.</w:t>
      </w:r>
    </w:p>
    <w:p w14:paraId="10FF851A" w14:textId="77777777" w:rsidR="001275ED" w:rsidRDefault="001870F8">
      <w:pPr>
        <w:pStyle w:val="ListParagraph"/>
        <w:numPr>
          <w:ilvl w:val="0"/>
          <w:numId w:val="2"/>
        </w:numPr>
        <w:spacing w:after="50" w:line="264" w:lineRule="auto"/>
      </w:pPr>
      <w:r>
        <w:rPr>
          <w:b/>
          <w:bCs/>
          <w:color w:val="00395D"/>
        </w:rPr>
        <w:t xml:space="preserve">Separate configuration from transactional data. </w:t>
      </w:r>
      <w:r>
        <w:t>Config: accounting classes, ledgers, formulas, conditions, events, dimensions, currencies. Transactional: journals &amp; lines, opening balances, recognition plans, pending messages.</w:t>
      </w:r>
    </w:p>
    <w:p w14:paraId="10FF851B" w14:textId="77777777" w:rsidR="001275ED" w:rsidRDefault="001870F8">
      <w:pPr>
        <w:pStyle w:val="ListParagraph"/>
        <w:numPr>
          <w:ilvl w:val="0"/>
          <w:numId w:val="2"/>
        </w:numPr>
        <w:spacing w:after="50" w:line="264" w:lineRule="auto"/>
      </w:pPr>
      <w:r>
        <w:rPr>
          <w:b/>
          <w:bCs/>
          <w:color w:val="00395D"/>
        </w:rPr>
        <w:t xml:space="preserve">Legal entity is the tenant partition </w:t>
      </w:r>
      <w:r>
        <w:t>— it is first-class everywhere; every query is entity-scoped.</w:t>
      </w:r>
    </w:p>
    <w:p w14:paraId="10FF851C" w14:textId="77777777" w:rsidR="001275ED" w:rsidRDefault="001870F8">
      <w:pPr>
        <w:pStyle w:val="ListParagraph"/>
        <w:numPr>
          <w:ilvl w:val="0"/>
          <w:numId w:val="2"/>
        </w:numPr>
        <w:spacing w:after="50" w:line="264" w:lineRule="auto"/>
      </w:pPr>
      <w:r>
        <w:rPr>
          <w:b/>
          <w:bCs/>
          <w:color w:val="00395D"/>
        </w:rPr>
        <w:lastRenderedPageBreak/>
        <w:t xml:space="preserve">Keep the per-entity GLI number series </w:t>
      </w:r>
      <w:r>
        <w:t>as a real database sequence (gapless per entity), as the prototype does.</w:t>
      </w:r>
    </w:p>
    <w:p w14:paraId="10FF851D" w14:textId="77777777" w:rsidR="001275ED" w:rsidRDefault="001870F8">
      <w:pPr>
        <w:spacing w:after="110" w:line="276" w:lineRule="auto"/>
      </w:pPr>
      <w:r>
        <w:rPr>
          <w:b/>
          <w:bCs/>
        </w:rPr>
        <w:t xml:space="preserve">Done when: </w:t>
      </w:r>
      <w:r>
        <w:t>a migration builds the schema on the target SQL database, and the seeded configuration (Phase D) loads cleanly.</w:t>
      </w:r>
    </w:p>
    <w:p w14:paraId="10FF851E" w14:textId="77777777" w:rsidR="001275ED" w:rsidRDefault="001870F8">
      <w:pPr>
        <w:pStyle w:val="Heading1"/>
        <w:spacing w:before="300" w:after="120"/>
      </w:pPr>
      <w:bookmarkStart w:id="6" w:name="_Toc240863460"/>
      <w:r>
        <w:t>5. Phase B — Port the engine (the crown jewel)</w:t>
      </w:r>
      <w:bookmarkEnd w:id="6"/>
    </w:p>
    <w:p w14:paraId="10FF851F" w14:textId="77777777" w:rsidR="001275ED" w:rsidRDefault="001870F8">
      <w:pPr>
        <w:pStyle w:val="ListParagraph"/>
        <w:numPr>
          <w:ilvl w:val="0"/>
          <w:numId w:val="2"/>
        </w:numPr>
        <w:spacing w:after="50" w:line="264" w:lineRule="auto"/>
      </w:pPr>
      <w:r>
        <w:t xml:space="preserve">Reimplement </w:t>
      </w:r>
      <w:r>
        <w:rPr>
          <w:rFonts w:ascii="Consolas" w:eastAsia="Consolas" w:hAnsi="Consolas" w:cs="Consolas"/>
          <w:color w:val="0E6BA8"/>
          <w:sz w:val="19"/>
          <w:szCs w:val="19"/>
        </w:rPr>
        <w:t>App/src/engine.ts</w:t>
      </w:r>
      <w:r>
        <w:t xml:space="preserve"> in </w:t>
      </w:r>
      <w:r>
        <w:rPr>
          <w:rFonts w:ascii="Consolas" w:eastAsia="Consolas" w:hAnsi="Consolas" w:cs="Consolas"/>
          <w:color w:val="0E6BA8"/>
          <w:sz w:val="19"/>
          <w:szCs w:val="19"/>
        </w:rPr>
        <w:t>Accounting.Domain</w:t>
      </w:r>
      <w:r>
        <w:t xml:space="preserve">: account resolution (branches / nested overrides), </w:t>
      </w:r>
      <w:r>
        <w:rPr>
          <w:rFonts w:ascii="Consolas" w:eastAsia="Consolas" w:hAnsi="Consolas" w:cs="Consolas"/>
          <w:color w:val="0E6BA8"/>
          <w:sz w:val="19"/>
          <w:szCs w:val="19"/>
        </w:rPr>
        <w:t>simulateMessage</w:t>
      </w:r>
      <w:r>
        <w:t xml:space="preserve"> / </w:t>
      </w:r>
      <w:r>
        <w:rPr>
          <w:rFonts w:ascii="Consolas" w:eastAsia="Consolas" w:hAnsi="Consolas" w:cs="Consolas"/>
          <w:color w:val="0E6BA8"/>
          <w:sz w:val="19"/>
          <w:szCs w:val="19"/>
        </w:rPr>
        <w:t>postMessage</w:t>
      </w:r>
      <w:r>
        <w:t>, accruals, recognition (monthly booking), reversals, revaluation, and the year-end close.</w:t>
      </w:r>
    </w:p>
    <w:p w14:paraId="10FF8520" w14:textId="77777777" w:rsidR="001275ED" w:rsidRDefault="001870F8">
      <w:pPr>
        <w:pStyle w:val="ListParagraph"/>
        <w:numPr>
          <w:ilvl w:val="0"/>
          <w:numId w:val="2"/>
        </w:numPr>
        <w:spacing w:after="50" w:line="264" w:lineRule="auto"/>
      </w:pPr>
      <w:r>
        <w:rPr>
          <w:b/>
          <w:bCs/>
          <w:color w:val="00395D"/>
        </w:rPr>
        <w:t xml:space="preserve">Keep it pure and deterministic </w:t>
      </w:r>
      <w:r>
        <w:t>(message in → journal out), free of transport and storage concerns, so it is fully unit-testable.</w:t>
      </w:r>
    </w:p>
    <w:p w14:paraId="10FF8521" w14:textId="77777777" w:rsidR="001275ED" w:rsidRDefault="001870F8">
      <w:pPr>
        <w:pStyle w:val="ListParagraph"/>
        <w:numPr>
          <w:ilvl w:val="0"/>
          <w:numId w:val="2"/>
        </w:numPr>
        <w:spacing w:after="50" w:line="264" w:lineRule="auto"/>
      </w:pPr>
      <w:r>
        <w:rPr>
          <w:b/>
          <w:bCs/>
          <w:color w:val="00395D"/>
        </w:rPr>
        <w:t xml:space="preserve">Golden-master testing. </w:t>
      </w:r>
      <w:r>
        <w:t>Run a corpus of messages through the prototype (its Simulator / validate is the same logic) to capture the expected journals, then assert the .NET engine reproduces them exactly. This locks the behaviour and is the safety net for every later change.</w:t>
      </w:r>
    </w:p>
    <w:p w14:paraId="10FF8522" w14:textId="77777777" w:rsidR="001275ED" w:rsidRDefault="001870F8">
      <w:pPr>
        <w:spacing w:after="110" w:line="276" w:lineRule="auto"/>
      </w:pPr>
      <w:r>
        <w:rPr>
          <w:b/>
          <w:bCs/>
        </w:rPr>
        <w:t xml:space="preserve">Done when: </w:t>
      </w:r>
      <w:r>
        <w:t>the golden-master suite passes for the message corpus (activation, invoicing, payments, accruals, recognition, terminations, revaluation, year-end close).</w:t>
      </w:r>
    </w:p>
    <w:p w14:paraId="10FF8523" w14:textId="77777777" w:rsidR="001275ED" w:rsidRDefault="001870F8">
      <w:pPr>
        <w:pStyle w:val="Heading1"/>
        <w:spacing w:before="300" w:after="120"/>
      </w:pPr>
      <w:bookmarkStart w:id="7" w:name="_Toc240863461"/>
      <w:r>
        <w:t>6. Phase C — The event-driven platform</w:t>
      </w:r>
      <w:bookmarkEnd w:id="7"/>
    </w:p>
    <w:tbl>
      <w:tblPr>
        <w:tblW w:w="9360" w:type="dxa"/>
        <w:tblBorders>
          <w:top w:val="single" w:sz="4" w:space="0" w:color="00395D"/>
          <w:left w:val="single" w:sz="12" w:space="0" w:color="00395D"/>
          <w:bottom w:val="single" w:sz="4" w:space="0" w:color="C9D6E2"/>
          <w:right w:val="single" w:sz="4" w:space="0" w:color="C9D6E2"/>
        </w:tblBorders>
        <w:tblCellMar>
          <w:left w:w="10" w:type="dxa"/>
          <w:right w:w="10" w:type="dxa"/>
        </w:tblCellMar>
        <w:tblLook w:val="04A0" w:firstRow="1" w:lastRow="0" w:firstColumn="1" w:lastColumn="0" w:noHBand="0" w:noVBand="1"/>
      </w:tblPr>
      <w:tblGrid>
        <w:gridCol w:w="9360"/>
      </w:tblGrid>
      <w:tr w:rsidR="001275ED" w14:paraId="10FF8526" w14:textId="77777777">
        <w:tblPrEx>
          <w:tblCellMar>
            <w:top w:w="0" w:type="dxa"/>
            <w:bottom w:w="0" w:type="dxa"/>
          </w:tblCellMar>
        </w:tblPrEx>
        <w:tc>
          <w:tcPr>
            <w:tcW w:w="9360" w:type="dxa"/>
            <w:shd w:val="clear" w:color="auto" w:fill="F1F6FA"/>
            <w:tcMar>
              <w:top w:w="120" w:type="dxa"/>
              <w:left w:w="160" w:type="dxa"/>
              <w:bottom w:w="120" w:type="dxa"/>
              <w:right w:w="160" w:type="dxa"/>
            </w:tcMar>
          </w:tcPr>
          <w:p w14:paraId="10FF8524" w14:textId="77777777" w:rsidR="001275ED" w:rsidRDefault="001870F8">
            <w:pPr>
              <w:spacing w:after="40"/>
            </w:pPr>
            <w:r>
              <w:rPr>
                <w:b/>
                <w:bCs/>
                <w:color w:val="00395D"/>
                <w:sz w:val="20"/>
                <w:szCs w:val="20"/>
              </w:rPr>
              <w:t>Keep the domain independent of the transport</w:t>
            </w:r>
          </w:p>
          <w:p w14:paraId="10FF8525" w14:textId="77777777" w:rsidR="001275ED" w:rsidRDefault="001870F8">
            <w:pPr>
              <w:spacing w:line="264" w:lineRule="auto"/>
            </w:pPr>
            <w:r>
              <w:t xml:space="preserve">The accounting domain and the engine must not know which EDA platform they run on. Define ports (e.g. </w:t>
            </w:r>
            <w:r>
              <w:rPr>
                <w:rFonts w:ascii="Consolas" w:eastAsia="Consolas" w:hAnsi="Consolas" w:cs="Consolas"/>
                <w:color w:val="0E6BA8"/>
                <w:sz w:val="19"/>
                <w:szCs w:val="19"/>
              </w:rPr>
              <w:t>IInboundMessageConsumer</w:t>
            </w:r>
            <w:r>
              <w:t xml:space="preserve">, </w:t>
            </w:r>
            <w:r>
              <w:rPr>
                <w:rFonts w:ascii="Consolas" w:eastAsia="Consolas" w:hAnsi="Consolas" w:cs="Consolas"/>
                <w:color w:val="0E6BA8"/>
                <w:sz w:val="19"/>
                <w:szCs w:val="19"/>
              </w:rPr>
              <w:t>IEventPublisher</w:t>
            </w:r>
            <w:r>
              <w:t xml:space="preserve">) and make the new platform an </w:t>
            </w:r>
            <w:r>
              <w:rPr>
                <w:b/>
                <w:bCs/>
              </w:rPr>
              <w:t>adapter</w:t>
            </w:r>
            <w:r>
              <w:t xml:space="preserve"> behind them. The scaffold’s Wolverine + RabbitMQ is a </w:t>
            </w:r>
            <w:r>
              <w:rPr>
                <w:b/>
                <w:bCs/>
              </w:rPr>
              <w:t>placeholder</w:t>
            </w:r>
            <w:r>
              <w:t xml:space="preserve"> to swap for the platform’s SDK — not a commitment.</w:t>
            </w:r>
          </w:p>
        </w:tc>
      </w:tr>
    </w:tbl>
    <w:p w14:paraId="10FF8527" w14:textId="77777777" w:rsidR="001275ED" w:rsidRDefault="001870F8">
      <w:pPr>
        <w:pStyle w:val="ListParagraph"/>
        <w:numPr>
          <w:ilvl w:val="0"/>
          <w:numId w:val="2"/>
        </w:numPr>
        <w:spacing w:after="50" w:line="264" w:lineRule="auto"/>
      </w:pPr>
      <w:r>
        <w:rPr>
          <w:b/>
          <w:bCs/>
          <w:color w:val="00395D"/>
        </w:rPr>
        <w:t xml:space="preserve">Inbound. </w:t>
      </w:r>
      <w:r>
        <w:t xml:space="preserve">Consume events (Activation, Invoicing, AR/AP Payment, Agreement Change, Accrual…), </w:t>
      </w:r>
      <w:r>
        <w:rPr>
          <w:b/>
          <w:bCs/>
        </w:rPr>
        <w:t>validate against the message-contract JSON Schemas</w:t>
      </w:r>
      <w:r>
        <w:t xml:space="preserve"> before processing, and be </w:t>
      </w:r>
      <w:r>
        <w:rPr>
          <w:b/>
          <w:bCs/>
        </w:rPr>
        <w:t>idempotent on messageId</w:t>
      </w:r>
      <w:r>
        <w:t xml:space="preserve"> (a redelivery must never double-book).</w:t>
      </w:r>
    </w:p>
    <w:p w14:paraId="10FF8528" w14:textId="77777777" w:rsidR="001275ED" w:rsidRDefault="001870F8">
      <w:pPr>
        <w:pStyle w:val="ListParagraph"/>
        <w:numPr>
          <w:ilvl w:val="0"/>
          <w:numId w:val="2"/>
        </w:numPr>
        <w:spacing w:after="50" w:line="264" w:lineRule="auto"/>
      </w:pPr>
      <w:r>
        <w:rPr>
          <w:b/>
          <w:bCs/>
          <w:color w:val="00395D"/>
        </w:rPr>
        <w:t xml:space="preserve">Outbound. </w:t>
      </w:r>
      <w:r>
        <w:t xml:space="preserve">Publish the “Journal posted” event via the </w:t>
      </w:r>
      <w:r>
        <w:rPr>
          <w:b/>
          <w:bCs/>
        </w:rPr>
        <w:t>outbox pattern</w:t>
      </w:r>
      <w:r>
        <w:t xml:space="preserve"> (write the journal and the event in one DB transaction, relay asynchronously) so it fires exactly once and carries the original correlation id.</w:t>
      </w:r>
    </w:p>
    <w:p w14:paraId="10FF8529" w14:textId="77777777" w:rsidR="001275ED" w:rsidRDefault="001870F8">
      <w:pPr>
        <w:pStyle w:val="ListParagraph"/>
        <w:numPr>
          <w:ilvl w:val="0"/>
          <w:numId w:val="2"/>
        </w:numPr>
        <w:spacing w:after="50" w:line="264" w:lineRule="auto"/>
      </w:pPr>
      <w:r>
        <w:rPr>
          <w:b/>
          <w:bCs/>
          <w:color w:val="00395D"/>
        </w:rPr>
        <w:t xml:space="preserve">Ordering / partitioning </w:t>
      </w:r>
      <w:r>
        <w:t>by legal entity (and agreement) where the platform supports it.</w:t>
      </w:r>
    </w:p>
    <w:p w14:paraId="10FF852A" w14:textId="77777777" w:rsidR="001275ED" w:rsidRDefault="001870F8">
      <w:pPr>
        <w:pStyle w:val="ListParagraph"/>
        <w:numPr>
          <w:ilvl w:val="0"/>
          <w:numId w:val="2"/>
        </w:numPr>
        <w:spacing w:after="50" w:line="264" w:lineRule="auto"/>
      </w:pPr>
      <w:r>
        <w:rPr>
          <w:b/>
          <w:bCs/>
          <w:color w:val="00395D"/>
        </w:rPr>
        <w:t xml:space="preserve">Dry-run. </w:t>
      </w:r>
      <w:r>
        <w:t>Expose the validate endpoint — the same resolution without persisting — so senders can pre-check a message.</w:t>
      </w:r>
    </w:p>
    <w:p w14:paraId="10FF852B" w14:textId="77777777" w:rsidR="001275ED" w:rsidRDefault="001870F8">
      <w:pPr>
        <w:spacing w:after="110" w:line="276" w:lineRule="auto"/>
      </w:pPr>
      <w:r>
        <w:rPr>
          <w:b/>
          <w:bCs/>
        </w:rPr>
        <w:t xml:space="preserve">Done when: </w:t>
      </w:r>
      <w:r>
        <w:t>an event on the platform books a journal in SQL and emits a “Journal posted” event; a duplicate delivery is a no-op.</w:t>
      </w:r>
    </w:p>
    <w:p w14:paraId="10FF852C" w14:textId="77777777" w:rsidR="001275ED" w:rsidRDefault="001870F8">
      <w:pPr>
        <w:pStyle w:val="Heading1"/>
        <w:spacing w:before="300" w:after="120"/>
      </w:pPr>
      <w:bookmarkStart w:id="8" w:name="_Toc240863462"/>
      <w:r>
        <w:t>7. Phase D — Configuration &amp; reference data</w:t>
      </w:r>
      <w:bookmarkEnd w:id="8"/>
    </w:p>
    <w:p w14:paraId="10FF852D" w14:textId="77777777" w:rsidR="001275ED" w:rsidRDefault="001870F8">
      <w:pPr>
        <w:pStyle w:val="ListParagraph"/>
        <w:numPr>
          <w:ilvl w:val="0"/>
          <w:numId w:val="2"/>
        </w:numPr>
        <w:spacing w:after="50" w:line="264" w:lineRule="auto"/>
      </w:pPr>
      <w:r>
        <w:t xml:space="preserve">Migrate </w:t>
      </w:r>
      <w:r>
        <w:rPr>
          <w:rFonts w:ascii="Consolas" w:eastAsia="Consolas" w:hAnsi="Consolas" w:cs="Consolas"/>
          <w:color w:val="0E6BA8"/>
          <w:sz w:val="19"/>
          <w:szCs w:val="19"/>
        </w:rPr>
        <w:t>App/src/data/seed.json</w:t>
      </w:r>
      <w:r>
        <w:t xml:space="preserve"> (and </w:t>
      </w:r>
      <w:r>
        <w:rPr>
          <w:rFonts w:ascii="Consolas" w:eastAsia="Consolas" w:hAnsi="Consolas" w:cs="Consolas"/>
          <w:color w:val="0E6BA8"/>
          <w:sz w:val="19"/>
          <w:szCs w:val="19"/>
        </w:rPr>
        <w:t>extras.ts</w:t>
      </w:r>
      <w:r>
        <w:t xml:space="preserve">, etc.) into </w:t>
      </w:r>
      <w:r>
        <w:rPr>
          <w:b/>
          <w:bCs/>
          <w:color w:val="00395D"/>
        </w:rPr>
        <w:t>SQL seed / configuration</w:t>
      </w:r>
      <w:r>
        <w:t xml:space="preserve"> so entities, formulas, conditions, ledgers and codes live in the database rather than in a browser.</w:t>
      </w:r>
    </w:p>
    <w:p w14:paraId="10FF852E" w14:textId="77777777" w:rsidR="001275ED" w:rsidRDefault="001870F8">
      <w:pPr>
        <w:pStyle w:val="ListParagraph"/>
        <w:numPr>
          <w:ilvl w:val="0"/>
          <w:numId w:val="2"/>
        </w:numPr>
        <w:spacing w:after="50" w:line="264" w:lineRule="auto"/>
      </w:pPr>
      <w:r>
        <w:t xml:space="preserve">Treat reference data (products, accounting types, amount codes, amount types) as </w:t>
      </w:r>
      <w:r>
        <w:rPr>
          <w:b/>
          <w:bCs/>
        </w:rPr>
        <w:t>per-entity configuration</w:t>
      </w:r>
      <w:r>
        <w:t xml:space="preserve">, discovered from the domain — see </w:t>
      </w:r>
      <w:r>
        <w:rPr>
          <w:rFonts w:ascii="Consolas" w:eastAsia="Consolas" w:hAnsi="Consolas" w:cs="Consolas"/>
          <w:color w:val="0E6BA8"/>
          <w:sz w:val="19"/>
          <w:szCs w:val="19"/>
        </w:rPr>
        <w:t>message-contract/reference-data</w:t>
      </w:r>
      <w:r>
        <w:t>.</w:t>
      </w:r>
    </w:p>
    <w:p w14:paraId="10FF852F" w14:textId="77777777" w:rsidR="001275ED" w:rsidRDefault="001870F8">
      <w:pPr>
        <w:pStyle w:val="Heading1"/>
        <w:spacing w:before="300" w:after="120"/>
      </w:pPr>
      <w:bookmarkStart w:id="9" w:name="_Toc240863463"/>
      <w:r>
        <w:t>8. Phase E — Cross-cutting concerns</w:t>
      </w:r>
      <w:bookmarkEnd w:id="9"/>
    </w:p>
    <w:p w14:paraId="10FF8530" w14:textId="77777777" w:rsidR="001275ED" w:rsidRDefault="001870F8">
      <w:pPr>
        <w:pStyle w:val="ListParagraph"/>
        <w:numPr>
          <w:ilvl w:val="0"/>
          <w:numId w:val="2"/>
        </w:numPr>
        <w:spacing w:after="50" w:line="264" w:lineRule="auto"/>
      </w:pPr>
      <w:r>
        <w:rPr>
          <w:b/>
          <w:bCs/>
          <w:color w:val="00395D"/>
        </w:rPr>
        <w:t xml:space="preserve">Multi-tenancy &amp; auth. </w:t>
      </w:r>
      <w:r>
        <w:t>Scope every request to a legal entity; enforce it at the boundary.</w:t>
      </w:r>
    </w:p>
    <w:p w14:paraId="10FF8531" w14:textId="77777777" w:rsidR="001275ED" w:rsidRDefault="001870F8">
      <w:pPr>
        <w:pStyle w:val="ListParagraph"/>
        <w:numPr>
          <w:ilvl w:val="0"/>
          <w:numId w:val="2"/>
        </w:numPr>
        <w:spacing w:after="50" w:line="264" w:lineRule="auto"/>
      </w:pPr>
      <w:r>
        <w:rPr>
          <w:b/>
          <w:bCs/>
          <w:color w:val="00395D"/>
        </w:rPr>
        <w:lastRenderedPageBreak/>
        <w:t xml:space="preserve">Observability. </w:t>
      </w:r>
      <w:r>
        <w:t>Structured logging, metrics and tracing per message and per journal.</w:t>
      </w:r>
    </w:p>
    <w:p w14:paraId="10FF8532" w14:textId="77777777" w:rsidR="001275ED" w:rsidRDefault="001870F8">
      <w:pPr>
        <w:pStyle w:val="ListParagraph"/>
        <w:numPr>
          <w:ilvl w:val="0"/>
          <w:numId w:val="2"/>
        </w:numPr>
        <w:spacing w:after="50" w:line="264" w:lineRule="auto"/>
      </w:pPr>
      <w:r>
        <w:rPr>
          <w:b/>
          <w:bCs/>
          <w:color w:val="00395D"/>
        </w:rPr>
        <w:t xml:space="preserve">CI / migrations / deploy. </w:t>
      </w:r>
      <w:r>
        <w:t>Build, test (incl. the golden-master suite), apply EF Core migrations, containerised deploy (a Dockerfile and compose file are scaffolded).</w:t>
      </w:r>
    </w:p>
    <w:p w14:paraId="10FF8533" w14:textId="77777777" w:rsidR="001275ED" w:rsidRDefault="001870F8">
      <w:pPr>
        <w:pStyle w:val="ListParagraph"/>
        <w:numPr>
          <w:ilvl w:val="0"/>
          <w:numId w:val="2"/>
        </w:numPr>
        <w:spacing w:after="50" w:line="264" w:lineRule="auto"/>
      </w:pPr>
      <w:r>
        <w:rPr>
          <w:b/>
          <w:bCs/>
          <w:color w:val="00395D"/>
        </w:rPr>
        <w:t xml:space="preserve">GL export. </w:t>
      </w:r>
      <w:r>
        <w:t>The general-ledger export / integration per ledger (see GL-Integration-Architecture.docx).</w:t>
      </w:r>
    </w:p>
    <w:p w14:paraId="10FF8534" w14:textId="77777777" w:rsidR="001275ED" w:rsidRDefault="001870F8">
      <w:pPr>
        <w:pStyle w:val="Heading1"/>
        <w:spacing w:before="300" w:after="120"/>
      </w:pPr>
      <w:bookmarkStart w:id="10" w:name="_Toc240863464"/>
      <w:r>
        <w:t>9. Suggested order &amp; acceptance</w:t>
      </w:r>
      <w:bookmarkEnd w:id="10"/>
    </w:p>
    <w:tbl>
      <w:tblPr>
        <w:tblW w:w="9360" w:type="dxa"/>
        <w:tblBorders>
          <w:top w:val="single" w:sz="4" w:space="0" w:color="C9D6E2"/>
          <w:left w:val="single" w:sz="4" w:space="0" w:color="C9D6E2"/>
          <w:bottom w:val="single" w:sz="4" w:space="0" w:color="C9D6E2"/>
          <w:right w:val="single" w:sz="4" w:space="0" w:color="C9D6E2"/>
          <w:insideH w:val="single" w:sz="2" w:space="0" w:color="E3EAF1"/>
          <w:insideV w:val="single" w:sz="2" w:space="0" w:color="E3EAF1"/>
        </w:tblBorders>
        <w:tblCellMar>
          <w:left w:w="10" w:type="dxa"/>
          <w:right w:w="10" w:type="dxa"/>
        </w:tblCellMar>
        <w:tblLook w:val="04A0" w:firstRow="1" w:lastRow="0" w:firstColumn="1" w:lastColumn="0" w:noHBand="0" w:noVBand="1"/>
      </w:tblPr>
      <w:tblGrid>
        <w:gridCol w:w="700"/>
        <w:gridCol w:w="5200"/>
        <w:gridCol w:w="3460"/>
      </w:tblGrid>
      <w:tr w:rsidR="001275ED" w14:paraId="10FF8538" w14:textId="77777777">
        <w:tblPrEx>
          <w:tblCellMar>
            <w:top w:w="0" w:type="dxa"/>
            <w:bottom w:w="0" w:type="dxa"/>
          </w:tblCellMar>
        </w:tblPrEx>
        <w:trPr>
          <w:tblHeader/>
        </w:trPr>
        <w:tc>
          <w:tcPr>
            <w:tcW w:w="700" w:type="dxa"/>
            <w:shd w:val="clear" w:color="auto" w:fill="DCE8F2"/>
            <w:tcMar>
              <w:top w:w="40" w:type="dxa"/>
              <w:left w:w="90" w:type="dxa"/>
              <w:bottom w:w="40" w:type="dxa"/>
              <w:right w:w="90" w:type="dxa"/>
            </w:tcMar>
          </w:tcPr>
          <w:p w14:paraId="10FF8535" w14:textId="77777777" w:rsidR="001275ED" w:rsidRDefault="001870F8">
            <w:r>
              <w:rPr>
                <w:b/>
                <w:bCs/>
                <w:sz w:val="18"/>
                <w:szCs w:val="18"/>
              </w:rPr>
              <w:t>Step</w:t>
            </w:r>
          </w:p>
        </w:tc>
        <w:tc>
          <w:tcPr>
            <w:tcW w:w="5200" w:type="dxa"/>
            <w:shd w:val="clear" w:color="auto" w:fill="DCE8F2"/>
            <w:tcMar>
              <w:top w:w="40" w:type="dxa"/>
              <w:left w:w="90" w:type="dxa"/>
              <w:bottom w:w="40" w:type="dxa"/>
              <w:right w:w="90" w:type="dxa"/>
            </w:tcMar>
          </w:tcPr>
          <w:p w14:paraId="10FF8536" w14:textId="77777777" w:rsidR="001275ED" w:rsidRDefault="001870F8">
            <w:r>
              <w:rPr>
                <w:b/>
                <w:bCs/>
                <w:sz w:val="18"/>
                <w:szCs w:val="18"/>
              </w:rPr>
              <w:t>Deliverable</w:t>
            </w:r>
          </w:p>
        </w:tc>
        <w:tc>
          <w:tcPr>
            <w:tcW w:w="3460" w:type="dxa"/>
            <w:shd w:val="clear" w:color="auto" w:fill="DCE8F2"/>
            <w:tcMar>
              <w:top w:w="40" w:type="dxa"/>
              <w:left w:w="90" w:type="dxa"/>
              <w:bottom w:w="40" w:type="dxa"/>
              <w:right w:w="90" w:type="dxa"/>
            </w:tcMar>
          </w:tcPr>
          <w:p w14:paraId="10FF8537" w14:textId="77777777" w:rsidR="001275ED" w:rsidRDefault="001870F8">
            <w:r>
              <w:rPr>
                <w:b/>
                <w:bCs/>
                <w:sz w:val="18"/>
                <w:szCs w:val="18"/>
              </w:rPr>
              <w:t>Done when</w:t>
            </w:r>
          </w:p>
        </w:tc>
      </w:tr>
      <w:tr w:rsidR="001275ED" w14:paraId="10FF853C" w14:textId="77777777">
        <w:tblPrEx>
          <w:tblCellMar>
            <w:top w:w="0" w:type="dxa"/>
            <w:bottom w:w="0" w:type="dxa"/>
          </w:tblCellMar>
        </w:tblPrEx>
        <w:tc>
          <w:tcPr>
            <w:tcW w:w="700" w:type="dxa"/>
            <w:tcMar>
              <w:top w:w="40" w:type="dxa"/>
              <w:left w:w="90" w:type="dxa"/>
              <w:bottom w:w="40" w:type="dxa"/>
              <w:right w:w="90" w:type="dxa"/>
            </w:tcMar>
          </w:tcPr>
          <w:p w14:paraId="10FF8539" w14:textId="77777777" w:rsidR="001275ED" w:rsidRDefault="001870F8">
            <w:r>
              <w:rPr>
                <w:sz w:val="18"/>
                <w:szCs w:val="18"/>
              </w:rPr>
              <w:t>0</w:t>
            </w:r>
          </w:p>
        </w:tc>
        <w:tc>
          <w:tcPr>
            <w:tcW w:w="5200" w:type="dxa"/>
            <w:tcMar>
              <w:top w:w="40" w:type="dxa"/>
              <w:left w:w="90" w:type="dxa"/>
              <w:bottom w:w="40" w:type="dxa"/>
              <w:right w:w="90" w:type="dxa"/>
            </w:tcMar>
          </w:tcPr>
          <w:p w14:paraId="10FF853A" w14:textId="77777777" w:rsidR="001275ED" w:rsidRDefault="001870F8">
            <w:r>
              <w:rPr>
                <w:sz w:val="18"/>
                <w:szCs w:val="18"/>
              </w:rPr>
              <w:t>Push to Git; CI green on the scaffold.</w:t>
            </w:r>
          </w:p>
        </w:tc>
        <w:tc>
          <w:tcPr>
            <w:tcW w:w="3460" w:type="dxa"/>
            <w:tcMar>
              <w:top w:w="40" w:type="dxa"/>
              <w:left w:w="90" w:type="dxa"/>
              <w:bottom w:w="40" w:type="dxa"/>
              <w:right w:w="90" w:type="dxa"/>
            </w:tcMar>
          </w:tcPr>
          <w:p w14:paraId="10FF853B" w14:textId="77777777" w:rsidR="001275ED" w:rsidRDefault="001870F8">
            <w:r>
              <w:rPr>
                <w:sz w:val="18"/>
                <w:szCs w:val="18"/>
              </w:rPr>
              <w:t>Remote has the repo; build runs.</w:t>
            </w:r>
          </w:p>
        </w:tc>
      </w:tr>
      <w:tr w:rsidR="001275ED" w14:paraId="10FF8540" w14:textId="77777777">
        <w:tblPrEx>
          <w:tblCellMar>
            <w:top w:w="0" w:type="dxa"/>
            <w:bottom w:w="0" w:type="dxa"/>
          </w:tblCellMar>
        </w:tblPrEx>
        <w:tc>
          <w:tcPr>
            <w:tcW w:w="700" w:type="dxa"/>
            <w:tcMar>
              <w:top w:w="40" w:type="dxa"/>
              <w:left w:w="90" w:type="dxa"/>
              <w:bottom w:w="40" w:type="dxa"/>
              <w:right w:w="90" w:type="dxa"/>
            </w:tcMar>
          </w:tcPr>
          <w:p w14:paraId="10FF853D" w14:textId="77777777" w:rsidR="001275ED" w:rsidRDefault="001870F8">
            <w:r>
              <w:rPr>
                <w:sz w:val="18"/>
                <w:szCs w:val="18"/>
              </w:rPr>
              <w:t>A</w:t>
            </w:r>
          </w:p>
        </w:tc>
        <w:tc>
          <w:tcPr>
            <w:tcW w:w="5200" w:type="dxa"/>
            <w:tcMar>
              <w:top w:w="40" w:type="dxa"/>
              <w:left w:w="90" w:type="dxa"/>
              <w:bottom w:w="40" w:type="dxa"/>
              <w:right w:w="90" w:type="dxa"/>
            </w:tcMar>
          </w:tcPr>
          <w:p w14:paraId="10FF853E" w14:textId="77777777" w:rsidR="001275ED" w:rsidRDefault="001870F8">
            <w:r>
              <w:rPr>
                <w:sz w:val="18"/>
                <w:szCs w:val="18"/>
              </w:rPr>
              <w:t>SQL schema via EF Core migrations.</w:t>
            </w:r>
          </w:p>
        </w:tc>
        <w:tc>
          <w:tcPr>
            <w:tcW w:w="3460" w:type="dxa"/>
            <w:tcMar>
              <w:top w:w="40" w:type="dxa"/>
              <w:left w:w="90" w:type="dxa"/>
              <w:bottom w:w="40" w:type="dxa"/>
              <w:right w:w="90" w:type="dxa"/>
            </w:tcMar>
          </w:tcPr>
          <w:p w14:paraId="10FF853F" w14:textId="77777777" w:rsidR="001275ED" w:rsidRDefault="001870F8">
            <w:r>
              <w:rPr>
                <w:sz w:val="18"/>
                <w:szCs w:val="18"/>
              </w:rPr>
              <w:t>Schema builds; config seeds load.</w:t>
            </w:r>
          </w:p>
        </w:tc>
      </w:tr>
      <w:tr w:rsidR="001275ED" w14:paraId="10FF8544" w14:textId="77777777">
        <w:tblPrEx>
          <w:tblCellMar>
            <w:top w:w="0" w:type="dxa"/>
            <w:bottom w:w="0" w:type="dxa"/>
          </w:tblCellMar>
        </w:tblPrEx>
        <w:tc>
          <w:tcPr>
            <w:tcW w:w="700" w:type="dxa"/>
            <w:tcMar>
              <w:top w:w="40" w:type="dxa"/>
              <w:left w:w="90" w:type="dxa"/>
              <w:bottom w:w="40" w:type="dxa"/>
              <w:right w:w="90" w:type="dxa"/>
            </w:tcMar>
          </w:tcPr>
          <w:p w14:paraId="10FF8541" w14:textId="77777777" w:rsidR="001275ED" w:rsidRDefault="001870F8">
            <w:r>
              <w:rPr>
                <w:sz w:val="18"/>
                <w:szCs w:val="18"/>
              </w:rPr>
              <w:t>B</w:t>
            </w:r>
          </w:p>
        </w:tc>
        <w:tc>
          <w:tcPr>
            <w:tcW w:w="5200" w:type="dxa"/>
            <w:tcMar>
              <w:top w:w="40" w:type="dxa"/>
              <w:left w:w="90" w:type="dxa"/>
              <w:bottom w:w="40" w:type="dxa"/>
              <w:right w:w="90" w:type="dxa"/>
            </w:tcMar>
          </w:tcPr>
          <w:p w14:paraId="10FF8542" w14:textId="77777777" w:rsidR="001275ED" w:rsidRDefault="001870F8">
            <w:r>
              <w:rPr>
                <w:sz w:val="18"/>
                <w:szCs w:val="18"/>
              </w:rPr>
              <w:t>Engine ported to Accounting.Domain.</w:t>
            </w:r>
          </w:p>
        </w:tc>
        <w:tc>
          <w:tcPr>
            <w:tcW w:w="3460" w:type="dxa"/>
            <w:tcMar>
              <w:top w:w="40" w:type="dxa"/>
              <w:left w:w="90" w:type="dxa"/>
              <w:bottom w:w="40" w:type="dxa"/>
              <w:right w:w="90" w:type="dxa"/>
            </w:tcMar>
          </w:tcPr>
          <w:p w14:paraId="10FF8543" w14:textId="77777777" w:rsidR="001275ED" w:rsidRDefault="001870F8">
            <w:r>
              <w:rPr>
                <w:sz w:val="18"/>
                <w:szCs w:val="18"/>
              </w:rPr>
              <w:t>Golden-master suite passes.</w:t>
            </w:r>
          </w:p>
        </w:tc>
      </w:tr>
      <w:tr w:rsidR="001275ED" w14:paraId="10FF8548" w14:textId="77777777">
        <w:tblPrEx>
          <w:tblCellMar>
            <w:top w:w="0" w:type="dxa"/>
            <w:bottom w:w="0" w:type="dxa"/>
          </w:tblCellMar>
        </w:tblPrEx>
        <w:tc>
          <w:tcPr>
            <w:tcW w:w="700" w:type="dxa"/>
            <w:tcMar>
              <w:top w:w="40" w:type="dxa"/>
              <w:left w:w="90" w:type="dxa"/>
              <w:bottom w:w="40" w:type="dxa"/>
              <w:right w:w="90" w:type="dxa"/>
            </w:tcMar>
          </w:tcPr>
          <w:p w14:paraId="10FF8545" w14:textId="77777777" w:rsidR="001275ED" w:rsidRDefault="001870F8">
            <w:r>
              <w:rPr>
                <w:sz w:val="18"/>
                <w:szCs w:val="18"/>
              </w:rPr>
              <w:t>C</w:t>
            </w:r>
          </w:p>
        </w:tc>
        <w:tc>
          <w:tcPr>
            <w:tcW w:w="5200" w:type="dxa"/>
            <w:tcMar>
              <w:top w:w="40" w:type="dxa"/>
              <w:left w:w="90" w:type="dxa"/>
              <w:bottom w:w="40" w:type="dxa"/>
              <w:right w:w="90" w:type="dxa"/>
            </w:tcMar>
          </w:tcPr>
          <w:p w14:paraId="10FF8546" w14:textId="77777777" w:rsidR="001275ED" w:rsidRDefault="001870F8">
            <w:r>
              <w:rPr>
                <w:sz w:val="18"/>
                <w:szCs w:val="18"/>
              </w:rPr>
              <w:t>EDA adapter (consume + outbox publish) + validate endpoint.</w:t>
            </w:r>
          </w:p>
        </w:tc>
        <w:tc>
          <w:tcPr>
            <w:tcW w:w="3460" w:type="dxa"/>
            <w:tcMar>
              <w:top w:w="40" w:type="dxa"/>
              <w:left w:w="90" w:type="dxa"/>
              <w:bottom w:w="40" w:type="dxa"/>
              <w:right w:w="90" w:type="dxa"/>
            </w:tcMar>
          </w:tcPr>
          <w:p w14:paraId="10FF8547" w14:textId="77777777" w:rsidR="001275ED" w:rsidRDefault="001870F8">
            <w:r>
              <w:rPr>
                <w:sz w:val="18"/>
                <w:szCs w:val="18"/>
              </w:rPr>
              <w:t>Event → journal → published event; duplicate is a no-op.</w:t>
            </w:r>
          </w:p>
        </w:tc>
      </w:tr>
      <w:tr w:rsidR="001275ED" w14:paraId="10FF854C" w14:textId="77777777">
        <w:tblPrEx>
          <w:tblCellMar>
            <w:top w:w="0" w:type="dxa"/>
            <w:bottom w:w="0" w:type="dxa"/>
          </w:tblCellMar>
        </w:tblPrEx>
        <w:tc>
          <w:tcPr>
            <w:tcW w:w="700" w:type="dxa"/>
            <w:tcMar>
              <w:top w:w="40" w:type="dxa"/>
              <w:left w:w="90" w:type="dxa"/>
              <w:bottom w:w="40" w:type="dxa"/>
              <w:right w:w="90" w:type="dxa"/>
            </w:tcMar>
          </w:tcPr>
          <w:p w14:paraId="10FF8549" w14:textId="77777777" w:rsidR="001275ED" w:rsidRDefault="001870F8">
            <w:r>
              <w:rPr>
                <w:sz w:val="18"/>
                <w:szCs w:val="18"/>
              </w:rPr>
              <w:t>D</w:t>
            </w:r>
          </w:p>
        </w:tc>
        <w:tc>
          <w:tcPr>
            <w:tcW w:w="5200" w:type="dxa"/>
            <w:tcMar>
              <w:top w:w="40" w:type="dxa"/>
              <w:left w:w="90" w:type="dxa"/>
              <w:bottom w:w="40" w:type="dxa"/>
              <w:right w:w="90" w:type="dxa"/>
            </w:tcMar>
          </w:tcPr>
          <w:p w14:paraId="10FF854A" w14:textId="77777777" w:rsidR="001275ED" w:rsidRDefault="001870F8">
            <w:r>
              <w:rPr>
                <w:sz w:val="18"/>
                <w:szCs w:val="18"/>
              </w:rPr>
              <w:t>Config/reference data in SQL.</w:t>
            </w:r>
          </w:p>
        </w:tc>
        <w:tc>
          <w:tcPr>
            <w:tcW w:w="3460" w:type="dxa"/>
            <w:tcMar>
              <w:top w:w="40" w:type="dxa"/>
              <w:left w:w="90" w:type="dxa"/>
              <w:bottom w:w="40" w:type="dxa"/>
              <w:right w:w="90" w:type="dxa"/>
            </w:tcMar>
          </w:tcPr>
          <w:p w14:paraId="10FF854B" w14:textId="77777777" w:rsidR="001275ED" w:rsidRDefault="001870F8">
            <w:r>
              <w:rPr>
                <w:sz w:val="18"/>
                <w:szCs w:val="18"/>
              </w:rPr>
              <w:t>A fresh entity can be configured and book.</w:t>
            </w:r>
          </w:p>
        </w:tc>
      </w:tr>
      <w:tr w:rsidR="001275ED" w14:paraId="10FF8550" w14:textId="77777777">
        <w:tblPrEx>
          <w:tblCellMar>
            <w:top w:w="0" w:type="dxa"/>
            <w:bottom w:w="0" w:type="dxa"/>
          </w:tblCellMar>
        </w:tblPrEx>
        <w:tc>
          <w:tcPr>
            <w:tcW w:w="700" w:type="dxa"/>
            <w:tcMar>
              <w:top w:w="40" w:type="dxa"/>
              <w:left w:w="90" w:type="dxa"/>
              <w:bottom w:w="40" w:type="dxa"/>
              <w:right w:w="90" w:type="dxa"/>
            </w:tcMar>
          </w:tcPr>
          <w:p w14:paraId="10FF854D" w14:textId="77777777" w:rsidR="001275ED" w:rsidRDefault="001870F8">
            <w:r>
              <w:rPr>
                <w:sz w:val="18"/>
                <w:szCs w:val="18"/>
              </w:rPr>
              <w:t>E</w:t>
            </w:r>
          </w:p>
        </w:tc>
        <w:tc>
          <w:tcPr>
            <w:tcW w:w="5200" w:type="dxa"/>
            <w:tcMar>
              <w:top w:w="40" w:type="dxa"/>
              <w:left w:w="90" w:type="dxa"/>
              <w:bottom w:w="40" w:type="dxa"/>
              <w:right w:w="90" w:type="dxa"/>
            </w:tcMar>
          </w:tcPr>
          <w:p w14:paraId="10FF854E" w14:textId="77777777" w:rsidR="001275ED" w:rsidRDefault="001870F8">
            <w:r>
              <w:rPr>
                <w:sz w:val="18"/>
                <w:szCs w:val="18"/>
              </w:rPr>
              <w:t>Auth, observability, GL export, deploy.</w:t>
            </w:r>
          </w:p>
        </w:tc>
        <w:tc>
          <w:tcPr>
            <w:tcW w:w="3460" w:type="dxa"/>
            <w:tcMar>
              <w:top w:w="40" w:type="dxa"/>
              <w:left w:w="90" w:type="dxa"/>
              <w:bottom w:w="40" w:type="dxa"/>
              <w:right w:w="90" w:type="dxa"/>
            </w:tcMar>
          </w:tcPr>
          <w:p w14:paraId="10FF854F" w14:textId="77777777" w:rsidR="001275ED" w:rsidRDefault="001870F8">
            <w:r>
              <w:rPr>
                <w:sz w:val="18"/>
                <w:szCs w:val="18"/>
              </w:rPr>
              <w:t>Runs end-to-end in the target environment.</w:t>
            </w:r>
          </w:p>
        </w:tc>
      </w:tr>
    </w:tbl>
    <w:p w14:paraId="10FF8551" w14:textId="77777777" w:rsidR="001275ED" w:rsidRDefault="001870F8">
      <w:pPr>
        <w:pStyle w:val="Heading1"/>
        <w:spacing w:before="300" w:after="120"/>
      </w:pPr>
      <w:bookmarkStart w:id="11" w:name="_Toc240863465"/>
      <w:r>
        <w:t>10. Notes</w:t>
      </w:r>
      <w:bookmarkEnd w:id="11"/>
    </w:p>
    <w:p w14:paraId="10FF8552" w14:textId="77777777" w:rsidR="001275ED" w:rsidRDefault="001870F8">
      <w:pPr>
        <w:spacing w:after="110" w:line="276" w:lineRule="auto"/>
      </w:pPr>
      <w:r>
        <w:rPr>
          <w:b/>
          <w:bCs/>
        </w:rPr>
        <w:t xml:space="preserve">Ask Accountant </w:t>
      </w:r>
      <w:r>
        <w:t>(the in-app assistant) is a prototype demo, not part of the service. The reporting logic it uses — profit &amp; loss, trial balance, balance sheet, monthly profit — should live in the domain and be exposed via the API if those reports are wanted in production.</w:t>
      </w:r>
    </w:p>
    <w:p w14:paraId="10FF8553" w14:textId="77777777" w:rsidR="001275ED" w:rsidRDefault="001870F8">
      <w:pPr>
        <w:spacing w:after="110" w:line="276" w:lineRule="auto"/>
      </w:pPr>
      <w:r>
        <w:rPr>
          <w:b/>
          <w:bCs/>
        </w:rPr>
        <w:t xml:space="preserve">Tell us the specifics </w:t>
      </w:r>
      <w:r>
        <w:t>— which EDA platform and which SQL flavour (SQL Server, Azure SQL, PostgreSQL) — and this roadmap can be made concrete (adapter, connection, migration provider).</w:t>
      </w:r>
    </w:p>
    <w:p w14:paraId="10FF8554" w14:textId="77777777" w:rsidR="001275ED" w:rsidRDefault="001870F8">
      <w:pPr>
        <w:spacing w:after="110" w:line="276" w:lineRule="auto"/>
      </w:pPr>
      <w:r>
        <w:t>This is a prototype-based plan; figures, account numbers and codes in the app are illustrative. The processes and the engine reflect the intended production behaviour.</w:t>
      </w:r>
    </w:p>
    <w:p w14:paraId="10FF8555" w14:textId="77777777" w:rsidR="001275ED" w:rsidRDefault="001870F8">
      <w:pPr>
        <w:spacing w:before="260"/>
      </w:pPr>
      <w:r>
        <w:rPr>
          <w:i/>
          <w:iCs/>
          <w:color w:val="5A6472"/>
          <w:sz w:val="18"/>
          <w:szCs w:val="18"/>
        </w:rPr>
        <w:t>Tieto · One Credit Engine — accounting-domain prototype. Developer roadmap for internal use.</w:t>
      </w:r>
    </w:p>
    <w:sectPr w:rsidR="001275ED">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A0F55"/>
    <w:multiLevelType w:val="hybridMultilevel"/>
    <w:tmpl w:val="C4602600"/>
    <w:lvl w:ilvl="0" w:tplc="5A42F8CE">
      <w:start w:val="1"/>
      <w:numFmt w:val="bullet"/>
      <w:lvlText w:val="●"/>
      <w:lvlJc w:val="left"/>
      <w:pPr>
        <w:ind w:left="720" w:hanging="360"/>
      </w:pPr>
    </w:lvl>
    <w:lvl w:ilvl="1" w:tplc="7FD0C20E">
      <w:start w:val="1"/>
      <w:numFmt w:val="bullet"/>
      <w:lvlText w:val="○"/>
      <w:lvlJc w:val="left"/>
      <w:pPr>
        <w:ind w:left="1440" w:hanging="360"/>
      </w:pPr>
    </w:lvl>
    <w:lvl w:ilvl="2" w:tplc="3294AA50">
      <w:start w:val="1"/>
      <w:numFmt w:val="bullet"/>
      <w:lvlText w:val="■"/>
      <w:lvlJc w:val="left"/>
      <w:pPr>
        <w:ind w:left="2160" w:hanging="360"/>
      </w:pPr>
    </w:lvl>
    <w:lvl w:ilvl="3" w:tplc="3BD48AAA">
      <w:start w:val="1"/>
      <w:numFmt w:val="bullet"/>
      <w:lvlText w:val="●"/>
      <w:lvlJc w:val="left"/>
      <w:pPr>
        <w:ind w:left="2880" w:hanging="360"/>
      </w:pPr>
    </w:lvl>
    <w:lvl w:ilvl="4" w:tplc="020A9896">
      <w:start w:val="1"/>
      <w:numFmt w:val="bullet"/>
      <w:lvlText w:val="○"/>
      <w:lvlJc w:val="left"/>
      <w:pPr>
        <w:ind w:left="3600" w:hanging="360"/>
      </w:pPr>
    </w:lvl>
    <w:lvl w:ilvl="5" w:tplc="17102406">
      <w:start w:val="1"/>
      <w:numFmt w:val="bullet"/>
      <w:lvlText w:val="■"/>
      <w:lvlJc w:val="left"/>
      <w:pPr>
        <w:ind w:left="4320" w:hanging="360"/>
      </w:pPr>
    </w:lvl>
    <w:lvl w:ilvl="6" w:tplc="471ED2A0">
      <w:start w:val="1"/>
      <w:numFmt w:val="bullet"/>
      <w:lvlText w:val="●"/>
      <w:lvlJc w:val="left"/>
      <w:pPr>
        <w:ind w:left="5040" w:hanging="360"/>
      </w:pPr>
    </w:lvl>
    <w:lvl w:ilvl="7" w:tplc="FA52B03C">
      <w:start w:val="1"/>
      <w:numFmt w:val="bullet"/>
      <w:lvlText w:val="●"/>
      <w:lvlJc w:val="left"/>
      <w:pPr>
        <w:ind w:left="5760" w:hanging="360"/>
      </w:pPr>
    </w:lvl>
    <w:lvl w:ilvl="8" w:tplc="62E8B6FA">
      <w:start w:val="1"/>
      <w:numFmt w:val="bullet"/>
      <w:lvlText w:val="●"/>
      <w:lvlJc w:val="left"/>
      <w:pPr>
        <w:ind w:left="6480" w:hanging="360"/>
      </w:pPr>
    </w:lvl>
  </w:abstractNum>
  <w:abstractNum w:abstractNumId="1" w15:restartNumberingAfterBreak="0">
    <w:nsid w:val="4DA20292"/>
    <w:multiLevelType w:val="hybridMultilevel"/>
    <w:tmpl w:val="7B6690F6"/>
    <w:lvl w:ilvl="0" w:tplc="C5607D66">
      <w:start w:val="1"/>
      <w:numFmt w:val="bullet"/>
      <w:lvlText w:val="•"/>
      <w:lvlJc w:val="left"/>
      <w:pPr>
        <w:ind w:left="460" w:hanging="260"/>
      </w:pPr>
      <w:rPr>
        <w:color w:val="00395D"/>
      </w:rPr>
    </w:lvl>
    <w:lvl w:ilvl="1" w:tplc="39B2CF6C">
      <w:numFmt w:val="decimal"/>
      <w:lvlText w:val=""/>
      <w:lvlJc w:val="left"/>
    </w:lvl>
    <w:lvl w:ilvl="2" w:tplc="0390E7F0">
      <w:numFmt w:val="decimal"/>
      <w:lvlText w:val=""/>
      <w:lvlJc w:val="left"/>
    </w:lvl>
    <w:lvl w:ilvl="3" w:tplc="72D6FE28">
      <w:numFmt w:val="decimal"/>
      <w:lvlText w:val=""/>
      <w:lvlJc w:val="left"/>
    </w:lvl>
    <w:lvl w:ilvl="4" w:tplc="E9E23306">
      <w:numFmt w:val="decimal"/>
      <w:lvlText w:val=""/>
      <w:lvlJc w:val="left"/>
    </w:lvl>
    <w:lvl w:ilvl="5" w:tplc="BC300888">
      <w:numFmt w:val="decimal"/>
      <w:lvlText w:val=""/>
      <w:lvlJc w:val="left"/>
    </w:lvl>
    <w:lvl w:ilvl="6" w:tplc="90FC828A">
      <w:numFmt w:val="decimal"/>
      <w:lvlText w:val=""/>
      <w:lvlJc w:val="left"/>
    </w:lvl>
    <w:lvl w:ilvl="7" w:tplc="6D5E0C5C">
      <w:numFmt w:val="decimal"/>
      <w:lvlText w:val=""/>
      <w:lvlJc w:val="left"/>
    </w:lvl>
    <w:lvl w:ilvl="8" w:tplc="8B944874">
      <w:numFmt w:val="decimal"/>
      <w:lvlText w:val=""/>
      <w:lvlJc w:val="left"/>
    </w:lvl>
  </w:abstractNum>
  <w:num w:numId="1" w16cid:durableId="710543915">
    <w:abstractNumId w:val="0"/>
    <w:lvlOverride w:ilvl="0">
      <w:startOverride w:val="1"/>
    </w:lvlOverride>
  </w:num>
  <w:num w:numId="2" w16cid:durableId="18556559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5ED"/>
    <w:rsid w:val="000A4F42"/>
    <w:rsid w:val="001275ED"/>
    <w:rsid w:val="001870F8"/>
    <w:rsid w:val="007600B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F84EA"/>
  <w15:docId w15:val="{E5EC3F6A-FBCC-469F-89E6-A28D41AB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30"/>
        <w:sz w:val="21"/>
        <w:szCs w:val="21"/>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0395D"/>
      <w:sz w:val="30"/>
      <w:szCs w:val="30"/>
    </w:rPr>
  </w:style>
  <w:style w:type="paragraph" w:styleId="Heading2">
    <w:name w:val="heading 2"/>
    <w:uiPriority w:val="9"/>
    <w:unhideWhenUsed/>
    <w:qFormat/>
    <w:pPr>
      <w:spacing w:before="220" w:after="9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4F42"/>
    <w:pPr>
      <w:spacing w:after="100"/>
    </w:pPr>
  </w:style>
  <w:style w:type="paragraph" w:styleId="TOC2">
    <w:name w:val="toc 2"/>
    <w:basedOn w:val="Normal"/>
    <w:next w:val="Normal"/>
    <w:autoRedefine/>
    <w:uiPriority w:val="39"/>
    <w:unhideWhenUsed/>
    <w:rsid w:val="000A4F4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1163</Words>
  <Characters>6491</Characters>
  <Application>Microsoft Office Word</Application>
  <DocSecurity>0</DocSecurity>
  <Lines>146</Lines>
  <Paragraphs>102</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to Production — Developer Roadmap</dc:title>
  <dc:creator>One Credit Engine</dc:creator>
  <cp:lastModifiedBy>Rikard Krameus</cp:lastModifiedBy>
  <cp:revision>3</cp:revision>
  <dcterms:created xsi:type="dcterms:W3CDTF">2026-09-21T04:09:00Z</dcterms:created>
  <dcterms:modified xsi:type="dcterms:W3CDTF">2026-09-21T04:10:00Z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2026-09-21T04:10:39Z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3b9efef7-3673-4f0b-b8d1-461f56b79d00</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ies>
</file>