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6B6B"/>
          <w:sz w:val="20"/>
          <w:szCs w:val="20"/>
          <w:caps/>
        </w:rPr>
        <w:t xml:space="preserve">One Credit Engine · Accounting Domain</w:t>
      </w:r>
    </w:p>
    <w:p>
      <w:pPr>
        <w:spacing w:after="60"/>
      </w:pPr>
      <w:r>
        <w:rPr>
          <w:b/>
          <w:bCs/>
          <w:color w:val="5A2A82"/>
          <w:sz w:val="52"/>
          <w:szCs w:val="52"/>
        </w:rPr>
        <w:t xml:space="preserve">Accruals</w:t>
      </w:r>
    </w:p>
    <w:p>
      <w:pPr>
        <w:spacing w:after="40"/>
      </w:pPr>
      <w:r>
        <w:rPr>
          <w:color w:val="444444"/>
          <w:sz w:val="24"/>
          <w:szCs w:val="24"/>
        </w:rPr>
        <w:t xml:space="preserve">How an accrual is created — from a message (with its Amount Code and dimensions) or manually — and recognised at End of Month</w:t>
      </w:r>
    </w:p>
    <w:p>
      <w:pPr>
        <w:pBdr>
          <w:bottom w:val="single" w:color="5A2A82" w:sz="6" w:space="6"/>
        </w:pBdr>
        <w:spacing w:after="240"/>
      </w:pPr>
      <w:r>
        <w:rPr>
          <w:i/>
          <w:iCs/>
          <w:color w:val="6B6B6B"/>
          <w:sz w:val="18"/>
          <w:szCs w:val="18"/>
        </w:rPr>
        <w:t xml:space="preserve">Functional description · prototype behaviour</w:t>
      </w:r>
    </w:p>
    <w:p>
      <w:pPr>
        <w:pStyle w:val="Heading1"/>
        <w:spacing w:before="260" w:after="120"/>
      </w:pPr>
      <w:r>
        <w:rPr>
          <w:color w:val="5A2A82"/>
        </w:rPr>
        <w:t xml:space="preserve">1. What an accrual is</w:t>
      </w:r>
    </w:p>
    <w:p>
      <w:pPr>
        <w:spacing w:after="120" w:line="276"/>
      </w:pPr>
      <w:r>
        <w:rPr>
          <w:b/>
          <w:bCs/>
        </w:rPr>
        <w:t xml:space="preserve">An accrual spreads a single amount over time. </w:t>
      </w:r>
      <w:r>
        <w:t xml:space="preserve">When a cost or an income belongs to more than one period, the accounting domain does not book the whole amount to the profit &amp; loss (P&amp;L) account at once. Instead it </w:t>
      </w:r>
      <w:r>
        <w:rPr>
          <w:b/>
          <w:bCs/>
        </w:rPr>
        <w:t xml:space="preserve">defers</w:t>
      </w:r>
      <w:r>
        <w:t xml:space="preserve"> the full amount on a balance sheet account and </w:t>
      </w:r>
      <w:r>
        <w:rPr>
          <w:b/>
          <w:bCs/>
        </w:rPr>
        <w:t xml:space="preserve">recognises</w:t>
      </w:r>
      <w:r>
        <w:t xml:space="preserve"> it in equal monthly slices over the life of the accrual.</w:t>
      </w:r>
    </w:p>
    <w:p>
      <w:pPr>
        <w:spacing w:after="120" w:line="276"/>
      </w:pPr>
      <w:r>
        <w:t xml:space="preserve">The leading example is </w:t>
      </w:r>
      <w:r>
        <w:rPr>
          <w:b/>
          <w:bCs/>
        </w:rPr>
        <w:t xml:space="preserve">insurance on a leased asset. </w:t>
      </w:r>
      <w:r>
        <w:t xml:space="preserve">A leasing agreement is activated and the annual insurance premium on the car is known up front, but it is a cost of the whole year — not of the activation month. Accounting therefore parks the premium on the balance sheet at activation and releases one twelfth of it to the P&amp;L every month for twelve months.</w:t>
      </w:r>
    </w:p>
    <w:p>
      <w:pPr>
        <w:pStyle w:val="Heading1"/>
        <w:spacing w:before="260" w:after="120"/>
      </w:pPr>
      <w:r>
        <w:rPr>
          <w:color w:val="5A2A82"/>
        </w:rPr>
        <w:t xml:space="preserve">2. The building blocks</w:t>
      </w:r>
    </w:p>
    <w:p>
      <w:pPr>
        <w:spacing w:after="120" w:line="276"/>
      </w:pPr>
      <w:r>
        <w:t xml:space="preserve">Three records work together:</w:t>
      </w:r>
    </w:p>
    <w:p>
      <w:pPr>
        <w:pStyle w:val="ListParagraph"/>
        <w:numPr>
          <w:ilvl w:val="0"/>
          <w:numId w:val="1"/>
        </w:numPr>
        <w:spacing w:after="60" w:line="264"/>
      </w:pPr>
      <w:r>
        <w:rPr>
          <w:b/>
          <w:bCs/>
        </w:rPr>
        <w:t xml:space="preserve">Accrual code — </w:t>
      </w:r>
      <w:r>
        <w:t xml:space="preserve">the configuration. It says what is being accrued (name and direction), over how many months, and which accounts to use: the balance sheet </w:t>
      </w:r>
      <w:r>
        <w:rPr>
          <w:b/>
          <w:bCs/>
        </w:rPr>
        <w:t xml:space="preserve">deferral</w:t>
      </w:r>
      <w:r>
        <w:t xml:space="preserve"> account, the </w:t>
      </w:r>
      <w:r>
        <w:rPr>
          <w:b/>
          <w:bCs/>
        </w:rPr>
        <w:t xml:space="preserve">counter</w:t>
      </w:r>
      <w:r>
        <w:t xml:space="preserve"> account for the initial booking, and the P&amp;L </w:t>
      </w:r>
      <w:r>
        <w:rPr>
          <w:b/>
          <w:bCs/>
        </w:rPr>
        <w:t xml:space="preserve">recognition</w:t>
      </w:r>
      <w:r>
        <w:t xml:space="preserve"> account. A code may also name a </w:t>
      </w:r>
      <w:r>
        <w:rPr>
          <w:b/>
          <w:bCs/>
        </w:rPr>
        <w:t xml:space="preserve">message trigger</w:t>
      </w:r>
      <w:r>
        <w:t xml:space="preserve"> (an amount type) that makes accruals of this code appear automatically from a message.</w:t>
      </w:r>
    </w:p>
    <w:p>
      <w:pPr>
        <w:pStyle w:val="ListParagraph"/>
        <w:numPr>
          <w:ilvl w:val="0"/>
          <w:numId w:val="1"/>
        </w:numPr>
        <w:spacing w:after="60" w:line="264"/>
      </w:pPr>
      <w:r>
        <w:rPr>
          <w:b/>
          <w:bCs/>
        </w:rPr>
        <w:t xml:space="preserve">Accrual item — </w:t>
      </w:r>
      <w:r>
        <w:t xml:space="preserve">one live accrual. It holds the total amount to spread, the agreement it belongs to, the start and end period, and the running </w:t>
      </w:r>
      <w:r>
        <w:rPr>
          <w:b/>
          <w:bCs/>
        </w:rPr>
        <w:t xml:space="preserve">accrued-so-far</w:t>
      </w:r>
      <w:r>
        <w:t xml:space="preserve"> and </w:t>
      </w:r>
      <w:r>
        <w:rPr>
          <w:b/>
          <w:bCs/>
        </w:rPr>
        <w:t xml:space="preserve">remaining</w:t>
      </w:r>
      <w:r>
        <w:t xml:space="preserve"> figures, plus a status (Active / Completed / Terminated).</w:t>
      </w:r>
    </w:p>
    <w:p>
      <w:pPr>
        <w:pStyle w:val="ListParagraph"/>
        <w:numPr>
          <w:ilvl w:val="0"/>
          <w:numId w:val="1"/>
        </w:numPr>
        <w:spacing w:after="60" w:line="264"/>
      </w:pPr>
      <w:r>
        <w:rPr>
          <w:b/>
          <w:bCs/>
        </w:rPr>
        <w:t xml:space="preserve">Recognition schedule — </w:t>
      </w:r>
      <w:r>
        <w:t xml:space="preserve">the plan. One line per month, each with its planned amount and, once booked, the amount recognised and the journal (GLI) that recognised it. The slices always sum back exactly to the total; the last month absorbs any rounding.</w:t>
      </w:r>
    </w:p>
    <w:p>
      <w:pPr>
        <w:spacing w:after="120" w:line="276"/>
      </w:pPr>
      <w:r>
        <w:t xml:space="preserve">Direction decides the accounting: </w:t>
      </w:r>
      <w:r>
        <w:rPr>
          <w:b/>
          <w:bCs/>
        </w:rPr>
        <w:t xml:space="preserve">Cost</w:t>
      </w:r>
      <w:r>
        <w:t xml:space="preserve"> (prepaid → expense) or </w:t>
      </w:r>
      <w:r>
        <w:rPr>
          <w:b/>
          <w:bCs/>
        </w:rPr>
        <w:t xml:space="preserve">Income</w:t>
      </w:r>
      <w:r>
        <w:t xml:space="preserve"> (unearned → revenue). Insurance is a Cost accrual; a customer down payment is an Income accrual (a liability held and applied over the contract).</w:t>
      </w:r>
    </w:p>
    <w:p>
      <w:pPr>
        <w:spacing w:before="120" w:after="80"/>
      </w:pPr>
      <w:r>
        <w:t xml:space="preserve">Four accrual codes are configured per legal entity:</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gridCol w:w="100"/>
      </w:tblGrid>
      <w:tr>
        <w:trPr>
          <w:tblHeader/>
        </w:trPr>
        <w:tc>
          <w:tcPr>
            <w:tcW w:type="pct" w:w="10%"/>
            <w:shd w:fill="EDE7F4" w:color="auto" w:val="clear"/>
            <w:tcMar>
              <w:top w:type="dxa" w:w="60"/>
              <w:left w:type="dxa" w:w="110"/>
              <w:bottom w:type="dxa" w:w="60"/>
              <w:right w:type="dxa" w:w="110"/>
            </w:tcMar>
          </w:tcPr>
          <w:p>
            <w:r>
              <w:rPr>
                <w:b/>
                <w:bCs/>
              </w:rPr>
              <w:t xml:space="preserve">Code</w:t>
            </w:r>
          </w:p>
        </w:tc>
        <w:tc>
          <w:tcPr>
            <w:tcW w:type="pct" w:w="27%"/>
            <w:shd w:fill="EDE7F4" w:color="auto" w:val="clear"/>
            <w:tcMar>
              <w:top w:type="dxa" w:w="60"/>
              <w:left w:type="dxa" w:w="110"/>
              <w:bottom w:type="dxa" w:w="60"/>
              <w:right w:type="dxa" w:w="110"/>
            </w:tcMar>
          </w:tcPr>
          <w:p>
            <w:r>
              <w:rPr>
                <w:b/>
                <w:bCs/>
              </w:rPr>
              <w:t xml:space="preserve">Name</w:t>
            </w:r>
          </w:p>
        </w:tc>
        <w:tc>
          <w:tcPr>
            <w:tcW w:type="pct" w:w="14%"/>
            <w:shd w:fill="EDE7F4" w:color="auto" w:val="clear"/>
            <w:tcMar>
              <w:top w:type="dxa" w:w="60"/>
              <w:left w:type="dxa" w:w="110"/>
              <w:bottom w:type="dxa" w:w="60"/>
              <w:right w:type="dxa" w:w="110"/>
            </w:tcMar>
          </w:tcPr>
          <w:p>
            <w:r>
              <w:rPr>
                <w:b/>
                <w:bCs/>
              </w:rPr>
              <w:t xml:space="preserve">Direction</w:t>
            </w:r>
          </w:p>
        </w:tc>
        <w:tc>
          <w:tcPr>
            <w:tcW w:type="pct" w:w="11%"/>
            <w:shd w:fill="EDE7F4" w:color="auto" w:val="clear"/>
            <w:tcMar>
              <w:top w:type="dxa" w:w="60"/>
              <w:left w:type="dxa" w:w="110"/>
              <w:bottom w:type="dxa" w:w="60"/>
              <w:right w:type="dxa" w:w="110"/>
            </w:tcMar>
          </w:tcPr>
          <w:p>
            <w:r>
              <w:rPr>
                <w:b/>
                <w:bCs/>
              </w:rPr>
              <w:t xml:space="preserve">Months</w:t>
            </w:r>
          </w:p>
        </w:tc>
        <w:tc>
          <w:tcPr>
            <w:tcW w:type="pct" w:w="38%"/>
            <w:shd w:fill="EDE7F4" w:color="auto" w:val="clear"/>
            <w:tcMar>
              <w:top w:type="dxa" w:w="60"/>
              <w:left w:type="dxa" w:w="110"/>
              <w:bottom w:type="dxa" w:w="60"/>
              <w:right w:type="dxa" w:w="110"/>
            </w:tcMar>
          </w:tcPr>
          <w:p>
            <w:r>
              <w:rPr>
                <w:b/>
                <w:bCs/>
              </w:rPr>
              <w:t xml:space="preserve">Message trigger (amount type → code)</w:t>
            </w:r>
          </w:p>
        </w:tc>
      </w:tr>
      <w:tr>
        <w:tc>
          <w:tcPr>
            <w:tcW w:type="pct" w:w="10%"/>
            <w:tcMar>
              <w:top w:type="dxa" w:w="60"/>
              <w:left w:type="dxa" w:w="110"/>
              <w:bottom w:type="dxa" w:w="60"/>
              <w:right w:type="dxa" w:w="110"/>
            </w:tcMar>
          </w:tcPr>
          <w:p>
            <w:r>
              <w:t xml:space="preserve">INS</w:t>
            </w:r>
          </w:p>
        </w:tc>
        <w:tc>
          <w:tcPr>
            <w:tcW w:type="pct" w:w="27%"/>
            <w:tcMar>
              <w:top w:type="dxa" w:w="60"/>
              <w:left w:type="dxa" w:w="110"/>
              <w:bottom w:type="dxa" w:w="60"/>
              <w:right w:type="dxa" w:w="110"/>
            </w:tcMar>
          </w:tcPr>
          <w:p>
            <w:r>
              <w:t xml:space="preserve">Asset insurance</w:t>
            </w:r>
          </w:p>
        </w:tc>
        <w:tc>
          <w:tcPr>
            <w:tcW w:type="pct" w:w="14%"/>
            <w:tcMar>
              <w:top w:type="dxa" w:w="60"/>
              <w:left w:type="dxa" w:w="110"/>
              <w:bottom w:type="dxa" w:w="60"/>
              <w:right w:type="dxa" w:w="110"/>
            </w:tcMar>
          </w:tcPr>
          <w:p>
            <w:r>
              <w:t xml:space="preserve">Cost</w:t>
            </w:r>
          </w:p>
        </w:tc>
        <w:tc>
          <w:tcPr>
            <w:tcW w:type="pct" w:w="11%"/>
            <w:tcMar>
              <w:top w:type="dxa" w:w="60"/>
              <w:left w:type="dxa" w:w="110"/>
              <w:bottom w:type="dxa" w:w="60"/>
              <w:right w:type="dxa" w:w="110"/>
            </w:tcMar>
          </w:tcPr>
          <w:p>
            <w:r>
              <w:t xml:space="preserve">12</w:t>
            </w:r>
          </w:p>
        </w:tc>
        <w:tc>
          <w:tcPr>
            <w:tcW w:type="pct" w:w="38%"/>
            <w:tcMar>
              <w:top w:type="dxa" w:w="60"/>
              <w:left w:type="dxa" w:w="110"/>
              <w:bottom w:type="dxa" w:w="60"/>
              <w:right w:type="dxa" w:w="110"/>
            </w:tcMar>
          </w:tcPr>
          <w:p>
            <w:r>
              <w:t xml:space="preserve">Insurance</w:t>
            </w:r>
          </w:p>
        </w:tc>
      </w:tr>
      <w:tr>
        <w:tc>
          <w:tcPr>
            <w:tcW w:type="pct" w:w="10%"/>
            <w:tcMar>
              <w:top w:type="dxa" w:w="60"/>
              <w:left w:type="dxa" w:w="110"/>
              <w:bottom w:type="dxa" w:w="60"/>
              <w:right w:type="dxa" w:w="110"/>
            </w:tcMar>
          </w:tcPr>
          <w:p>
            <w:r>
              <w:t xml:space="preserve">PTAX</w:t>
            </w:r>
          </w:p>
        </w:tc>
        <w:tc>
          <w:tcPr>
            <w:tcW w:type="pct" w:w="27%"/>
            <w:tcMar>
              <w:top w:type="dxa" w:w="60"/>
              <w:left w:type="dxa" w:w="110"/>
              <w:bottom w:type="dxa" w:w="60"/>
              <w:right w:type="dxa" w:w="110"/>
            </w:tcMar>
          </w:tcPr>
          <w:p>
            <w:r>
              <w:t xml:space="preserve">Property tax</w:t>
            </w:r>
          </w:p>
        </w:tc>
        <w:tc>
          <w:tcPr>
            <w:tcW w:type="pct" w:w="14%"/>
            <w:tcMar>
              <w:top w:type="dxa" w:w="60"/>
              <w:left w:type="dxa" w:w="110"/>
              <w:bottom w:type="dxa" w:w="60"/>
              <w:right w:type="dxa" w:w="110"/>
            </w:tcMar>
          </w:tcPr>
          <w:p>
            <w:r>
              <w:t xml:space="preserve">Cost</w:t>
            </w:r>
          </w:p>
        </w:tc>
        <w:tc>
          <w:tcPr>
            <w:tcW w:type="pct" w:w="11%"/>
            <w:tcMar>
              <w:top w:type="dxa" w:w="60"/>
              <w:left w:type="dxa" w:w="110"/>
              <w:bottom w:type="dxa" w:w="60"/>
              <w:right w:type="dxa" w:w="110"/>
            </w:tcMar>
          </w:tcPr>
          <w:p>
            <w:r>
              <w:t xml:space="preserve">12</w:t>
            </w:r>
          </w:p>
        </w:tc>
        <w:tc>
          <w:tcPr>
            <w:tcW w:type="pct" w:w="38%"/>
            <w:tcMar>
              <w:top w:type="dxa" w:w="60"/>
              <w:left w:type="dxa" w:w="110"/>
              <w:bottom w:type="dxa" w:w="60"/>
              <w:right w:type="dxa" w:w="110"/>
            </w:tcMar>
          </w:tcPr>
          <w:p>
            <w:r>
              <w:t xml:space="preserve">Tax  ·  Amount Code = PTAX</w:t>
            </w:r>
          </w:p>
        </w:tc>
      </w:tr>
      <w:tr>
        <w:tc>
          <w:tcPr>
            <w:tcW w:type="pct" w:w="10%"/>
            <w:tcMar>
              <w:top w:type="dxa" w:w="60"/>
              <w:left w:type="dxa" w:w="110"/>
              <w:bottom w:type="dxa" w:w="60"/>
              <w:right w:type="dxa" w:w="110"/>
            </w:tcMar>
          </w:tcPr>
          <w:p>
            <w:r>
              <w:t xml:space="preserve">VTAX</w:t>
            </w:r>
          </w:p>
        </w:tc>
        <w:tc>
          <w:tcPr>
            <w:tcW w:type="pct" w:w="27%"/>
            <w:tcMar>
              <w:top w:type="dxa" w:w="60"/>
              <w:left w:type="dxa" w:w="110"/>
              <w:bottom w:type="dxa" w:w="60"/>
              <w:right w:type="dxa" w:w="110"/>
            </w:tcMar>
          </w:tcPr>
          <w:p>
            <w:r>
              <w:t xml:space="preserve">Vehicle tax</w:t>
            </w:r>
          </w:p>
        </w:tc>
        <w:tc>
          <w:tcPr>
            <w:tcW w:type="pct" w:w="14%"/>
            <w:tcMar>
              <w:top w:type="dxa" w:w="60"/>
              <w:left w:type="dxa" w:w="110"/>
              <w:bottom w:type="dxa" w:w="60"/>
              <w:right w:type="dxa" w:w="110"/>
            </w:tcMar>
          </w:tcPr>
          <w:p>
            <w:r>
              <w:t xml:space="preserve">Cost</w:t>
            </w:r>
          </w:p>
        </w:tc>
        <w:tc>
          <w:tcPr>
            <w:tcW w:type="pct" w:w="11%"/>
            <w:tcMar>
              <w:top w:type="dxa" w:w="60"/>
              <w:left w:type="dxa" w:w="110"/>
              <w:bottom w:type="dxa" w:w="60"/>
              <w:right w:type="dxa" w:w="110"/>
            </w:tcMar>
          </w:tcPr>
          <w:p>
            <w:r>
              <w:t xml:space="preserve">12</w:t>
            </w:r>
          </w:p>
        </w:tc>
        <w:tc>
          <w:tcPr>
            <w:tcW w:type="pct" w:w="38%"/>
            <w:tcMar>
              <w:top w:type="dxa" w:w="60"/>
              <w:left w:type="dxa" w:w="110"/>
              <w:bottom w:type="dxa" w:w="60"/>
              <w:right w:type="dxa" w:w="110"/>
            </w:tcMar>
          </w:tcPr>
          <w:p>
            <w:r>
              <w:t xml:space="preserve">Tax  ·  Amount Code = VTAX</w:t>
            </w:r>
          </w:p>
        </w:tc>
      </w:tr>
      <w:tr>
        <w:tc>
          <w:tcPr>
            <w:tcW w:type="pct" w:w="10%"/>
            <w:tcMar>
              <w:top w:type="dxa" w:w="60"/>
              <w:left w:type="dxa" w:w="110"/>
              <w:bottom w:type="dxa" w:w="60"/>
              <w:right w:type="dxa" w:w="110"/>
            </w:tcMar>
          </w:tcPr>
          <w:p>
            <w:r>
              <w:t xml:space="preserve">DPMT</w:t>
            </w:r>
          </w:p>
        </w:tc>
        <w:tc>
          <w:tcPr>
            <w:tcW w:type="pct" w:w="27%"/>
            <w:tcMar>
              <w:top w:type="dxa" w:w="60"/>
              <w:left w:type="dxa" w:w="110"/>
              <w:bottom w:type="dxa" w:w="60"/>
              <w:right w:type="dxa" w:w="110"/>
            </w:tcMar>
          </w:tcPr>
          <w:p>
            <w:r>
              <w:t xml:space="preserve">Customer down payment</w:t>
            </w:r>
          </w:p>
        </w:tc>
        <w:tc>
          <w:tcPr>
            <w:tcW w:type="pct" w:w="14%"/>
            <w:tcMar>
              <w:top w:type="dxa" w:w="60"/>
              <w:left w:type="dxa" w:w="110"/>
              <w:bottom w:type="dxa" w:w="60"/>
              <w:right w:type="dxa" w:w="110"/>
            </w:tcMar>
          </w:tcPr>
          <w:p>
            <w:r>
              <w:t xml:space="preserve">Income</w:t>
            </w:r>
          </w:p>
        </w:tc>
        <w:tc>
          <w:tcPr>
            <w:tcW w:type="pct" w:w="11%"/>
            <w:tcMar>
              <w:top w:type="dxa" w:w="60"/>
              <w:left w:type="dxa" w:w="110"/>
              <w:bottom w:type="dxa" w:w="60"/>
              <w:right w:type="dxa" w:w="110"/>
            </w:tcMar>
          </w:tcPr>
          <w:p>
            <w:r>
              <w:t xml:space="preserve">36</w:t>
            </w:r>
          </w:p>
        </w:tc>
        <w:tc>
          <w:tcPr>
            <w:tcW w:type="pct" w:w="38%"/>
            <w:tcMar>
              <w:top w:type="dxa" w:w="60"/>
              <w:left w:type="dxa" w:w="110"/>
              <w:bottom w:type="dxa" w:w="60"/>
              <w:right w:type="dxa" w:w="110"/>
            </w:tcMar>
          </w:tcPr>
          <w:p>
            <w:r>
              <w:t xml:space="preserve">Deposit</w:t>
            </w:r>
          </w:p>
        </w:tc>
      </w:tr>
    </w:tbl>
    <w:p>
      <w:pPr>
        <w:spacing w:before="120"/>
      </w:pPr>
      <w:r>
        <w:t xml:space="preserve">PTAX and VTAX share the generic </w:t>
      </w:r>
      <w:r>
        <w:rPr>
          <w:b/>
          <w:bCs/>
        </w:rPr>
        <w:t xml:space="preserve">Tax</w:t>
      </w:r>
      <w:r>
        <w:t xml:space="preserve"> amount type, so the message’s </w:t>
      </w:r>
      <w:r>
        <w:rPr>
          <w:b/>
          <w:bCs/>
        </w:rPr>
        <w:t xml:space="preserve">Amount Code</w:t>
      </w:r>
      <w:r>
        <w:t xml:space="preserve"> selects which one — see §3.1.</w:t>
      </w:r>
    </w:p>
    <w:p>
      <w:pPr>
        <w:pStyle w:val="Heading1"/>
        <w:spacing w:before="260" w:after="120"/>
      </w:pPr>
      <w:r>
        <w:rPr>
          <w:color w:val="5A2A82"/>
        </w:rPr>
        <w:t xml:space="preserve">3. How an accrual enters</w:t>
      </w:r>
    </w:p>
    <w:p>
      <w:pPr>
        <w:spacing w:after="120" w:line="276"/>
      </w:pPr>
      <w:r>
        <w:t xml:space="preserve">An accrual can be created in two ways. Both produce exactly the same item and schedule and use the same engine — they differ only in what triggers the creation.</w:t>
      </w:r>
    </w:p>
    <w:p>
      <w:pPr>
        <w:pStyle w:val="Heading2"/>
        <w:spacing w:before="260" w:after="120"/>
      </w:pPr>
      <w:r>
        <w:rPr>
          <w:color w:val="2A2A2A"/>
        </w:rPr>
        <w:t xml:space="preserve">3.1  Via a message</w:t>
      </w:r>
    </w:p>
    <w:p>
      <w:pPr>
        <w:spacing w:after="120" w:line="276"/>
      </w:pPr>
      <w:r>
        <w:t xml:space="preserve">This is the production path. Another domain (Contract) sends an </w:t>
      </w:r>
      <w:r>
        <w:rPr>
          <w:b/>
          <w:bCs/>
        </w:rPr>
        <w:t xml:space="preserve">activation message</w:t>
      </w:r>
      <w:r>
        <w:t xml:space="preserve">. Each amount on the message is one line of three columns — </w:t>
      </w:r>
      <w:r>
        <w:rPr>
          <w:b/>
          <w:bCs/>
        </w:rPr>
        <w:t xml:space="preserve">Amount type</w:t>
      </w:r>
      <w:r>
        <w:t xml:space="preserve">, </w:t>
      </w:r>
      <w:r>
        <w:rPr>
          <w:b/>
          <w:bCs/>
        </w:rPr>
        <w:t xml:space="preserve">Amount Code</w:t>
      </w:r>
      <w:r>
        <w:t xml:space="preserve"> and </w:t>
      </w:r>
      <w:r>
        <w:rPr>
          <w:b/>
          <w:bCs/>
        </w:rPr>
        <w:t xml:space="preserve">Amount</w:t>
      </w:r>
      <w:r>
        <w:t xml:space="preserve">. When the amount type is one an accrual code is configured to trigger on, the accounting domain treats that line as an accrual rather than something to book straight to the P&amp;L.</w:t>
      </w:r>
    </w:p>
    <w:p>
      <w:pPr>
        <w:spacing w:after="120" w:line="276"/>
      </w:pPr>
      <w:r>
        <w:rPr>
          <w:b/>
          <w:bCs/>
        </w:rPr>
        <w:t xml:space="preserve">The Amount Code resolves the accrual code. </w:t>
      </w:r>
      <w:r>
        <w:t xml:space="preserve">When an amount type maps to exactly one accrual code, the Amount Code can be blank — </w:t>
      </w:r>
      <w:r>
        <w:rPr>
          <w:b/>
          <w:bCs/>
        </w:rPr>
        <w:t xml:space="preserve">Insurance → INS</w:t>
      </w:r>
      <w:r>
        <w:t xml:space="preserve"> and </w:t>
      </w:r>
      <w:r>
        <w:rPr>
          <w:b/>
          <w:bCs/>
        </w:rPr>
        <w:t xml:space="preserve">Deposit → DPMT</w:t>
      </w:r>
      <w:r>
        <w:t xml:space="preserve"> need nothing more. When several codes share an amount type, the Amount Code selects one. Property tax and vehicle tax both arrive under the generic </w:t>
      </w:r>
      <w:r>
        <w:rPr>
          <w:b/>
          <w:bCs/>
        </w:rPr>
        <w:t xml:space="preserve">Tax</w:t>
      </w:r>
      <w:r>
        <w:t xml:space="preserve"> amount type, so the code is what tells them apart:</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tblGrid>
      <w:tr>
        <w:trPr>
          <w:tblHeader/>
        </w:trPr>
        <w:tc>
          <w:tcPr>
            <w:tcW w:type="pct" w:w="24%"/>
            <w:shd w:fill="EDE7F4" w:color="auto" w:val="clear"/>
            <w:tcMar>
              <w:top w:type="dxa" w:w="60"/>
              <w:left w:type="dxa" w:w="110"/>
              <w:bottom w:type="dxa" w:w="60"/>
              <w:right w:type="dxa" w:w="110"/>
            </w:tcMar>
          </w:tcPr>
          <w:p>
            <w:r>
              <w:rPr>
                <w:b/>
                <w:bCs/>
              </w:rPr>
              <w:t xml:space="preserve">Amount type</w:t>
            </w:r>
          </w:p>
        </w:tc>
        <w:tc>
          <w:tcPr>
            <w:tcW w:type="pct" w:w="18%"/>
            <w:shd w:fill="EDE7F4" w:color="auto" w:val="clear"/>
            <w:tcMar>
              <w:top w:type="dxa" w:w="60"/>
              <w:left w:type="dxa" w:w="110"/>
              <w:bottom w:type="dxa" w:w="60"/>
              <w:right w:type="dxa" w:w="110"/>
            </w:tcMar>
          </w:tcPr>
          <w:p>
            <w:r>
              <w:rPr>
                <w:b/>
                <w:bCs/>
              </w:rPr>
              <w:t xml:space="preserve">Amount Code</w:t>
            </w:r>
          </w:p>
        </w:tc>
        <w:tc>
          <w:tcPr>
            <w:tcW w:type="pct" w:w="40%"/>
            <w:shd w:fill="EDE7F4" w:color="auto" w:val="clear"/>
            <w:tcMar>
              <w:top w:type="dxa" w:w="60"/>
              <w:left w:type="dxa" w:w="110"/>
              <w:bottom w:type="dxa" w:w="60"/>
              <w:right w:type="dxa" w:w="110"/>
            </w:tcMar>
          </w:tcPr>
          <w:p>
            <w:r>
              <w:rPr>
                <w:b/>
                <w:bCs/>
              </w:rPr>
              <w:t xml:space="preserve">Resolves to</w:t>
            </w:r>
          </w:p>
        </w:tc>
        <w:tc>
          <w:tcPr>
            <w:tcW w:type="pct" w:w="18%"/>
            <w:shd w:fill="EDE7F4" w:color="auto" w:val="clear"/>
            <w:tcMar>
              <w:top w:type="dxa" w:w="60"/>
              <w:left w:type="dxa" w:w="110"/>
              <w:bottom w:type="dxa" w:w="60"/>
              <w:right w:type="dxa" w:w="110"/>
            </w:tcMar>
          </w:tcPr>
          <w:p>
            <w:r>
              <w:rPr>
                <w:b/>
                <w:bCs/>
              </w:rPr>
              <w:t xml:space="preserve">Amount</w:t>
            </w:r>
          </w:p>
        </w:tc>
      </w:tr>
      <w:tr>
        <w:tc>
          <w:tcPr>
            <w:tcW w:type="pct" w:w="24%"/>
            <w:tcMar>
              <w:top w:type="dxa" w:w="60"/>
              <w:left w:type="dxa" w:w="110"/>
              <w:bottom w:type="dxa" w:w="60"/>
              <w:right w:type="dxa" w:w="110"/>
            </w:tcMar>
          </w:tcPr>
          <w:p>
            <w:r>
              <w:t xml:space="preserve">Insurance</w:t>
            </w:r>
          </w:p>
        </w:tc>
        <w:tc>
          <w:tcPr>
            <w:tcW w:type="pct" w:w="18%"/>
            <w:tcMar>
              <w:top w:type="dxa" w:w="60"/>
              <w:left w:type="dxa" w:w="110"/>
              <w:bottom w:type="dxa" w:w="60"/>
              <w:right w:type="dxa" w:w="110"/>
            </w:tcMar>
          </w:tcPr>
          <w:p>
            <w:r>
              <w:t xml:space="preserve">(blank)</w:t>
            </w:r>
          </w:p>
        </w:tc>
        <w:tc>
          <w:tcPr>
            <w:tcW w:type="pct" w:w="40%"/>
            <w:tcMar>
              <w:top w:type="dxa" w:w="60"/>
              <w:left w:type="dxa" w:w="110"/>
              <w:bottom w:type="dxa" w:w="60"/>
              <w:right w:type="dxa" w:w="110"/>
            </w:tcMar>
          </w:tcPr>
          <w:p>
            <w:r>
              <w:t xml:space="preserve">INS — Asset insurance</w:t>
            </w:r>
          </w:p>
        </w:tc>
        <w:tc>
          <w:tcPr>
            <w:tcW w:type="pct" w:w="18%"/>
            <w:tcMar>
              <w:top w:type="dxa" w:w="60"/>
              <w:left w:type="dxa" w:w="110"/>
              <w:bottom w:type="dxa" w:w="60"/>
              <w:right w:type="dxa" w:w="110"/>
            </w:tcMar>
          </w:tcPr>
          <w:p>
            <w:r>
              <w:t xml:space="preserve">1 200.00</w:t>
            </w:r>
          </w:p>
        </w:tc>
      </w:tr>
      <w:tr>
        <w:tc>
          <w:tcPr>
            <w:tcW w:type="pct" w:w="24%"/>
            <w:tcMar>
              <w:top w:type="dxa" w:w="60"/>
              <w:left w:type="dxa" w:w="110"/>
              <w:bottom w:type="dxa" w:w="60"/>
              <w:right w:type="dxa" w:w="110"/>
            </w:tcMar>
          </w:tcPr>
          <w:p>
            <w:r>
              <w:t xml:space="preserve">Deposit</w:t>
            </w:r>
          </w:p>
        </w:tc>
        <w:tc>
          <w:tcPr>
            <w:tcW w:type="pct" w:w="18%"/>
            <w:tcMar>
              <w:top w:type="dxa" w:w="60"/>
              <w:left w:type="dxa" w:w="110"/>
              <w:bottom w:type="dxa" w:w="60"/>
              <w:right w:type="dxa" w:w="110"/>
            </w:tcMar>
          </w:tcPr>
          <w:p>
            <w:r>
              <w:t xml:space="preserve">(blank)</w:t>
            </w:r>
          </w:p>
        </w:tc>
        <w:tc>
          <w:tcPr>
            <w:tcW w:type="pct" w:w="40%"/>
            <w:tcMar>
              <w:top w:type="dxa" w:w="60"/>
              <w:left w:type="dxa" w:w="110"/>
              <w:bottom w:type="dxa" w:w="60"/>
              <w:right w:type="dxa" w:w="110"/>
            </w:tcMar>
          </w:tcPr>
          <w:p>
            <w:r>
              <w:t xml:space="preserve">DPMT — Customer down payment</w:t>
            </w:r>
          </w:p>
        </w:tc>
        <w:tc>
          <w:tcPr>
            <w:tcW w:type="pct" w:w="18%"/>
            <w:tcMar>
              <w:top w:type="dxa" w:w="60"/>
              <w:left w:type="dxa" w:w="110"/>
              <w:bottom w:type="dxa" w:w="60"/>
              <w:right w:type="dxa" w:w="110"/>
            </w:tcMar>
          </w:tcPr>
          <w:p>
            <w:r>
              <w:t xml:space="preserve">5 000.00</w:t>
            </w:r>
          </w:p>
        </w:tc>
      </w:tr>
      <w:tr>
        <w:tc>
          <w:tcPr>
            <w:tcW w:type="pct" w:w="24%"/>
            <w:tcMar>
              <w:top w:type="dxa" w:w="60"/>
              <w:left w:type="dxa" w:w="110"/>
              <w:bottom w:type="dxa" w:w="60"/>
              <w:right w:type="dxa" w:w="110"/>
            </w:tcMar>
          </w:tcPr>
          <w:p>
            <w:r>
              <w:t xml:space="preserve">Tax</w:t>
            </w:r>
          </w:p>
        </w:tc>
        <w:tc>
          <w:tcPr>
            <w:tcW w:type="pct" w:w="18%"/>
            <w:tcMar>
              <w:top w:type="dxa" w:w="60"/>
              <w:left w:type="dxa" w:w="110"/>
              <w:bottom w:type="dxa" w:w="60"/>
              <w:right w:type="dxa" w:w="110"/>
            </w:tcMar>
          </w:tcPr>
          <w:p>
            <w:r>
              <w:t xml:space="preserve">PTAX</w:t>
            </w:r>
          </w:p>
        </w:tc>
        <w:tc>
          <w:tcPr>
            <w:tcW w:type="pct" w:w="40%"/>
            <w:tcMar>
              <w:top w:type="dxa" w:w="60"/>
              <w:left w:type="dxa" w:w="110"/>
              <w:bottom w:type="dxa" w:w="60"/>
              <w:right w:type="dxa" w:w="110"/>
            </w:tcMar>
          </w:tcPr>
          <w:p>
            <w:r>
              <w:t xml:space="preserve">PTAX — Property tax</w:t>
            </w:r>
          </w:p>
        </w:tc>
        <w:tc>
          <w:tcPr>
            <w:tcW w:type="pct" w:w="18%"/>
            <w:tcMar>
              <w:top w:type="dxa" w:w="60"/>
              <w:left w:type="dxa" w:w="110"/>
              <w:bottom w:type="dxa" w:w="60"/>
              <w:right w:type="dxa" w:w="110"/>
            </w:tcMar>
          </w:tcPr>
          <w:p>
            <w:r>
              <w:t xml:space="preserve">1 200.00</w:t>
            </w:r>
          </w:p>
        </w:tc>
      </w:tr>
      <w:tr>
        <w:tc>
          <w:tcPr>
            <w:tcW w:type="pct" w:w="24%"/>
            <w:tcMar>
              <w:top w:type="dxa" w:w="60"/>
              <w:left w:type="dxa" w:w="110"/>
              <w:bottom w:type="dxa" w:w="60"/>
              <w:right w:type="dxa" w:w="110"/>
            </w:tcMar>
          </w:tcPr>
          <w:p>
            <w:r>
              <w:t xml:space="preserve">Tax</w:t>
            </w:r>
          </w:p>
        </w:tc>
        <w:tc>
          <w:tcPr>
            <w:tcW w:type="pct" w:w="18%"/>
            <w:tcMar>
              <w:top w:type="dxa" w:w="60"/>
              <w:left w:type="dxa" w:w="110"/>
              <w:bottom w:type="dxa" w:w="60"/>
              <w:right w:type="dxa" w:w="110"/>
            </w:tcMar>
          </w:tcPr>
          <w:p>
            <w:r>
              <w:t xml:space="preserve">VTAX</w:t>
            </w:r>
          </w:p>
        </w:tc>
        <w:tc>
          <w:tcPr>
            <w:tcW w:type="pct" w:w="40%"/>
            <w:tcMar>
              <w:top w:type="dxa" w:w="60"/>
              <w:left w:type="dxa" w:w="110"/>
              <w:bottom w:type="dxa" w:w="60"/>
              <w:right w:type="dxa" w:w="110"/>
            </w:tcMar>
          </w:tcPr>
          <w:p>
            <w:r>
              <w:t xml:space="preserve">VTAX — Vehicle tax</w:t>
            </w:r>
          </w:p>
        </w:tc>
        <w:tc>
          <w:tcPr>
            <w:tcW w:type="pct" w:w="18%"/>
            <w:tcMar>
              <w:top w:type="dxa" w:w="60"/>
              <w:left w:type="dxa" w:w="110"/>
              <w:bottom w:type="dxa" w:w="60"/>
              <w:right w:type="dxa" w:w="110"/>
            </w:tcMar>
          </w:tcPr>
          <w:p>
            <w:r>
              <w:t xml:space="preserve">300.00</w:t>
            </w:r>
          </w:p>
        </w:tc>
      </w:tr>
    </w:tbl>
    <w:p>
      <w:pPr>
        <w:spacing w:before="140"/>
      </w:pPr>
      <w:r>
        <w:t xml:space="preserve">So a single activation message can carry two Tax lines that become two separate accruals. When the message is posted and the journal is created:</w:t>
      </w:r>
    </w:p>
    <w:p>
      <w:pPr>
        <w:pStyle w:val="ListParagraph"/>
        <w:numPr>
          <w:ilvl w:val="0"/>
          <w:numId w:val="1"/>
        </w:numPr>
        <w:spacing w:after="60" w:line="264"/>
      </w:pPr>
      <w:r>
        <w:t xml:space="preserve">the normal activation lines are booked as usual (equipment, rent, interest, …);</w:t>
      </w:r>
    </w:p>
    <w:p>
      <w:pPr>
        <w:pStyle w:val="ListParagraph"/>
        <w:numPr>
          <w:ilvl w:val="0"/>
          <w:numId w:val="1"/>
        </w:numPr>
        <w:spacing w:after="60" w:line="264"/>
      </w:pPr>
      <w:r>
        <w:t xml:space="preserve">each accrual amount is </w:t>
      </w:r>
      <w:r>
        <w:rPr>
          <w:b/>
          <w:bCs/>
        </w:rPr>
        <w:t xml:space="preserve">deferred on the same activation journal</w:t>
      </w:r>
      <w:r>
        <w:t xml:space="preserve"> — one deferral booking per resolved code;</w:t>
      </w:r>
    </w:p>
    <w:p>
      <w:pPr>
        <w:pStyle w:val="ListParagraph"/>
        <w:numPr>
          <w:ilvl w:val="0"/>
          <w:numId w:val="1"/>
        </w:numPr>
        <w:spacing w:after="60" w:line="264"/>
      </w:pPr>
      <w:r>
        <w:t xml:space="preserve">one accrual item and its full monthly schedule are created per code, linked back to that activation journal (its source GLI).</w:t>
      </w:r>
    </w:p>
    <w:p>
      <w:pPr>
        <w:spacing w:after="160"/>
      </w:pPr>
      <w:r>
        <w:t xml:space="preserve">No P&amp;L is booked at this point. The message only books the deferral(s); the monthly cost is recognised later, at End of Month.</w:t>
      </w:r>
    </w:p>
    <w:p>
      <w:pPr>
        <w:pStyle w:val="Heading2"/>
        <w:spacing w:before="260" w:after="120"/>
      </w:pPr>
      <w:r>
        <w:rPr>
          <w:color w:val="2A2A2A"/>
        </w:rPr>
        <w:t xml:space="preserve">3.2  Created manually in the accounting domain</w:t>
      </w:r>
    </w:p>
    <w:p>
      <w:pPr>
        <w:spacing w:after="120" w:line="276"/>
      </w:pPr>
      <w:r>
        <w:t xml:space="preserve">The same accrual can be created by hand on the </w:t>
      </w:r>
      <w:r>
        <w:rPr>
          <w:b/>
          <w:bCs/>
        </w:rPr>
        <w:t xml:space="preserve">Accruals</w:t>
      </w:r>
      <w:r>
        <w:t xml:space="preserve"> page of a legal entity. You pick an accrual code, enter the agreement, the total amount and the start period, and the domain does the rest: it books the deferral journal and builds the item and schedule — identical to what the message path produces.</w:t>
      </w:r>
    </w:p>
    <w:p>
      <w:pPr>
        <w:spacing w:after="120" w:line="276"/>
      </w:pPr>
      <w:r>
        <w:t xml:space="preserve">This manual route is used for corrections, for accruals that do not arrive on a message, and for demonstrating the behaviour. Either way the result is one deferred amount on the balance sheet and a schedule waiting to be recognised.</w:t>
      </w:r>
    </w:p>
    <w:p>
      <w:pPr>
        <w:pStyle w:val="Heading1"/>
        <w:spacing w:before="260" w:after="120"/>
      </w:pPr>
      <w:r>
        <w:rPr>
          <w:color w:val="5A2A82"/>
        </w:rPr>
        <w:t xml:space="preserve">4. The recognition schedule</w:t>
      </w:r>
    </w:p>
    <w:p>
      <w:pPr>
        <w:spacing w:after="120" w:line="276"/>
      </w:pPr>
      <w:r>
        <w:t xml:space="preserve">At creation the total is spread </w:t>
      </w:r>
      <w:r>
        <w:rPr>
          <w:b/>
          <w:bCs/>
        </w:rPr>
        <w:t xml:space="preserve">straight-line</w:t>
      </w:r>
      <w:r>
        <w:t xml:space="preserve"> over the code’s number of months, starting from the start period. Each month gets an equal slice; the final month takes any rounding remainder so the plan reconciles to the total to the cent.</w:t>
      </w:r>
    </w:p>
    <w:p>
      <w:pPr>
        <w:spacing w:after="120" w:line="276"/>
      </w:pPr>
      <w:r>
        <w:rPr>
          <w:b/>
          <w:bCs/>
        </w:rPr>
        <w:t xml:space="preserve">Example — </w:t>
      </w:r>
      <w:r>
        <w:t xml:space="preserve">a €1,200 insurance premium over 12 months from period 202410 gives twelve slices of €100.00, from 202410 through 202509.</w:t>
      </w:r>
    </w:p>
    <w:p>
      <w:pPr>
        <w:pStyle w:val="Heading1"/>
        <w:spacing w:before="260" w:after="120"/>
      </w:pPr>
      <w:r>
        <w:rPr>
          <w:color w:val="5A2A82"/>
        </w:rPr>
        <w:t xml:space="preserve">5. Pick-up at End of Month</w:t>
      </w:r>
    </w:p>
    <w:p>
      <w:pPr>
        <w:spacing w:after="120" w:line="276"/>
      </w:pPr>
      <w:r>
        <w:rPr>
          <w:b/>
          <w:bCs/>
        </w:rPr>
        <w:t xml:space="preserve">Recognition happens when you run End of Month. </w:t>
      </w:r>
      <w:r>
        <w:t xml:space="preserve">End of Month is the entity’s monthly close action. When it runs for a period, the accounting domain scans every active accrual and books each slice that is </w:t>
      </w:r>
      <w:r>
        <w:rPr>
          <w:b/>
          <w:bCs/>
        </w:rPr>
        <w:t xml:space="preserve">due up to and including that period</w:t>
      </w:r>
      <w:r>
        <w:t xml:space="preserve">. Each recognised slice moves one month’s amount off the balance sheet and onto the P&amp;L.</w:t>
      </w:r>
    </w:p>
    <w:p>
      <w:pPr>
        <w:spacing w:after="120" w:line="276"/>
      </w:pPr>
      <w:r>
        <w:t xml:space="preserve">For each accrual with due slices, End of Month:</w:t>
      </w:r>
    </w:p>
    <w:p>
      <w:pPr>
        <w:pStyle w:val="ListParagraph"/>
        <w:numPr>
          <w:ilvl w:val="0"/>
          <w:numId w:val="1"/>
        </w:numPr>
        <w:spacing w:after="60" w:line="264"/>
      </w:pPr>
      <w:r>
        <w:t xml:space="preserve">books a </w:t>
      </w:r>
      <w:r>
        <w:rPr>
          <w:b/>
          <w:bCs/>
        </w:rPr>
        <w:t xml:space="preserve">Monthly Booking</w:t>
      </w:r>
      <w:r>
        <w:t xml:space="preserve"> journal (Dr P&amp;L / Cr balance for a cost accrual);</w:t>
      </w:r>
    </w:p>
    <w:p>
      <w:pPr>
        <w:pStyle w:val="ListParagraph"/>
        <w:numPr>
          <w:ilvl w:val="0"/>
          <w:numId w:val="1"/>
        </w:numPr>
        <w:spacing w:after="60" w:line="264"/>
      </w:pPr>
      <w:r>
        <w:t xml:space="preserve">marks the schedule lines as recognised and stamps them with that journal;</w:t>
      </w:r>
    </w:p>
    <w:p>
      <w:pPr>
        <w:pStyle w:val="ListParagraph"/>
        <w:numPr>
          <w:ilvl w:val="0"/>
          <w:numId w:val="1"/>
        </w:numPr>
        <w:spacing w:after="60" w:line="264"/>
      </w:pPr>
      <w:r>
        <w:t xml:space="preserve">advances the item’s accrued and remaining amounts, and closes it (Completed) once nothing remains.</w:t>
      </w:r>
    </w:p>
    <w:p>
      <w:pPr>
        <w:spacing w:after="120" w:line="276"/>
      </w:pPr>
      <w:r>
        <w:t xml:space="preserve">Because it books everything due </w:t>
      </w:r>
      <w:r>
        <w:rPr>
          <w:b/>
          <w:bCs/>
        </w:rPr>
        <w:t xml:space="preserve">up to</w:t>
      </w:r>
      <w:r>
        <w:t xml:space="preserve"> the period, End of Month also catches up any missed months automatically: if the last close was two months ago, the next run recognises both months in one journal. (The Accruals page also has a manual </w:t>
      </w:r>
      <w:r>
        <w:rPr>
          <w:b/>
          <w:bCs/>
        </w:rPr>
        <w:t xml:space="preserve">Run for period</w:t>
      </w:r>
      <w:r>
        <w:t xml:space="preserve"> button that does exactly the same thing — it is the same engine, exposed for testing.)</w:t>
      </w:r>
    </w:p>
    <w:p>
      <w:pPr>
        <w:pStyle w:val="Heading1"/>
        <w:spacing w:before="260" w:after="120"/>
      </w:pPr>
      <w:r>
        <w:rPr>
          <w:color w:val="5A2A82"/>
        </w:rPr>
        <w:t xml:space="preserve">6. The accounting entries</w:t>
      </w:r>
    </w:p>
    <w:p>
      <w:pPr>
        <w:spacing w:after="120" w:line="276"/>
      </w:pPr>
      <w:r>
        <w:t xml:space="preserve">For a cost accrual such as insurance:</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tblGrid>
      <w:tr>
        <w:trPr>
          <w:tblHeader/>
        </w:trPr>
        <w:tc>
          <w:tcPr>
            <w:tcW w:type="pct" w:w="34%"/>
            <w:shd w:fill="EDE7F4" w:color="auto" w:val="clear"/>
            <w:tcMar>
              <w:top w:type="dxa" w:w="60"/>
              <w:left w:type="dxa" w:w="110"/>
              <w:bottom w:type="dxa" w:w="60"/>
              <w:right w:type="dxa" w:w="110"/>
            </w:tcMar>
          </w:tcPr>
          <w:p>
            <w:r>
              <w:rPr>
                <w:b/>
                <w:bCs/>
              </w:rPr>
              <w:t xml:space="preserve">Step</w:t>
            </w:r>
          </w:p>
        </w:tc>
        <w:tc>
          <w:tcPr>
            <w:tcW w:type="pct" w:w="24%"/>
            <w:shd w:fill="EDE7F4" w:color="auto" w:val="clear"/>
            <w:tcMar>
              <w:top w:type="dxa" w:w="60"/>
              <w:left w:type="dxa" w:w="110"/>
              <w:bottom w:type="dxa" w:w="60"/>
              <w:right w:type="dxa" w:w="110"/>
            </w:tcMar>
          </w:tcPr>
          <w:p>
            <w:r>
              <w:rPr>
                <w:b/>
                <w:bCs/>
              </w:rPr>
              <w:t xml:space="preserve">When</w:t>
            </w:r>
          </w:p>
        </w:tc>
        <w:tc>
          <w:tcPr>
            <w:tcW w:type="pct" w:w="21%"/>
            <w:shd w:fill="EDE7F4" w:color="auto" w:val="clear"/>
            <w:tcMar>
              <w:top w:type="dxa" w:w="60"/>
              <w:left w:type="dxa" w:w="110"/>
              <w:bottom w:type="dxa" w:w="60"/>
              <w:right w:type="dxa" w:w="110"/>
            </w:tcMar>
          </w:tcPr>
          <w:p>
            <w:r>
              <w:rPr>
                <w:b/>
                <w:bCs/>
              </w:rPr>
              <w:t xml:space="preserve">Debit</w:t>
            </w:r>
          </w:p>
        </w:tc>
        <w:tc>
          <w:tcPr>
            <w:tcW w:type="pct" w:w="21%"/>
            <w:shd w:fill="EDE7F4" w:color="auto" w:val="clear"/>
            <w:tcMar>
              <w:top w:type="dxa" w:w="60"/>
              <w:left w:type="dxa" w:w="110"/>
              <w:bottom w:type="dxa" w:w="60"/>
              <w:right w:type="dxa" w:w="110"/>
            </w:tcMar>
          </w:tcPr>
          <w:p>
            <w:r>
              <w:rPr>
                <w:b/>
                <w:bCs/>
              </w:rPr>
              <w:t xml:space="preserve">Credit</w:t>
            </w:r>
          </w:p>
        </w:tc>
      </w:tr>
      <w:tr>
        <w:tc>
          <w:tcPr>
            <w:tcW w:type="pct" w:w="34%"/>
            <w:tcMar>
              <w:top w:type="dxa" w:w="60"/>
              <w:left w:type="dxa" w:w="110"/>
              <w:bottom w:type="dxa" w:w="60"/>
              <w:right w:type="dxa" w:w="110"/>
            </w:tcMar>
          </w:tcPr>
          <w:p>
            <w:r>
              <w:t xml:space="preserve">Deferral (create the accrual)</w:t>
            </w:r>
          </w:p>
        </w:tc>
        <w:tc>
          <w:tcPr>
            <w:tcW w:type="pct" w:w="24%"/>
            <w:tcMar>
              <w:top w:type="dxa" w:w="60"/>
              <w:left w:type="dxa" w:w="110"/>
              <w:bottom w:type="dxa" w:w="60"/>
              <w:right w:type="dxa" w:w="110"/>
            </w:tcMar>
          </w:tcPr>
          <w:p>
            <w:r>
              <w:t xml:space="preserve">Message activation, or manual create</w:t>
            </w:r>
          </w:p>
        </w:tc>
        <w:tc>
          <w:tcPr>
            <w:tcW w:type="pct" w:w="21%"/>
            <w:tcMar>
              <w:top w:type="dxa" w:w="60"/>
              <w:left w:type="dxa" w:w="110"/>
              <w:bottom w:type="dxa" w:w="60"/>
              <w:right w:type="dxa" w:w="110"/>
            </w:tcMar>
          </w:tcPr>
          <w:p>
            <w:r>
              <w:t xml:space="preserve">192500 — deferral (balance)</w:t>
            </w:r>
          </w:p>
        </w:tc>
        <w:tc>
          <w:tcPr>
            <w:tcW w:type="pct" w:w="21%"/>
            <w:tcMar>
              <w:top w:type="dxa" w:w="60"/>
              <w:left w:type="dxa" w:w="110"/>
              <w:bottom w:type="dxa" w:w="60"/>
              <w:right w:type="dxa" w:w="110"/>
            </w:tcMar>
          </w:tcPr>
          <w:p>
            <w:r>
              <w:t xml:space="preserve">963300 — counter</w:t>
            </w:r>
          </w:p>
        </w:tc>
      </w:tr>
      <w:tr>
        <w:tc>
          <w:tcPr>
            <w:tcW w:type="pct" w:w="34%"/>
            <w:tcMar>
              <w:top w:type="dxa" w:w="60"/>
              <w:left w:type="dxa" w:w="110"/>
              <w:bottom w:type="dxa" w:w="60"/>
              <w:right w:type="dxa" w:w="110"/>
            </w:tcMar>
          </w:tcPr>
          <w:p>
            <w:r>
              <w:t xml:space="preserve">Recognition (one per month)</w:t>
            </w:r>
          </w:p>
        </w:tc>
        <w:tc>
          <w:tcPr>
            <w:tcW w:type="pct" w:w="24%"/>
            <w:tcMar>
              <w:top w:type="dxa" w:w="60"/>
              <w:left w:type="dxa" w:w="110"/>
              <w:bottom w:type="dxa" w:w="60"/>
              <w:right w:type="dxa" w:w="110"/>
            </w:tcMar>
          </w:tcPr>
          <w:p>
            <w:r>
              <w:t xml:space="preserve">Each End of Month, for due slices</w:t>
            </w:r>
          </w:p>
        </w:tc>
        <w:tc>
          <w:tcPr>
            <w:tcW w:type="pct" w:w="21%"/>
            <w:tcMar>
              <w:top w:type="dxa" w:w="60"/>
              <w:left w:type="dxa" w:w="110"/>
              <w:bottom w:type="dxa" w:w="60"/>
              <w:right w:type="dxa" w:w="110"/>
            </w:tcMar>
          </w:tcPr>
          <w:p>
            <w:r>
              <w:t xml:space="preserve">134200 — insurance expense (P&amp;L)</w:t>
            </w:r>
          </w:p>
        </w:tc>
        <w:tc>
          <w:tcPr>
            <w:tcW w:type="pct" w:w="21%"/>
            <w:tcMar>
              <w:top w:type="dxa" w:w="60"/>
              <w:left w:type="dxa" w:w="110"/>
              <w:bottom w:type="dxa" w:w="60"/>
              <w:right w:type="dxa" w:w="110"/>
            </w:tcMar>
          </w:tcPr>
          <w:p>
            <w:r>
              <w:t xml:space="preserve">192500 — deferral (balance)</w:t>
            </w:r>
          </w:p>
        </w:tc>
      </w:tr>
    </w:tbl>
    <w:p>
      <w:pPr>
        <w:spacing w:before="140"/>
      </w:pPr>
      <w:r>
        <w:t xml:space="preserve">An </w:t>
      </w:r>
      <w:r>
        <w:rPr>
          <w:b/>
          <w:bCs/>
        </w:rPr>
        <w:t xml:space="preserve">income</w:t>
      </w:r>
      <w:r>
        <w:t xml:space="preserve"> accrual mirrors this: the total is deferred as unearned income and each month’s slice is released from the balance to a revenue account (the debit/credit sides flip). A </w:t>
      </w:r>
      <w:r>
        <w:rPr>
          <w:b/>
          <w:bCs/>
        </w:rPr>
        <w:t xml:space="preserve">down payment</w:t>
      </w:r>
      <w:r>
        <w:t xml:space="preserve"> (DPMT) is booked this way — Dr Bank / Cr Deposit liability at activation, then Dr Deposit liability / Cr the lease receivable each period as it is applied against the balance.</w:t>
      </w:r>
    </w:p>
    <w:p>
      <w:pPr>
        <w:pStyle w:val="Heading1"/>
        <w:spacing w:before="260" w:after="120"/>
      </w:pPr>
      <w:r>
        <w:rPr>
          <w:color w:val="5A2A82"/>
        </w:rPr>
        <w:t xml:space="preserve">7. Accounting dimensions on the message</w:t>
      </w:r>
    </w:p>
    <w:p>
      <w:pPr>
        <w:spacing w:after="120" w:line="276"/>
      </w:pPr>
      <w:r>
        <w:t xml:space="preserve">Every journal line carries an </w:t>
      </w:r>
      <w:r>
        <w:rPr>
          <w:b/>
          <w:bCs/>
        </w:rPr>
        <w:t xml:space="preserve">external account string</w:t>
      </w:r>
      <w:r>
        <w:t xml:space="preserve"> — the account plus the accounting dimensions (Ext. account parts) configured for the legal entity. Each dimension has a configured </w:t>
      </w:r>
      <w:r>
        <w:rPr>
          <w:b/>
          <w:bCs/>
        </w:rPr>
        <w:t xml:space="preserve">source</w:t>
      </w:r>
      <w:r>
        <w:t xml:space="preserve"> that tells the domain where to read its value from. Because the accounting domain is a product, this mapping is </w:t>
      </w:r>
      <w:r>
        <w:rPr>
          <w:b/>
          <w:bCs/>
        </w:rPr>
        <w:t xml:space="preserve">configuration</w:t>
      </w:r>
      <w:r>
        <w:t xml:space="preserve"> — the shipped setup is one reference; a different customer can reshape it. There are three sources:</w:t>
      </w:r>
    </w:p>
    <w:p>
      <w:pPr>
        <w:pStyle w:val="ListParagraph"/>
        <w:numPr>
          <w:ilvl w:val="0"/>
          <w:numId w:val="1"/>
        </w:numPr>
        <w:spacing w:after="60" w:line="264"/>
      </w:pPr>
      <w:r>
        <w:rPr>
          <w:b/>
          <w:bCs/>
        </w:rPr>
        <w:t xml:space="preserve">Pseudo account — </w:t>
      </w:r>
      <w:r>
        <w:t xml:space="preserve">the account’s own external account (the account segment of the string).</w:t>
      </w:r>
    </w:p>
    <w:p>
      <w:pPr>
        <w:pStyle w:val="ListParagraph"/>
        <w:numPr>
          <w:ilvl w:val="0"/>
          <w:numId w:val="1"/>
        </w:numPr>
        <w:spacing w:after="60" w:line="264"/>
      </w:pPr>
      <w:r>
        <w:rPr>
          <w:b/>
          <w:bCs/>
        </w:rPr>
        <w:t xml:space="preserve">Message — </w:t>
      </w:r>
      <w:r>
        <w:t xml:space="preserve">a named field on the message envelope: Company/Tenant, Organization Unit, Portfolio, Product, Agreement Number, Agreement Line, Customer identity, Supplier identity, Currency Code.</w:t>
      </w:r>
    </w:p>
    <w:p>
      <w:pPr>
        <w:pStyle w:val="ListParagraph"/>
        <w:numPr>
          <w:ilvl w:val="0"/>
          <w:numId w:val="1"/>
        </w:numPr>
        <w:spacing w:after="60" w:line="264"/>
      </w:pPr>
      <w:r>
        <w:rPr>
          <w:b/>
          <w:bCs/>
        </w:rPr>
        <w:t xml:space="preserve">AccountValues list — </w:t>
      </w:r>
      <w:r>
        <w:t xml:space="preserve">the extensible name/value list carried alongside the amount lines, for dimensions that aren’t envelope fields: Asset Number, Serial Number, Reg. Number, Cost Center, Cost Unit, Tax Code.</w:t>
      </w:r>
    </w:p>
    <w:p>
      <w:pPr>
        <w:spacing w:after="120" w:line="276"/>
      </w:pPr>
      <w:r>
        <w:t xml:space="preserve">At booking time the domain walks the entity’s configured parts in order and resolves each by its source. The sender supplies whatever values it has; the entity’s configuration decides which are actually used, so a new dimension can be added without changing the message schema.</w:t>
      </w:r>
    </w:p>
    <w:p>
      <w:pPr>
        <w:spacing w:after="120" w:line="276"/>
      </w:pPr>
      <w:r>
        <w:rPr>
          <w:b/>
          <w:bCs/>
        </w:rPr>
        <w:t xml:space="preserve">This matters for supplier invoices. </w:t>
      </w:r>
      <w:r>
        <w:t xml:space="preserve">An asset going into inventory arrives as a </w:t>
      </w:r>
      <w:r>
        <w:rPr>
          <w:b/>
          <w:bCs/>
        </w:rPr>
        <w:t xml:space="preserve">supplier invoice with no agreement or agreement line</w:t>
      </w:r>
      <w:r>
        <w:t xml:space="preserve">. It still needs dimensions — a </w:t>
      </w:r>
      <w:r>
        <w:rPr>
          <w:b/>
          <w:bCs/>
        </w:rPr>
        <w:t xml:space="preserve">Supplier identity</w:t>
      </w:r>
      <w:r>
        <w:t xml:space="preserve"> (from the message’s Supplier field) and, say, a </w:t>
      </w:r>
      <w:r>
        <w:rPr>
          <w:b/>
          <w:bCs/>
        </w:rPr>
        <w:t xml:space="preserve">Registration number</w:t>
      </w:r>
      <w:r>
        <w:t xml:space="preserve"> and </w:t>
      </w:r>
      <w:r>
        <w:rPr>
          <w:b/>
          <w:bCs/>
        </w:rPr>
        <w:t xml:space="preserve">Asset number</w:t>
      </w:r>
      <w:r>
        <w:t xml:space="preserve"> (from the AccountValues list). Because none of these depend on an agreement, the string still resolves:</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tblGrid>
      <w:tr>
        <w:trPr>
          <w:tblHeader/>
        </w:trPr>
        <w:tc>
          <w:tcPr>
            <w:tcW w:type="pct" w:w="22%"/>
            <w:shd w:fill="EDE7F4" w:color="auto" w:val="clear"/>
            <w:tcMar>
              <w:top w:type="dxa" w:w="60"/>
              <w:left w:type="dxa" w:w="110"/>
              <w:bottom w:type="dxa" w:w="60"/>
              <w:right w:type="dxa" w:w="110"/>
            </w:tcMar>
          </w:tcPr>
          <w:p>
            <w:r>
              <w:rPr>
                <w:b/>
                <w:bCs/>
              </w:rPr>
              <w:t xml:space="preserve">Booking</w:t>
            </w:r>
          </w:p>
        </w:tc>
        <w:tc>
          <w:tcPr>
            <w:tcW w:type="pct" w:w="15%"/>
            <w:shd w:fill="EDE7F4" w:color="auto" w:val="clear"/>
            <w:tcMar>
              <w:top w:type="dxa" w:w="60"/>
              <w:left w:type="dxa" w:w="110"/>
              <w:bottom w:type="dxa" w:w="60"/>
              <w:right w:type="dxa" w:w="110"/>
            </w:tcMar>
          </w:tcPr>
          <w:p>
            <w:r>
              <w:rPr>
                <w:b/>
                <w:bCs/>
              </w:rPr>
              <w:t xml:space="preserve">Agreement / line</w:t>
            </w:r>
          </w:p>
        </w:tc>
        <w:tc>
          <w:tcPr>
            <w:tcW w:type="pct" w:w="37%"/>
            <w:shd w:fill="EDE7F4" w:color="auto" w:val="clear"/>
            <w:tcMar>
              <w:top w:type="dxa" w:w="60"/>
              <w:left w:type="dxa" w:w="110"/>
              <w:bottom w:type="dxa" w:w="60"/>
              <w:right w:type="dxa" w:w="110"/>
            </w:tcMar>
          </w:tcPr>
          <w:p>
            <w:r>
              <w:rPr>
                <w:b/>
                <w:bCs/>
              </w:rPr>
              <w:t xml:space="preserve">Dimensions &amp; their source</w:t>
            </w:r>
          </w:p>
        </w:tc>
        <w:tc>
          <w:tcPr>
            <w:tcW w:type="pct" w:w="26%"/>
            <w:shd w:fill="EDE7F4" w:color="auto" w:val="clear"/>
            <w:tcMar>
              <w:top w:type="dxa" w:w="60"/>
              <w:left w:type="dxa" w:w="110"/>
              <w:bottom w:type="dxa" w:w="60"/>
              <w:right w:type="dxa" w:w="110"/>
            </w:tcMar>
          </w:tcPr>
          <w:p>
            <w:r>
              <w:rPr>
                <w:b/>
                <w:bCs/>
              </w:rPr>
              <w:t xml:space="preserve">Resulting string (example)</w:t>
            </w:r>
          </w:p>
        </w:tc>
      </w:tr>
      <w:tr>
        <w:tc>
          <w:tcPr>
            <w:tcW w:type="pct" w:w="22%"/>
            <w:tcMar>
              <w:top w:type="dxa" w:w="60"/>
              <w:left w:type="dxa" w:w="110"/>
              <w:bottom w:type="dxa" w:w="60"/>
              <w:right w:type="dxa" w:w="110"/>
            </w:tcMar>
          </w:tcPr>
          <w:p>
            <w:r>
              <w:t xml:space="preserve">Activation (leasing)</w:t>
            </w:r>
          </w:p>
        </w:tc>
        <w:tc>
          <w:tcPr>
            <w:tcW w:type="pct" w:w="15%"/>
            <w:tcMar>
              <w:top w:type="dxa" w:w="60"/>
              <w:left w:type="dxa" w:w="110"/>
              <w:bottom w:type="dxa" w:w="60"/>
              <w:right w:type="dxa" w:w="110"/>
            </w:tcMar>
          </w:tcPr>
          <w:p>
            <w:r>
              <w:t xml:space="preserve">2020 / 1</w:t>
            </w:r>
          </w:p>
        </w:tc>
        <w:tc>
          <w:tcPr>
            <w:tcW w:type="pct" w:w="37%"/>
            <w:tcMar>
              <w:top w:type="dxa" w:w="60"/>
              <w:left w:type="dxa" w:w="110"/>
              <w:bottom w:type="dxa" w:w="60"/>
              <w:right w:type="dxa" w:w="110"/>
            </w:tcMar>
          </w:tcPr>
          <w:p>
            <w:r>
              <w:t xml:space="preserve">Product + Portfolio (message), Asset Number + Reg. Number (list)</w:t>
            </w:r>
          </w:p>
        </w:tc>
        <w:tc>
          <w:tcPr>
            <w:tcW w:type="pct" w:w="26%"/>
            <w:tcMar>
              <w:top w:type="dxa" w:w="60"/>
              <w:left w:type="dxa" w:w="110"/>
              <w:bottom w:type="dxa" w:w="60"/>
              <w:right w:type="dxa" w:w="110"/>
            </w:tcMar>
          </w:tcPr>
          <w:p>
            <w:r>
              <w:t xml:space="preserve">140000 200 23 CAR-7781 ABC-123</w:t>
            </w:r>
          </w:p>
        </w:tc>
      </w:tr>
      <w:tr>
        <w:tc>
          <w:tcPr>
            <w:tcW w:type="pct" w:w="22%"/>
            <w:tcMar>
              <w:top w:type="dxa" w:w="60"/>
              <w:left w:type="dxa" w:w="110"/>
              <w:bottom w:type="dxa" w:w="60"/>
              <w:right w:type="dxa" w:w="110"/>
            </w:tcMar>
          </w:tcPr>
          <w:p>
            <w:r>
              <w:t xml:space="preserve">Supplier invoice → inventory</w:t>
            </w:r>
          </w:p>
        </w:tc>
        <w:tc>
          <w:tcPr>
            <w:tcW w:type="pct" w:w="15%"/>
            <w:tcMar>
              <w:top w:type="dxa" w:w="60"/>
              <w:left w:type="dxa" w:w="110"/>
              <w:bottom w:type="dxa" w:w="60"/>
              <w:right w:type="dxa" w:w="110"/>
            </w:tcMar>
          </w:tcPr>
          <w:p>
            <w:r>
              <w:t xml:space="preserve">(none)</w:t>
            </w:r>
          </w:p>
        </w:tc>
        <w:tc>
          <w:tcPr>
            <w:tcW w:type="pct" w:w="37%"/>
            <w:tcMar>
              <w:top w:type="dxa" w:w="60"/>
              <w:left w:type="dxa" w:w="110"/>
              <w:bottom w:type="dxa" w:w="60"/>
              <w:right w:type="dxa" w:w="110"/>
            </w:tcMar>
          </w:tcPr>
          <w:p>
            <w:r>
              <w:t xml:space="preserve">Supplier identity (message field), Reg. Number + Asset Number (list)</w:t>
            </w:r>
          </w:p>
        </w:tc>
        <w:tc>
          <w:tcPr>
            <w:tcW w:type="pct" w:w="26%"/>
            <w:tcMar>
              <w:top w:type="dxa" w:w="60"/>
              <w:left w:type="dxa" w:w="110"/>
              <w:bottom w:type="dxa" w:w="60"/>
              <w:right w:type="dxa" w:w="110"/>
            </w:tcMar>
          </w:tcPr>
          <w:p>
            <w:r>
              <w:t xml:space="preserve">140000 200 23 CAR-7781 ABC-123 SUPP0042</w:t>
            </w:r>
          </w:p>
        </w:tc>
      </w:tr>
    </w:tbl>
    <w:p>
      <w:pPr>
        <w:spacing w:before="120"/>
      </w:pPr>
      <w:r>
        <w:t xml:space="preserve">In the message workbook, list-sourced values live on a companion </w:t>
      </w:r>
      <w:r>
        <w:rPr>
          <w:b/>
          <w:bCs/>
        </w:rPr>
        <w:t xml:space="preserve">Account values</w:t>
      </w:r>
      <w:r>
        <w:t xml:space="preserve"> sheet keyed to the message; message-field values (Supplier, Customer, …) are ordinary header columns. The source mapping itself is on the </w:t>
      </w:r>
      <w:r>
        <w:rPr>
          <w:b/>
          <w:bCs/>
        </w:rPr>
        <w:t xml:space="preserve">Dimension sources</w:t>
      </w:r>
      <w:r>
        <w:t xml:space="preserve"> sheet, and is editable in the app under Settings → External account values.</w:t>
      </w:r>
    </w:p>
    <w:p>
      <w:pPr>
        <w:pStyle w:val="Heading1"/>
        <w:spacing w:before="260" w:after="120"/>
      </w:pPr>
      <w:r>
        <w:rPr>
          <w:color w:val="5A2A82"/>
        </w:rPr>
        <w:t xml:space="preserve">8. Worked example — €1,200 insurance, 12 months from 202410</w:t>
      </w:r>
    </w:p>
    <w:p>
      <w:pPr>
        <w:spacing w:after="120" w:line="276"/>
      </w:pPr>
      <w:r>
        <w:rPr>
          <w:b/>
          <w:bCs/>
        </w:rPr>
        <w:t xml:space="preserve">At activation</w:t>
      </w:r>
      <w:r>
        <w:t xml:space="preserve"> (message or manual): the whole €1,200 is deferred — Dr 192500 €1,200 / Cr 963300 €1,200. The accrual item is Active with €0 accrued and €1,200 remaining, and a 12-line schedule of €100 each is created.</w:t>
      </w:r>
    </w:p>
    <w:p>
      <w:pPr>
        <w:spacing w:after="120" w:line="276"/>
      </w:pPr>
      <w:r>
        <w:rPr>
          <w:b/>
          <w:bCs/>
        </w:rPr>
        <w:t xml:space="preserve">At each End of Month</w:t>
      </w:r>
      <w:r>
        <w:t xml:space="preserve">, the due €100 slice is recognised — Dr 134200 €100 / Cr 192500 €100:</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gridCol w:w="100"/>
      </w:tblGrid>
      <w:tr>
        <w:trPr>
          <w:tblHeader/>
        </w:trPr>
        <w:tc>
          <w:tcPr>
            <w:tcW w:type="pct" w:w="22%"/>
            <w:shd w:fill="EDE7F4" w:color="auto" w:val="clear"/>
            <w:tcMar>
              <w:top w:type="dxa" w:w="60"/>
              <w:left w:type="dxa" w:w="110"/>
              <w:bottom w:type="dxa" w:w="60"/>
              <w:right w:type="dxa" w:w="110"/>
            </w:tcMar>
          </w:tcPr>
          <w:p>
            <w:r>
              <w:rPr>
                <w:b/>
                <w:bCs/>
              </w:rPr>
              <w:t xml:space="preserve">End of Month run</w:t>
            </w:r>
          </w:p>
        </w:tc>
        <w:tc>
          <w:tcPr>
            <w:tcW w:type="pct" w:w="22%"/>
            <w:shd w:fill="EDE7F4" w:color="auto" w:val="clear"/>
            <w:tcMar>
              <w:top w:type="dxa" w:w="60"/>
              <w:left w:type="dxa" w:w="110"/>
              <w:bottom w:type="dxa" w:w="60"/>
              <w:right w:type="dxa" w:w="110"/>
            </w:tcMar>
          </w:tcPr>
          <w:p>
            <w:r>
              <w:rPr>
                <w:b/>
                <w:bCs/>
              </w:rPr>
              <w:t xml:space="preserve">Recognised in the run</w:t>
            </w:r>
          </w:p>
        </w:tc>
        <w:tc>
          <w:tcPr>
            <w:tcW w:type="pct" w:w="20%"/>
            <w:shd w:fill="EDE7F4" w:color="auto" w:val="clear"/>
            <w:tcMar>
              <w:top w:type="dxa" w:w="60"/>
              <w:left w:type="dxa" w:w="110"/>
              <w:bottom w:type="dxa" w:w="60"/>
              <w:right w:type="dxa" w:w="110"/>
            </w:tcMar>
          </w:tcPr>
          <w:p>
            <w:r>
              <w:rPr>
                <w:b/>
                <w:bCs/>
              </w:rPr>
              <w:t xml:space="preserve">Accrued so far</w:t>
            </w:r>
          </w:p>
        </w:tc>
        <w:tc>
          <w:tcPr>
            <w:tcW w:type="pct" w:w="18%"/>
            <w:shd w:fill="EDE7F4" w:color="auto" w:val="clear"/>
            <w:tcMar>
              <w:top w:type="dxa" w:w="60"/>
              <w:left w:type="dxa" w:w="110"/>
              <w:bottom w:type="dxa" w:w="60"/>
              <w:right w:type="dxa" w:w="110"/>
            </w:tcMar>
          </w:tcPr>
          <w:p>
            <w:r>
              <w:rPr>
                <w:b/>
                <w:bCs/>
              </w:rPr>
              <w:t xml:space="preserve">Remaining</w:t>
            </w:r>
          </w:p>
        </w:tc>
        <w:tc>
          <w:tcPr>
            <w:tcW w:type="pct" w:w="18%"/>
            <w:shd w:fill="EDE7F4" w:color="auto" w:val="clear"/>
            <w:tcMar>
              <w:top w:type="dxa" w:w="60"/>
              <w:left w:type="dxa" w:w="110"/>
              <w:bottom w:type="dxa" w:w="60"/>
              <w:right w:type="dxa" w:w="110"/>
            </w:tcMar>
          </w:tcPr>
          <w:p>
            <w:r>
              <w:rPr>
                <w:b/>
                <w:bCs/>
              </w:rPr>
              <w:t xml:space="preserve">Item status</w:t>
            </w:r>
          </w:p>
        </w:tc>
      </w:tr>
      <w:tr>
        <w:tc>
          <w:tcPr>
            <w:tcW w:type="pct" w:w="22%"/>
            <w:tcMar>
              <w:top w:type="dxa" w:w="60"/>
              <w:left w:type="dxa" w:w="110"/>
              <w:bottom w:type="dxa" w:w="60"/>
              <w:right w:type="dxa" w:w="110"/>
            </w:tcMar>
          </w:tcPr>
          <w:p>
            <w:r>
              <w:t xml:space="preserve">202410</w:t>
            </w:r>
          </w:p>
        </w:tc>
        <w:tc>
          <w:tcPr>
            <w:tcW w:type="pct" w:w="22%"/>
            <w:tcMar>
              <w:top w:type="dxa" w:w="60"/>
              <w:left w:type="dxa" w:w="110"/>
              <w:bottom w:type="dxa" w:w="60"/>
              <w:right w:type="dxa" w:w="110"/>
            </w:tcMar>
          </w:tcPr>
          <w:p>
            <w:r>
              <w:t xml:space="preserve">€100</w:t>
            </w:r>
          </w:p>
        </w:tc>
        <w:tc>
          <w:tcPr>
            <w:tcW w:type="pct" w:w="20%"/>
            <w:tcMar>
              <w:top w:type="dxa" w:w="60"/>
              <w:left w:type="dxa" w:w="110"/>
              <w:bottom w:type="dxa" w:w="60"/>
              <w:right w:type="dxa" w:w="110"/>
            </w:tcMar>
          </w:tcPr>
          <w:p>
            <w:r>
              <w:t xml:space="preserve">€100</w:t>
            </w:r>
          </w:p>
        </w:tc>
        <w:tc>
          <w:tcPr>
            <w:tcW w:type="pct" w:w="18%"/>
            <w:tcMar>
              <w:top w:type="dxa" w:w="60"/>
              <w:left w:type="dxa" w:w="110"/>
              <w:bottom w:type="dxa" w:w="60"/>
              <w:right w:type="dxa" w:w="110"/>
            </w:tcMar>
          </w:tcPr>
          <w:p>
            <w:r>
              <w:t xml:space="preserve">€1,100</w:t>
            </w:r>
          </w:p>
        </w:tc>
        <w:tc>
          <w:tcPr>
            <w:tcW w:type="pct" w:w="18%"/>
            <w:tcMar>
              <w:top w:type="dxa" w:w="60"/>
              <w:left w:type="dxa" w:w="110"/>
              <w:bottom w:type="dxa" w:w="60"/>
              <w:right w:type="dxa" w:w="110"/>
            </w:tcMar>
          </w:tcPr>
          <w:p>
            <w:r>
              <w:t xml:space="preserve">Active</w:t>
            </w:r>
          </w:p>
        </w:tc>
      </w:tr>
      <w:tr>
        <w:tc>
          <w:tcPr>
            <w:tcW w:type="pct" w:w="22%"/>
            <w:tcMar>
              <w:top w:type="dxa" w:w="60"/>
              <w:left w:type="dxa" w:w="110"/>
              <w:bottom w:type="dxa" w:w="60"/>
              <w:right w:type="dxa" w:w="110"/>
            </w:tcMar>
          </w:tcPr>
          <w:p>
            <w:r>
              <w:t xml:space="preserve">202411</w:t>
            </w:r>
          </w:p>
        </w:tc>
        <w:tc>
          <w:tcPr>
            <w:tcW w:type="pct" w:w="22%"/>
            <w:tcMar>
              <w:top w:type="dxa" w:w="60"/>
              <w:left w:type="dxa" w:w="110"/>
              <w:bottom w:type="dxa" w:w="60"/>
              <w:right w:type="dxa" w:w="110"/>
            </w:tcMar>
          </w:tcPr>
          <w:p>
            <w:r>
              <w:t xml:space="preserve">€100</w:t>
            </w:r>
          </w:p>
        </w:tc>
        <w:tc>
          <w:tcPr>
            <w:tcW w:type="pct" w:w="20%"/>
            <w:tcMar>
              <w:top w:type="dxa" w:w="60"/>
              <w:left w:type="dxa" w:w="110"/>
              <w:bottom w:type="dxa" w:w="60"/>
              <w:right w:type="dxa" w:w="110"/>
            </w:tcMar>
          </w:tcPr>
          <w:p>
            <w:r>
              <w:t xml:space="preserve">€200</w:t>
            </w:r>
          </w:p>
        </w:tc>
        <w:tc>
          <w:tcPr>
            <w:tcW w:type="pct" w:w="18%"/>
            <w:tcMar>
              <w:top w:type="dxa" w:w="60"/>
              <w:left w:type="dxa" w:w="110"/>
              <w:bottom w:type="dxa" w:w="60"/>
              <w:right w:type="dxa" w:w="110"/>
            </w:tcMar>
          </w:tcPr>
          <w:p>
            <w:r>
              <w:t xml:space="preserve">€1,000</w:t>
            </w:r>
          </w:p>
        </w:tc>
        <w:tc>
          <w:tcPr>
            <w:tcW w:type="pct" w:w="18%"/>
            <w:tcMar>
              <w:top w:type="dxa" w:w="60"/>
              <w:left w:type="dxa" w:w="110"/>
              <w:bottom w:type="dxa" w:w="60"/>
              <w:right w:type="dxa" w:w="110"/>
            </w:tcMar>
          </w:tcPr>
          <w:p>
            <w:r>
              <w:t xml:space="preserve">Active</w:t>
            </w:r>
          </w:p>
        </w:tc>
      </w:tr>
      <w:tr>
        <w:tc>
          <w:tcPr>
            <w:tcW w:type="pct" w:w="22%"/>
            <w:tcMar>
              <w:top w:type="dxa" w:w="60"/>
              <w:left w:type="dxa" w:w="110"/>
              <w:bottom w:type="dxa" w:w="60"/>
              <w:right w:type="dxa" w:w="110"/>
            </w:tcMar>
          </w:tcPr>
          <w:p>
            <w:r>
              <w:t xml:space="preserve">…</w:t>
            </w:r>
          </w:p>
        </w:tc>
        <w:tc>
          <w:tcPr>
            <w:tcW w:type="pct" w:w="22%"/>
            <w:tcMar>
              <w:top w:type="dxa" w:w="60"/>
              <w:left w:type="dxa" w:w="110"/>
              <w:bottom w:type="dxa" w:w="60"/>
              <w:right w:type="dxa" w:w="110"/>
            </w:tcMar>
          </w:tcPr>
          <w:p>
            <w:r>
              <w:t xml:space="preserve">…</w:t>
            </w:r>
          </w:p>
        </w:tc>
        <w:tc>
          <w:tcPr>
            <w:tcW w:type="pct" w:w="20%"/>
            <w:tcMar>
              <w:top w:type="dxa" w:w="60"/>
              <w:left w:type="dxa" w:w="110"/>
              <w:bottom w:type="dxa" w:w="60"/>
              <w:right w:type="dxa" w:w="110"/>
            </w:tcMar>
          </w:tcPr>
          <w:p>
            <w:r>
              <w:t xml:space="preserve">…</w:t>
            </w:r>
          </w:p>
        </w:tc>
        <w:tc>
          <w:tcPr>
            <w:tcW w:type="pct" w:w="18%"/>
            <w:tcMar>
              <w:top w:type="dxa" w:w="60"/>
              <w:left w:type="dxa" w:w="110"/>
              <w:bottom w:type="dxa" w:w="60"/>
              <w:right w:type="dxa" w:w="110"/>
            </w:tcMar>
          </w:tcPr>
          <w:p>
            <w:r>
              <w:t xml:space="preserve">…</w:t>
            </w:r>
          </w:p>
        </w:tc>
        <w:tc>
          <w:tcPr>
            <w:tcW w:type="pct" w:w="18%"/>
            <w:tcMar>
              <w:top w:type="dxa" w:w="60"/>
              <w:left w:type="dxa" w:w="110"/>
              <w:bottom w:type="dxa" w:w="60"/>
              <w:right w:type="dxa" w:w="110"/>
            </w:tcMar>
          </w:tcPr>
          <w:p>
            <w:r>
              <w:t xml:space="preserve">Active</w:t>
            </w:r>
          </w:p>
        </w:tc>
      </w:tr>
      <w:tr>
        <w:tc>
          <w:tcPr>
            <w:tcW w:type="pct" w:w="22%"/>
            <w:tcMar>
              <w:top w:type="dxa" w:w="60"/>
              <w:left w:type="dxa" w:w="110"/>
              <w:bottom w:type="dxa" w:w="60"/>
              <w:right w:type="dxa" w:w="110"/>
            </w:tcMar>
          </w:tcPr>
          <w:p>
            <w:r>
              <w:t xml:space="preserve">202509 (12th)</w:t>
            </w:r>
          </w:p>
        </w:tc>
        <w:tc>
          <w:tcPr>
            <w:tcW w:type="pct" w:w="22%"/>
            <w:tcMar>
              <w:top w:type="dxa" w:w="60"/>
              <w:left w:type="dxa" w:w="110"/>
              <w:bottom w:type="dxa" w:w="60"/>
              <w:right w:type="dxa" w:w="110"/>
            </w:tcMar>
          </w:tcPr>
          <w:p>
            <w:r>
              <w:t xml:space="preserve">€100</w:t>
            </w:r>
          </w:p>
        </w:tc>
        <w:tc>
          <w:tcPr>
            <w:tcW w:type="pct" w:w="20%"/>
            <w:tcMar>
              <w:top w:type="dxa" w:w="60"/>
              <w:left w:type="dxa" w:w="110"/>
              <w:bottom w:type="dxa" w:w="60"/>
              <w:right w:type="dxa" w:w="110"/>
            </w:tcMar>
          </w:tcPr>
          <w:p>
            <w:r>
              <w:t xml:space="preserve">€1,200</w:t>
            </w:r>
          </w:p>
        </w:tc>
        <w:tc>
          <w:tcPr>
            <w:tcW w:type="pct" w:w="18%"/>
            <w:tcMar>
              <w:top w:type="dxa" w:w="60"/>
              <w:left w:type="dxa" w:w="110"/>
              <w:bottom w:type="dxa" w:w="60"/>
              <w:right w:type="dxa" w:w="110"/>
            </w:tcMar>
          </w:tcPr>
          <w:p>
            <w:r>
              <w:t xml:space="preserve">€0</w:t>
            </w:r>
          </w:p>
        </w:tc>
        <w:tc>
          <w:tcPr>
            <w:tcW w:type="pct" w:w="18%"/>
            <w:tcMar>
              <w:top w:type="dxa" w:w="60"/>
              <w:left w:type="dxa" w:w="110"/>
              <w:bottom w:type="dxa" w:w="60"/>
              <w:right w:type="dxa" w:w="110"/>
            </w:tcMar>
          </w:tcPr>
          <w:p>
            <w:r>
              <w:t xml:space="preserve">Completed</w:t>
            </w:r>
          </w:p>
        </w:tc>
      </w:tr>
    </w:tbl>
    <w:p>
      <w:pPr>
        <w:spacing w:before="140"/>
      </w:pPr>
      <w:r>
        <w:t xml:space="preserve">After twelve End-of-Month runs the balance sheet deferral is back to zero, the full €1,200 has reached the P&amp;L one month at a time, and the accrual is Completed.</w:t>
      </w:r>
    </w:p>
    <w:p>
      <w:pPr>
        <w:pStyle w:val="Heading1"/>
        <w:spacing w:before="260" w:after="120"/>
      </w:pPr>
      <w:r>
        <w:rPr>
          <w:color w:val="5A2A82"/>
        </w:rPr>
        <w:t xml:space="preserve">9. In one line</w:t>
      </w:r>
    </w:p>
    <w:p>
      <w:pPr>
        <w:spacing w:after="120" w:line="276"/>
      </w:pPr>
      <w:r>
        <w:rPr>
          <w:b/>
          <w:bCs/>
        </w:rPr>
        <w:t xml:space="preserve">A message (its Amount Code choosing the accrual code, its account-values list supplying the dimensions) or a manual entry creates the accrual and defers the whole amount on the balance sheet; End of Month releases it to the P&amp;L one month at a time until it is fully recognised.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A2A2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20"/>
    </w:pPr>
    <w:rPr>
      <w:b/>
      <w:bCs/>
      <w:color w:val="5A2A82"/>
      <w:sz w:val="30"/>
      <w:szCs w:val="30"/>
    </w:rPr>
  </w:style>
  <w:style w:type="paragraph" w:styleId="Heading2">
    <w:name w:val="Heading 2"/>
    <w:basedOn w:val="Normal"/>
    <w:next w:val="Normal"/>
    <w:qFormat/>
    <w:pPr>
      <w:spacing w:before="200" w:after="100"/>
    </w:pPr>
    <w:rPr>
      <w:b/>
      <w:bCs/>
      <w:color w:val="2A2A2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ontTbl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Accruals in the Accounting Domain</dc:title>
  <dc:creator>Tieto — ProFinance5 Accounting Domain</dc:creator>
  <cp:lastModifiedBy>Un-named</cp:lastModifiedBy>
  <cp:revision>1</cp:revision>
  <dcterms:created xsi:type="dcterms:W3CDTF">2026-07-12T10:45:19.267Z</dcterms:created>
  <dcterms:modified xsi:type="dcterms:W3CDTF">2026-07-12T10:45:19.268Z</dcterms:modified>
</cp:coreProperties>
</file>

<file path=docProps/custom.xml><?xml version="1.0" encoding="utf-8"?>
<Properties xmlns="http://schemas.openxmlformats.org/officeDocument/2006/custom-properties" xmlns:vt="http://schemas.openxmlformats.org/officeDocument/2006/docPropsVTypes"/>
</file>