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4A107" w14:textId="77777777" w:rsidR="00162633" w:rsidRDefault="00FF4310">
      <w:pPr>
        <w:spacing w:after="60"/>
      </w:pPr>
      <w:r>
        <w:rPr>
          <w:b/>
          <w:bCs/>
          <w:color w:val="00395D"/>
          <w:sz w:val="30"/>
          <w:szCs w:val="30"/>
        </w:rPr>
        <w:t>tieto</w:t>
      </w:r>
      <w:r>
        <w:rPr>
          <w:color w:val="5A6472"/>
          <w:sz w:val="24"/>
          <w:szCs w:val="24"/>
        </w:rPr>
        <w:t xml:space="preserve">   |   One Credit Engine</w:t>
      </w:r>
    </w:p>
    <w:p w14:paraId="2464A108" w14:textId="77777777" w:rsidR="00162633" w:rsidRDefault="00FF4310">
      <w:pPr>
        <w:spacing w:after="40"/>
      </w:pPr>
      <w:r>
        <w:rPr>
          <w:b/>
          <w:bCs/>
          <w:sz w:val="40"/>
          <w:szCs w:val="40"/>
        </w:rPr>
        <w:t>Accounting Domain</w:t>
      </w:r>
    </w:p>
    <w:p w14:paraId="2464A109" w14:textId="77777777" w:rsidR="00162633" w:rsidRDefault="00FF4310">
      <w:pPr>
        <w:spacing w:after="200"/>
      </w:pPr>
      <w:r>
        <w:rPr>
          <w:color w:val="5A6472"/>
          <w:sz w:val="26"/>
          <w:szCs w:val="26"/>
        </w:rPr>
        <w:t>What it does — processes &amp; functionality overview</w:t>
      </w:r>
    </w:p>
    <w:p w14:paraId="2464A10A" w14:textId="77777777" w:rsidR="00162633" w:rsidRDefault="00162633">
      <w:pPr>
        <w:pBdr>
          <w:bottom w:val="single" w:sz="8" w:space="0" w:color="00395D"/>
        </w:pBdr>
        <w:spacing w:after="200"/>
      </w:pPr>
    </w:p>
    <w:p w14:paraId="2464A10B" w14:textId="77777777" w:rsidR="00162633" w:rsidRDefault="00FF4310">
      <w:pPr>
        <w:spacing w:after="100"/>
      </w:pPr>
      <w:r>
        <w:rPr>
          <w:b/>
          <w:bCs/>
          <w:sz w:val="24"/>
          <w:szCs w:val="24"/>
        </w:rPr>
        <w:t>Contents</w:t>
      </w:r>
    </w:p>
    <w:sdt>
      <w:sdtPr>
        <w:alias w:val="Contents"/>
        <w:id w:val="-161708542"/>
      </w:sdtPr>
      <w:sdtEndPr/>
      <w:sdtContent>
        <w:p w14:paraId="43D6CF4D" w14:textId="09BDE419" w:rsidR="00C454EC" w:rsidRDefault="00FF4310">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8663645" w:history="1">
            <w:r w:rsidR="00C454EC" w:rsidRPr="00017E1F">
              <w:rPr>
                <w:rStyle w:val="Hyperlink"/>
                <w:noProof/>
              </w:rPr>
              <w:t>1. What the application is</w:t>
            </w:r>
            <w:r w:rsidR="00C454EC">
              <w:rPr>
                <w:noProof/>
              </w:rPr>
              <w:tab/>
            </w:r>
            <w:r w:rsidR="00C454EC">
              <w:rPr>
                <w:noProof/>
              </w:rPr>
              <w:fldChar w:fldCharType="begin"/>
            </w:r>
            <w:r w:rsidR="00C454EC">
              <w:rPr>
                <w:noProof/>
              </w:rPr>
              <w:instrText xml:space="preserve"> PAGEREF _Toc238663645 \h </w:instrText>
            </w:r>
            <w:r w:rsidR="00C454EC">
              <w:rPr>
                <w:noProof/>
              </w:rPr>
            </w:r>
            <w:r w:rsidR="00C454EC">
              <w:rPr>
                <w:noProof/>
              </w:rPr>
              <w:fldChar w:fldCharType="separate"/>
            </w:r>
            <w:r w:rsidR="00C454EC">
              <w:rPr>
                <w:noProof/>
              </w:rPr>
              <w:t>2</w:t>
            </w:r>
            <w:r w:rsidR="00C454EC">
              <w:rPr>
                <w:noProof/>
              </w:rPr>
              <w:fldChar w:fldCharType="end"/>
            </w:r>
          </w:hyperlink>
        </w:p>
        <w:p w14:paraId="22DBA221" w14:textId="557C21B9" w:rsidR="00C454EC" w:rsidRDefault="00C454EC">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8663646" w:history="1">
            <w:r w:rsidRPr="00017E1F">
              <w:rPr>
                <w:rStyle w:val="Hyperlink"/>
                <w:noProof/>
              </w:rPr>
              <w:t>2. The building blocks (configuration)</w:t>
            </w:r>
            <w:r>
              <w:rPr>
                <w:noProof/>
              </w:rPr>
              <w:tab/>
            </w:r>
            <w:r>
              <w:rPr>
                <w:noProof/>
              </w:rPr>
              <w:fldChar w:fldCharType="begin"/>
            </w:r>
            <w:r>
              <w:rPr>
                <w:noProof/>
              </w:rPr>
              <w:instrText xml:space="preserve"> PAGEREF _Toc238663646 \h </w:instrText>
            </w:r>
            <w:r>
              <w:rPr>
                <w:noProof/>
              </w:rPr>
            </w:r>
            <w:r>
              <w:rPr>
                <w:noProof/>
              </w:rPr>
              <w:fldChar w:fldCharType="separate"/>
            </w:r>
            <w:r>
              <w:rPr>
                <w:noProof/>
              </w:rPr>
              <w:t>2</w:t>
            </w:r>
            <w:r>
              <w:rPr>
                <w:noProof/>
              </w:rPr>
              <w:fldChar w:fldCharType="end"/>
            </w:r>
          </w:hyperlink>
        </w:p>
        <w:p w14:paraId="5EE787B4" w14:textId="610C270C" w:rsidR="00C454EC" w:rsidRDefault="00C454EC">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8663647" w:history="1">
            <w:r w:rsidRPr="00017E1F">
              <w:rPr>
                <w:rStyle w:val="Hyperlink"/>
                <w:noProof/>
              </w:rPr>
              <w:t>3. The booking engine — message to journal</w:t>
            </w:r>
            <w:r>
              <w:rPr>
                <w:noProof/>
              </w:rPr>
              <w:tab/>
            </w:r>
            <w:r>
              <w:rPr>
                <w:noProof/>
              </w:rPr>
              <w:fldChar w:fldCharType="begin"/>
            </w:r>
            <w:r>
              <w:rPr>
                <w:noProof/>
              </w:rPr>
              <w:instrText xml:space="preserve"> PAGEREF _Toc238663647 \h </w:instrText>
            </w:r>
            <w:r>
              <w:rPr>
                <w:noProof/>
              </w:rPr>
            </w:r>
            <w:r>
              <w:rPr>
                <w:noProof/>
              </w:rPr>
              <w:fldChar w:fldCharType="separate"/>
            </w:r>
            <w:r>
              <w:rPr>
                <w:noProof/>
              </w:rPr>
              <w:t>2</w:t>
            </w:r>
            <w:r>
              <w:rPr>
                <w:noProof/>
              </w:rPr>
              <w:fldChar w:fldCharType="end"/>
            </w:r>
          </w:hyperlink>
        </w:p>
        <w:p w14:paraId="734DFBAC" w14:textId="617456C8" w:rsidR="00C454EC" w:rsidRDefault="00C454EC">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8663648" w:history="1">
            <w:r w:rsidRPr="00017E1F">
              <w:rPr>
                <w:rStyle w:val="Hyperlink"/>
                <w:noProof/>
              </w:rPr>
              <w:t>4. Business processes (the agreement lifecycle)</w:t>
            </w:r>
            <w:r>
              <w:rPr>
                <w:noProof/>
              </w:rPr>
              <w:tab/>
            </w:r>
            <w:r>
              <w:rPr>
                <w:noProof/>
              </w:rPr>
              <w:fldChar w:fldCharType="begin"/>
            </w:r>
            <w:r>
              <w:rPr>
                <w:noProof/>
              </w:rPr>
              <w:instrText xml:space="preserve"> PAGEREF _Toc238663648 \h </w:instrText>
            </w:r>
            <w:r>
              <w:rPr>
                <w:noProof/>
              </w:rPr>
            </w:r>
            <w:r>
              <w:rPr>
                <w:noProof/>
              </w:rPr>
              <w:fldChar w:fldCharType="separate"/>
            </w:r>
            <w:r>
              <w:rPr>
                <w:noProof/>
              </w:rPr>
              <w:t>4</w:t>
            </w:r>
            <w:r>
              <w:rPr>
                <w:noProof/>
              </w:rPr>
              <w:fldChar w:fldCharType="end"/>
            </w:r>
          </w:hyperlink>
        </w:p>
        <w:p w14:paraId="11BCFC49" w14:textId="6A923D0F" w:rsidR="00C454EC" w:rsidRDefault="00C454EC">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8663649" w:history="1">
            <w:r w:rsidRPr="00017E1F">
              <w:rPr>
                <w:rStyle w:val="Hyperlink"/>
                <w:noProof/>
              </w:rPr>
              <w:t>4.1 Activation &amp; the recognition plan</w:t>
            </w:r>
            <w:r>
              <w:rPr>
                <w:noProof/>
              </w:rPr>
              <w:tab/>
            </w:r>
            <w:r>
              <w:rPr>
                <w:noProof/>
              </w:rPr>
              <w:fldChar w:fldCharType="begin"/>
            </w:r>
            <w:r>
              <w:rPr>
                <w:noProof/>
              </w:rPr>
              <w:instrText xml:space="preserve"> PAGEREF _Toc238663649 \h </w:instrText>
            </w:r>
            <w:r>
              <w:rPr>
                <w:noProof/>
              </w:rPr>
            </w:r>
            <w:r>
              <w:rPr>
                <w:noProof/>
              </w:rPr>
              <w:fldChar w:fldCharType="separate"/>
            </w:r>
            <w:r>
              <w:rPr>
                <w:noProof/>
              </w:rPr>
              <w:t>4</w:t>
            </w:r>
            <w:r>
              <w:rPr>
                <w:noProof/>
              </w:rPr>
              <w:fldChar w:fldCharType="end"/>
            </w:r>
          </w:hyperlink>
        </w:p>
        <w:p w14:paraId="1A27274E" w14:textId="58DC2C3D" w:rsidR="00C454EC" w:rsidRDefault="00C454EC">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8663650" w:history="1">
            <w:r w:rsidRPr="00017E1F">
              <w:rPr>
                <w:rStyle w:val="Hyperlink"/>
                <w:noProof/>
              </w:rPr>
              <w:t>4.2 Invoicing</w:t>
            </w:r>
            <w:r>
              <w:rPr>
                <w:noProof/>
              </w:rPr>
              <w:tab/>
            </w:r>
            <w:r>
              <w:rPr>
                <w:noProof/>
              </w:rPr>
              <w:fldChar w:fldCharType="begin"/>
            </w:r>
            <w:r>
              <w:rPr>
                <w:noProof/>
              </w:rPr>
              <w:instrText xml:space="preserve"> PAGEREF _Toc238663650 \h </w:instrText>
            </w:r>
            <w:r>
              <w:rPr>
                <w:noProof/>
              </w:rPr>
            </w:r>
            <w:r>
              <w:rPr>
                <w:noProof/>
              </w:rPr>
              <w:fldChar w:fldCharType="separate"/>
            </w:r>
            <w:r>
              <w:rPr>
                <w:noProof/>
              </w:rPr>
              <w:t>4</w:t>
            </w:r>
            <w:r>
              <w:rPr>
                <w:noProof/>
              </w:rPr>
              <w:fldChar w:fldCharType="end"/>
            </w:r>
          </w:hyperlink>
        </w:p>
        <w:p w14:paraId="6B1BAA4F" w14:textId="5A5AEC35" w:rsidR="00C454EC" w:rsidRDefault="00C454EC">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8663651" w:history="1">
            <w:r w:rsidRPr="00017E1F">
              <w:rPr>
                <w:rStyle w:val="Hyperlink"/>
                <w:noProof/>
              </w:rPr>
              <w:t>4.3 Payments &amp; Undo Payment (optimistic settlement)</w:t>
            </w:r>
            <w:r>
              <w:rPr>
                <w:noProof/>
              </w:rPr>
              <w:tab/>
            </w:r>
            <w:r>
              <w:rPr>
                <w:noProof/>
              </w:rPr>
              <w:fldChar w:fldCharType="begin"/>
            </w:r>
            <w:r>
              <w:rPr>
                <w:noProof/>
              </w:rPr>
              <w:instrText xml:space="preserve"> PAGEREF _Toc238663651 \h </w:instrText>
            </w:r>
            <w:r>
              <w:rPr>
                <w:noProof/>
              </w:rPr>
            </w:r>
            <w:r>
              <w:rPr>
                <w:noProof/>
              </w:rPr>
              <w:fldChar w:fldCharType="separate"/>
            </w:r>
            <w:r>
              <w:rPr>
                <w:noProof/>
              </w:rPr>
              <w:t>4</w:t>
            </w:r>
            <w:r>
              <w:rPr>
                <w:noProof/>
              </w:rPr>
              <w:fldChar w:fldCharType="end"/>
            </w:r>
          </w:hyperlink>
        </w:p>
        <w:p w14:paraId="1F6183C6" w14:textId="2DD27038" w:rsidR="00C454EC" w:rsidRDefault="00C454EC">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8663652" w:history="1">
            <w:r w:rsidRPr="00017E1F">
              <w:rPr>
                <w:rStyle w:val="Hyperlink"/>
                <w:noProof/>
              </w:rPr>
              <w:t>4.4 Agreement Change</w:t>
            </w:r>
            <w:r>
              <w:rPr>
                <w:noProof/>
              </w:rPr>
              <w:tab/>
            </w:r>
            <w:r>
              <w:rPr>
                <w:noProof/>
              </w:rPr>
              <w:fldChar w:fldCharType="begin"/>
            </w:r>
            <w:r>
              <w:rPr>
                <w:noProof/>
              </w:rPr>
              <w:instrText xml:space="preserve"> PAGEREF _Toc238663652 \h </w:instrText>
            </w:r>
            <w:r>
              <w:rPr>
                <w:noProof/>
              </w:rPr>
            </w:r>
            <w:r>
              <w:rPr>
                <w:noProof/>
              </w:rPr>
              <w:fldChar w:fldCharType="separate"/>
            </w:r>
            <w:r>
              <w:rPr>
                <w:noProof/>
              </w:rPr>
              <w:t>4</w:t>
            </w:r>
            <w:r>
              <w:rPr>
                <w:noProof/>
              </w:rPr>
              <w:fldChar w:fldCharType="end"/>
            </w:r>
          </w:hyperlink>
        </w:p>
        <w:p w14:paraId="7B090C22" w14:textId="7E28E6EB" w:rsidR="00C454EC" w:rsidRDefault="00C454EC">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8663653" w:history="1">
            <w:r w:rsidRPr="00017E1F">
              <w:rPr>
                <w:rStyle w:val="Hyperlink"/>
                <w:noProof/>
              </w:rPr>
              <w:t>4.5 Monthly Booking — revenue recognition</w:t>
            </w:r>
            <w:r>
              <w:rPr>
                <w:noProof/>
              </w:rPr>
              <w:tab/>
            </w:r>
            <w:r>
              <w:rPr>
                <w:noProof/>
              </w:rPr>
              <w:fldChar w:fldCharType="begin"/>
            </w:r>
            <w:r>
              <w:rPr>
                <w:noProof/>
              </w:rPr>
              <w:instrText xml:space="preserve"> PAGEREF _Toc238663653 \h </w:instrText>
            </w:r>
            <w:r>
              <w:rPr>
                <w:noProof/>
              </w:rPr>
            </w:r>
            <w:r>
              <w:rPr>
                <w:noProof/>
              </w:rPr>
              <w:fldChar w:fldCharType="separate"/>
            </w:r>
            <w:r>
              <w:rPr>
                <w:noProof/>
              </w:rPr>
              <w:t>4</w:t>
            </w:r>
            <w:r>
              <w:rPr>
                <w:noProof/>
              </w:rPr>
              <w:fldChar w:fldCharType="end"/>
            </w:r>
          </w:hyperlink>
        </w:p>
        <w:p w14:paraId="25235FF3" w14:textId="7C4B7AB3" w:rsidR="00C454EC" w:rsidRDefault="00C454EC">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8663654" w:history="1">
            <w:r w:rsidRPr="00017E1F">
              <w:rPr>
                <w:rStyle w:val="Hyperlink"/>
                <w:noProof/>
              </w:rPr>
              <w:t>4.6 Accruals</w:t>
            </w:r>
            <w:r>
              <w:rPr>
                <w:noProof/>
              </w:rPr>
              <w:tab/>
            </w:r>
            <w:r>
              <w:rPr>
                <w:noProof/>
              </w:rPr>
              <w:fldChar w:fldCharType="begin"/>
            </w:r>
            <w:r>
              <w:rPr>
                <w:noProof/>
              </w:rPr>
              <w:instrText xml:space="preserve"> PAGEREF _Toc238663654 \h </w:instrText>
            </w:r>
            <w:r>
              <w:rPr>
                <w:noProof/>
              </w:rPr>
            </w:r>
            <w:r>
              <w:rPr>
                <w:noProof/>
              </w:rPr>
              <w:fldChar w:fldCharType="separate"/>
            </w:r>
            <w:r>
              <w:rPr>
                <w:noProof/>
              </w:rPr>
              <w:t>4</w:t>
            </w:r>
            <w:r>
              <w:rPr>
                <w:noProof/>
              </w:rPr>
              <w:fldChar w:fldCharType="end"/>
            </w:r>
          </w:hyperlink>
        </w:p>
        <w:p w14:paraId="5924C0D2" w14:textId="37BE567D" w:rsidR="00C454EC" w:rsidRDefault="00C454EC">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8663655" w:history="1">
            <w:r w:rsidRPr="00017E1F">
              <w:rPr>
                <w:rStyle w:val="Hyperlink"/>
                <w:noProof/>
              </w:rPr>
              <w:t>4.7 Termination, settlement &amp; revaluation</w:t>
            </w:r>
            <w:r>
              <w:rPr>
                <w:noProof/>
              </w:rPr>
              <w:tab/>
            </w:r>
            <w:r>
              <w:rPr>
                <w:noProof/>
              </w:rPr>
              <w:fldChar w:fldCharType="begin"/>
            </w:r>
            <w:r>
              <w:rPr>
                <w:noProof/>
              </w:rPr>
              <w:instrText xml:space="preserve"> PAGEREF _Toc238663655 \h </w:instrText>
            </w:r>
            <w:r>
              <w:rPr>
                <w:noProof/>
              </w:rPr>
            </w:r>
            <w:r>
              <w:rPr>
                <w:noProof/>
              </w:rPr>
              <w:fldChar w:fldCharType="separate"/>
            </w:r>
            <w:r>
              <w:rPr>
                <w:noProof/>
              </w:rPr>
              <w:t>4</w:t>
            </w:r>
            <w:r>
              <w:rPr>
                <w:noProof/>
              </w:rPr>
              <w:fldChar w:fldCharType="end"/>
            </w:r>
          </w:hyperlink>
        </w:p>
        <w:p w14:paraId="7206266E" w14:textId="15D17BA3" w:rsidR="00C454EC" w:rsidRDefault="00C454EC">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8663656" w:history="1">
            <w:r w:rsidRPr="00017E1F">
              <w:rPr>
                <w:rStyle w:val="Hyperlink"/>
                <w:noProof/>
              </w:rPr>
              <w:t>4.8 GL export &amp; reversals</w:t>
            </w:r>
            <w:r>
              <w:rPr>
                <w:noProof/>
              </w:rPr>
              <w:tab/>
            </w:r>
            <w:r>
              <w:rPr>
                <w:noProof/>
              </w:rPr>
              <w:fldChar w:fldCharType="begin"/>
            </w:r>
            <w:r>
              <w:rPr>
                <w:noProof/>
              </w:rPr>
              <w:instrText xml:space="preserve"> PAGEREF _Toc238663656 \h </w:instrText>
            </w:r>
            <w:r>
              <w:rPr>
                <w:noProof/>
              </w:rPr>
            </w:r>
            <w:r>
              <w:rPr>
                <w:noProof/>
              </w:rPr>
              <w:fldChar w:fldCharType="separate"/>
            </w:r>
            <w:r>
              <w:rPr>
                <w:noProof/>
              </w:rPr>
              <w:t>4</w:t>
            </w:r>
            <w:r>
              <w:rPr>
                <w:noProof/>
              </w:rPr>
              <w:fldChar w:fldCharType="end"/>
            </w:r>
          </w:hyperlink>
        </w:p>
        <w:p w14:paraId="70FD4A9C" w14:textId="0A617752" w:rsidR="00C454EC" w:rsidRDefault="00C454EC">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8663657" w:history="1">
            <w:r w:rsidRPr="00017E1F">
              <w:rPr>
                <w:rStyle w:val="Hyperlink"/>
                <w:noProof/>
              </w:rPr>
              <w:t>5. The application — screens &amp; functionality</w:t>
            </w:r>
            <w:r>
              <w:rPr>
                <w:noProof/>
              </w:rPr>
              <w:tab/>
            </w:r>
            <w:r>
              <w:rPr>
                <w:noProof/>
              </w:rPr>
              <w:fldChar w:fldCharType="begin"/>
            </w:r>
            <w:r>
              <w:rPr>
                <w:noProof/>
              </w:rPr>
              <w:instrText xml:space="preserve"> PAGEREF _Toc238663657 \h </w:instrText>
            </w:r>
            <w:r>
              <w:rPr>
                <w:noProof/>
              </w:rPr>
            </w:r>
            <w:r>
              <w:rPr>
                <w:noProof/>
              </w:rPr>
              <w:fldChar w:fldCharType="separate"/>
            </w:r>
            <w:r>
              <w:rPr>
                <w:noProof/>
              </w:rPr>
              <w:t>6</w:t>
            </w:r>
            <w:r>
              <w:rPr>
                <w:noProof/>
              </w:rPr>
              <w:fldChar w:fldCharType="end"/>
            </w:r>
          </w:hyperlink>
        </w:p>
        <w:p w14:paraId="40243E3B" w14:textId="0B2630E2" w:rsidR="00C454EC" w:rsidRDefault="00C454EC">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8663658" w:history="1">
            <w:r w:rsidRPr="00017E1F">
              <w:rPr>
                <w:rStyle w:val="Hyperlink"/>
                <w:noProof/>
              </w:rPr>
              <w:t>5.1 Dashboard (accounting cockpit)</w:t>
            </w:r>
            <w:r>
              <w:rPr>
                <w:noProof/>
              </w:rPr>
              <w:tab/>
            </w:r>
            <w:r>
              <w:rPr>
                <w:noProof/>
              </w:rPr>
              <w:fldChar w:fldCharType="begin"/>
            </w:r>
            <w:r>
              <w:rPr>
                <w:noProof/>
              </w:rPr>
              <w:instrText xml:space="preserve"> PAGEREF _Toc238663658 \h </w:instrText>
            </w:r>
            <w:r>
              <w:rPr>
                <w:noProof/>
              </w:rPr>
            </w:r>
            <w:r>
              <w:rPr>
                <w:noProof/>
              </w:rPr>
              <w:fldChar w:fldCharType="separate"/>
            </w:r>
            <w:r>
              <w:rPr>
                <w:noProof/>
              </w:rPr>
              <w:t>6</w:t>
            </w:r>
            <w:r>
              <w:rPr>
                <w:noProof/>
              </w:rPr>
              <w:fldChar w:fldCharType="end"/>
            </w:r>
          </w:hyperlink>
        </w:p>
        <w:p w14:paraId="49742524" w14:textId="2527F1A6" w:rsidR="00C454EC" w:rsidRDefault="00C454EC">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8663659" w:history="1">
            <w:r w:rsidRPr="00017E1F">
              <w:rPr>
                <w:rStyle w:val="Hyperlink"/>
                <w:noProof/>
              </w:rPr>
              <w:t>5.2 Legal-entity workspace</w:t>
            </w:r>
            <w:r>
              <w:rPr>
                <w:noProof/>
              </w:rPr>
              <w:tab/>
            </w:r>
            <w:r>
              <w:rPr>
                <w:noProof/>
              </w:rPr>
              <w:fldChar w:fldCharType="begin"/>
            </w:r>
            <w:r>
              <w:rPr>
                <w:noProof/>
              </w:rPr>
              <w:instrText xml:space="preserve"> PAGEREF _Toc238663659 \h </w:instrText>
            </w:r>
            <w:r>
              <w:rPr>
                <w:noProof/>
              </w:rPr>
            </w:r>
            <w:r>
              <w:rPr>
                <w:noProof/>
              </w:rPr>
              <w:fldChar w:fldCharType="separate"/>
            </w:r>
            <w:r>
              <w:rPr>
                <w:noProof/>
              </w:rPr>
              <w:t>6</w:t>
            </w:r>
            <w:r>
              <w:rPr>
                <w:noProof/>
              </w:rPr>
              <w:fldChar w:fldCharType="end"/>
            </w:r>
          </w:hyperlink>
        </w:p>
        <w:p w14:paraId="07C1A967" w14:textId="0767823E" w:rsidR="00C454EC" w:rsidRDefault="00C454EC">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8663660" w:history="1">
            <w:r w:rsidRPr="00017E1F">
              <w:rPr>
                <w:rStyle w:val="Hyperlink"/>
                <w:noProof/>
              </w:rPr>
              <w:t>5.3 Journals</w:t>
            </w:r>
            <w:r>
              <w:rPr>
                <w:noProof/>
              </w:rPr>
              <w:tab/>
            </w:r>
            <w:r>
              <w:rPr>
                <w:noProof/>
              </w:rPr>
              <w:fldChar w:fldCharType="begin"/>
            </w:r>
            <w:r>
              <w:rPr>
                <w:noProof/>
              </w:rPr>
              <w:instrText xml:space="preserve"> PAGEREF _Toc238663660 \h </w:instrText>
            </w:r>
            <w:r>
              <w:rPr>
                <w:noProof/>
              </w:rPr>
            </w:r>
            <w:r>
              <w:rPr>
                <w:noProof/>
              </w:rPr>
              <w:fldChar w:fldCharType="separate"/>
            </w:r>
            <w:r>
              <w:rPr>
                <w:noProof/>
              </w:rPr>
              <w:t>6</w:t>
            </w:r>
            <w:r>
              <w:rPr>
                <w:noProof/>
              </w:rPr>
              <w:fldChar w:fldCharType="end"/>
            </w:r>
          </w:hyperlink>
        </w:p>
        <w:p w14:paraId="2B8C874C" w14:textId="6D313E5D" w:rsidR="00C454EC" w:rsidRDefault="00C454EC">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8663661" w:history="1">
            <w:r w:rsidRPr="00017E1F">
              <w:rPr>
                <w:rStyle w:val="Hyperlink"/>
                <w:noProof/>
              </w:rPr>
              <w:t>5.4 Settings &amp; Reports</w:t>
            </w:r>
            <w:r>
              <w:rPr>
                <w:noProof/>
              </w:rPr>
              <w:tab/>
            </w:r>
            <w:r>
              <w:rPr>
                <w:noProof/>
              </w:rPr>
              <w:fldChar w:fldCharType="begin"/>
            </w:r>
            <w:r>
              <w:rPr>
                <w:noProof/>
              </w:rPr>
              <w:instrText xml:space="preserve"> PAGEREF _Toc238663661 \h </w:instrText>
            </w:r>
            <w:r>
              <w:rPr>
                <w:noProof/>
              </w:rPr>
            </w:r>
            <w:r>
              <w:rPr>
                <w:noProof/>
              </w:rPr>
              <w:fldChar w:fldCharType="separate"/>
            </w:r>
            <w:r>
              <w:rPr>
                <w:noProof/>
              </w:rPr>
              <w:t>6</w:t>
            </w:r>
            <w:r>
              <w:rPr>
                <w:noProof/>
              </w:rPr>
              <w:fldChar w:fldCharType="end"/>
            </w:r>
          </w:hyperlink>
        </w:p>
        <w:p w14:paraId="492F2EE6" w14:textId="4728333B" w:rsidR="00C454EC" w:rsidRDefault="00C454EC">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8663662" w:history="1">
            <w:r w:rsidRPr="00017E1F">
              <w:rPr>
                <w:rStyle w:val="Hyperlink"/>
                <w:noProof/>
              </w:rPr>
              <w:t>6. Integration &amp; message contract</w:t>
            </w:r>
            <w:r>
              <w:rPr>
                <w:noProof/>
              </w:rPr>
              <w:tab/>
            </w:r>
            <w:r>
              <w:rPr>
                <w:noProof/>
              </w:rPr>
              <w:fldChar w:fldCharType="begin"/>
            </w:r>
            <w:r>
              <w:rPr>
                <w:noProof/>
              </w:rPr>
              <w:instrText xml:space="preserve"> PAGEREF _Toc238663662 \h </w:instrText>
            </w:r>
            <w:r>
              <w:rPr>
                <w:noProof/>
              </w:rPr>
            </w:r>
            <w:r>
              <w:rPr>
                <w:noProof/>
              </w:rPr>
              <w:fldChar w:fldCharType="separate"/>
            </w:r>
            <w:r>
              <w:rPr>
                <w:noProof/>
              </w:rPr>
              <w:t>6</w:t>
            </w:r>
            <w:r>
              <w:rPr>
                <w:noProof/>
              </w:rPr>
              <w:fldChar w:fldCharType="end"/>
            </w:r>
          </w:hyperlink>
        </w:p>
        <w:p w14:paraId="3227018D" w14:textId="465865DD" w:rsidR="00C454EC" w:rsidRDefault="00C454EC">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8663663" w:history="1">
            <w:r w:rsidRPr="00017E1F">
              <w:rPr>
                <w:rStyle w:val="Hyperlink"/>
                <w:noProof/>
              </w:rPr>
              <w:t>7. About this build (prototype notes)</w:t>
            </w:r>
            <w:r>
              <w:rPr>
                <w:noProof/>
              </w:rPr>
              <w:tab/>
            </w:r>
            <w:r>
              <w:rPr>
                <w:noProof/>
              </w:rPr>
              <w:fldChar w:fldCharType="begin"/>
            </w:r>
            <w:r>
              <w:rPr>
                <w:noProof/>
              </w:rPr>
              <w:instrText xml:space="preserve"> PAGEREF _Toc238663663 \h </w:instrText>
            </w:r>
            <w:r>
              <w:rPr>
                <w:noProof/>
              </w:rPr>
            </w:r>
            <w:r>
              <w:rPr>
                <w:noProof/>
              </w:rPr>
              <w:fldChar w:fldCharType="separate"/>
            </w:r>
            <w:r>
              <w:rPr>
                <w:noProof/>
              </w:rPr>
              <w:t>7</w:t>
            </w:r>
            <w:r>
              <w:rPr>
                <w:noProof/>
              </w:rPr>
              <w:fldChar w:fldCharType="end"/>
            </w:r>
          </w:hyperlink>
        </w:p>
        <w:p w14:paraId="2464A10D" w14:textId="1D734974" w:rsidR="00162633" w:rsidRDefault="00FF4310">
          <w:r>
            <w:fldChar w:fldCharType="end"/>
          </w:r>
        </w:p>
      </w:sdtContent>
    </w:sdt>
    <w:p w14:paraId="2464A10E" w14:textId="77777777" w:rsidR="00162633" w:rsidRDefault="00FF4310">
      <w:r>
        <w:br w:type="page"/>
      </w:r>
    </w:p>
    <w:p w14:paraId="2464A10F" w14:textId="77777777" w:rsidR="00162633" w:rsidRDefault="00FF4310">
      <w:pPr>
        <w:pStyle w:val="Heading1"/>
        <w:spacing w:before="300" w:after="120"/>
      </w:pPr>
      <w:bookmarkStart w:id="0" w:name="_Toc238663645"/>
      <w:r>
        <w:lastRenderedPageBreak/>
        <w:t>1. What the application is</w:t>
      </w:r>
      <w:bookmarkEnd w:id="0"/>
    </w:p>
    <w:p w14:paraId="2464A110" w14:textId="77777777" w:rsidR="00162633" w:rsidRDefault="00FF4310">
      <w:pPr>
        <w:spacing w:after="120" w:line="276" w:lineRule="auto"/>
      </w:pPr>
      <w:r>
        <w:t>The Accounting Domain is the ledger-accounting engine of Tieto’s One Credit Engine — the system that keeps the books for leasing, hire-purchase and loan agreements. It is not the contract system and it does not own the customer relationship or the billing schedule; instead it receives business events from the other domains (Agreement, Asset, Receivables, Payables) as messages, turns each into a balanced accounting journal using the customer’s own configuration, and makes those journals available for the gen</w:t>
      </w:r>
      <w:r>
        <w:t>eral ledger.</w:t>
      </w:r>
    </w:p>
    <w:p w14:paraId="2464A111" w14:textId="77777777" w:rsidR="00162633" w:rsidRDefault="00FF4310">
      <w:pPr>
        <w:spacing w:after="120" w:line="276" w:lineRule="auto"/>
      </w:pPr>
      <w:r>
        <w:rPr>
          <w:b/>
          <w:bCs/>
        </w:rPr>
        <w:t xml:space="preserve">In one sentence: </w:t>
      </w:r>
      <w:r>
        <w:t>a message arrives → the engine resolves which accounts it should hit for this legal entity → it books a balanced journal → it publishes the result so the sending domain can reconcile.</w:t>
      </w:r>
    </w:p>
    <w:p w14:paraId="2464A112" w14:textId="77777777" w:rsidR="00162633" w:rsidRDefault="00FF4310">
      <w:pPr>
        <w:spacing w:after="120" w:line="276" w:lineRule="auto"/>
      </w:pPr>
      <w:r>
        <w:rPr>
          <w:b/>
          <w:bCs/>
        </w:rPr>
        <w:t xml:space="preserve">What it is responsible for: </w:t>
      </w:r>
      <w:r>
        <w:t>the chart of account and account resolution, revenue recognition (earned vs invoiced), accruals, terminations/settlements, currency revaluation, and the GL export — all configurable per legal entity, so different customers and different accounting standards can behave differently on the same platform.</w:t>
      </w:r>
    </w:p>
    <w:p w14:paraId="2464A113" w14:textId="77777777" w:rsidR="00162633" w:rsidRDefault="00FF4310">
      <w:pPr>
        <w:pStyle w:val="Heading1"/>
        <w:spacing w:before="300" w:after="120"/>
      </w:pPr>
      <w:bookmarkStart w:id="1" w:name="_Toc238663646"/>
      <w:r>
        <w:t>2. The building blocks (configuration)</w:t>
      </w:r>
      <w:bookmarkEnd w:id="1"/>
    </w:p>
    <w:p w14:paraId="2464A114" w14:textId="77777777" w:rsidR="00162633" w:rsidRDefault="00FF4310">
      <w:pPr>
        <w:spacing w:after="120" w:line="276" w:lineRule="auto"/>
      </w:pPr>
      <w:r>
        <w:t>Everything the engine does is driven by per-entity configuration, so behaviour is set up, not hard-coded:</w:t>
      </w:r>
    </w:p>
    <w:p w14:paraId="2464A115" w14:textId="77777777" w:rsidR="00162633" w:rsidRDefault="00FF4310">
      <w:pPr>
        <w:pStyle w:val="ListParagraph"/>
        <w:numPr>
          <w:ilvl w:val="0"/>
          <w:numId w:val="2"/>
        </w:numPr>
        <w:spacing w:after="60" w:line="264" w:lineRule="auto"/>
      </w:pPr>
      <w:r>
        <w:rPr>
          <w:b/>
          <w:bCs/>
        </w:rPr>
        <w:t xml:space="preserve">Legal entities. </w:t>
      </w:r>
      <w:r>
        <w:t>Each entity keeps its own chart of account, accounts, formulas and rules; changes to one never affect another. Most customers run one or two.</w:t>
      </w:r>
    </w:p>
    <w:p w14:paraId="2464A116" w14:textId="77777777" w:rsidR="00162633" w:rsidRDefault="00FF4310">
      <w:pPr>
        <w:pStyle w:val="ListParagraph"/>
        <w:numPr>
          <w:ilvl w:val="0"/>
          <w:numId w:val="2"/>
        </w:numPr>
        <w:spacing w:after="60" w:line="264" w:lineRule="auto"/>
      </w:pPr>
      <w:r>
        <w:rPr>
          <w:b/>
          <w:bCs/>
        </w:rPr>
        <w:t xml:space="preserve">Chart of account &amp; pseudo accounts. </w:t>
      </w:r>
      <w:r>
        <w:t>A tree of nodes (account groups) onto which the entity places its “pseudo accounts” (the internal account numbers). Each pseudo account maps to an external GL account, and its full external account string is built from configurable dimensions (asset number, product, customer, org unit, …).</w:t>
      </w:r>
    </w:p>
    <w:p w14:paraId="2464A117" w14:textId="77777777" w:rsidR="00162633" w:rsidRDefault="00FF4310">
      <w:pPr>
        <w:pStyle w:val="ListParagraph"/>
        <w:numPr>
          <w:ilvl w:val="0"/>
          <w:numId w:val="2"/>
        </w:numPr>
        <w:spacing w:after="60" w:line="264" w:lineRule="auto"/>
      </w:pPr>
      <w:r>
        <w:rPr>
          <w:b/>
          <w:bCs/>
        </w:rPr>
        <w:t xml:space="preserve">Amount types &amp; message attribute codes. </w:t>
      </w:r>
      <w:r>
        <w:t>An amount on a message is tagged with an amount type (e.g. Total Plan Rent, Tax, Insurance). Message attributes — Accounting Type (DL/MG/…), Product, Amount Code — carry the codes that steer account resolution. Their allowed values are configured centrally.</w:t>
      </w:r>
    </w:p>
    <w:p w14:paraId="2464A118" w14:textId="77777777" w:rsidR="00162633" w:rsidRDefault="00FF4310">
      <w:pPr>
        <w:pStyle w:val="ListParagraph"/>
        <w:numPr>
          <w:ilvl w:val="0"/>
          <w:numId w:val="2"/>
        </w:numPr>
        <w:spacing w:after="60" w:line="264" w:lineRule="auto"/>
      </w:pPr>
      <w:r>
        <w:rPr>
          <w:b/>
          <w:bCs/>
        </w:rPr>
        <w:t xml:space="preserve">Formulas &amp; conditions. </w:t>
      </w:r>
      <w:r>
        <w:t>A formula says which account an amount books to; its conditions route that account by the message attributes — e.g. “Added Cost with Amount Code IFE → 3994 under DL, 3984 under MG”. This is the heart of the flexibility.</w:t>
      </w:r>
    </w:p>
    <w:p w14:paraId="2464A119" w14:textId="77777777" w:rsidR="00162633" w:rsidRDefault="00FF4310">
      <w:pPr>
        <w:pStyle w:val="ListParagraph"/>
        <w:numPr>
          <w:ilvl w:val="0"/>
          <w:numId w:val="2"/>
        </w:numPr>
        <w:spacing w:after="60" w:line="264" w:lineRule="auto"/>
      </w:pPr>
      <w:r>
        <w:rPr>
          <w:b/>
          <w:bCs/>
        </w:rPr>
        <w:t xml:space="preserve">Accounting classes, ledgers, events. </w:t>
      </w:r>
      <w:r>
        <w:t>A message names an accounting class and event; accounting rules connect an event + ledger to the formulas that book it, so the same event can post differently per ledger (e.g. local GAAP vs US GAAP).</w:t>
      </w:r>
    </w:p>
    <w:p w14:paraId="2464A11A" w14:textId="77777777" w:rsidR="00162633" w:rsidRDefault="00FF4310">
      <w:pPr>
        <w:pStyle w:val="Heading1"/>
        <w:spacing w:before="300" w:after="120"/>
      </w:pPr>
      <w:bookmarkStart w:id="2" w:name="_Toc238663647"/>
      <w:r>
        <w:t>3. The booking engine — message to journal</w:t>
      </w:r>
      <w:bookmarkEnd w:id="2"/>
    </w:p>
    <w:p w14:paraId="2464A11B" w14:textId="77777777" w:rsidR="00162633" w:rsidRDefault="00FF4310">
      <w:pPr>
        <w:spacing w:after="120" w:line="276" w:lineRule="auto"/>
      </w:pPr>
      <w:r>
        <w:t>When a message is posted, the engine runs the same resolution every time:</w:t>
      </w:r>
    </w:p>
    <w:p w14:paraId="2464A11C" w14:textId="77777777" w:rsidR="00162633" w:rsidRDefault="00FF4310">
      <w:pPr>
        <w:pStyle w:val="ListParagraph"/>
        <w:numPr>
          <w:ilvl w:val="0"/>
          <w:numId w:val="2"/>
        </w:numPr>
        <w:spacing w:after="60" w:line="264" w:lineRule="auto"/>
      </w:pPr>
      <w:r>
        <w:t xml:space="preserve">Find the </w:t>
      </w:r>
      <w:r>
        <w:rPr>
          <w:b/>
          <w:bCs/>
        </w:rPr>
        <w:t>accounting rules</w:t>
      </w:r>
      <w:r>
        <w:t xml:space="preserve"> for this entity, event and ledger(s).</w:t>
      </w:r>
    </w:p>
    <w:p w14:paraId="2464A11D" w14:textId="77777777" w:rsidR="00162633" w:rsidRDefault="00FF4310">
      <w:pPr>
        <w:pStyle w:val="ListParagraph"/>
        <w:numPr>
          <w:ilvl w:val="0"/>
          <w:numId w:val="2"/>
        </w:numPr>
        <w:spacing w:after="60" w:line="264" w:lineRule="auto"/>
      </w:pPr>
      <w:r>
        <w:t xml:space="preserve">For each rule’s </w:t>
      </w:r>
      <w:r>
        <w:rPr>
          <w:b/>
          <w:bCs/>
        </w:rPr>
        <w:t>formula</w:t>
      </w:r>
      <w:r>
        <w:t>, take the message amount of its amount type.</w:t>
      </w:r>
    </w:p>
    <w:p w14:paraId="2464A11E" w14:textId="77777777" w:rsidR="00162633" w:rsidRDefault="00FF4310">
      <w:pPr>
        <w:pStyle w:val="ListParagraph"/>
        <w:numPr>
          <w:ilvl w:val="0"/>
          <w:numId w:val="2"/>
        </w:numPr>
        <w:spacing w:after="60" w:line="264" w:lineRule="auto"/>
      </w:pPr>
      <w:r>
        <w:t xml:space="preserve">Resolve the </w:t>
      </w:r>
      <w:r>
        <w:rPr>
          <w:b/>
          <w:bCs/>
        </w:rPr>
        <w:t>account</w:t>
      </w:r>
      <w:r>
        <w:t xml:space="preserve"> — a condition match (on Accounting Type, Product, Amount Code…) wins, otherwise the formula’s default account.</w:t>
      </w:r>
    </w:p>
    <w:p w14:paraId="2464A11F" w14:textId="77777777" w:rsidR="00162633" w:rsidRDefault="00FF4310">
      <w:pPr>
        <w:pStyle w:val="ListParagraph"/>
        <w:numPr>
          <w:ilvl w:val="0"/>
          <w:numId w:val="2"/>
        </w:numPr>
        <w:spacing w:after="60" w:line="264" w:lineRule="auto"/>
      </w:pPr>
      <w:r>
        <w:t xml:space="preserve">Build the </w:t>
      </w:r>
      <w:r>
        <w:rPr>
          <w:b/>
          <w:bCs/>
        </w:rPr>
        <w:t>external account string</w:t>
      </w:r>
      <w:r>
        <w:t xml:space="preserve"> from the entity’s configured dimensions and the message values.</w:t>
      </w:r>
    </w:p>
    <w:p w14:paraId="2464A120" w14:textId="77777777" w:rsidR="00162633" w:rsidRDefault="00FF4310">
      <w:pPr>
        <w:pStyle w:val="ListParagraph"/>
        <w:numPr>
          <w:ilvl w:val="0"/>
          <w:numId w:val="2"/>
        </w:numPr>
        <w:spacing w:after="60" w:line="264" w:lineRule="auto"/>
      </w:pPr>
      <w:r>
        <w:t xml:space="preserve">Assemble the journal lines, check they </w:t>
      </w:r>
      <w:r>
        <w:rPr>
          <w:b/>
          <w:bCs/>
        </w:rPr>
        <w:t>balance</w:t>
      </w:r>
      <w:r>
        <w:t xml:space="preserve"> (a difference is flagged, not hidden), and book the journal.</w:t>
      </w:r>
    </w:p>
    <w:p w14:paraId="2464A121" w14:textId="77777777" w:rsidR="00162633" w:rsidRDefault="00FF4310">
      <w:pPr>
        <w:spacing w:after="120" w:line="276" w:lineRule="auto"/>
      </w:pPr>
      <w:r>
        <w:rPr>
          <w:b/>
          <w:bCs/>
        </w:rPr>
        <w:t xml:space="preserve">After booking, </w:t>
      </w:r>
      <w:r>
        <w:t>the domain publishes a “Journal posted” event carrying the original correlation id, so the sending domain can match the confirmation. Messages that produce nothing (no rule / no amount) are visible as rejected/no-journal events rather than lost.</w:t>
      </w:r>
    </w:p>
    <w:p w14:paraId="2464A122" w14:textId="77777777" w:rsidR="00162633" w:rsidRDefault="00FF4310">
      <w:r>
        <w:lastRenderedPageBreak/>
        <w:br w:type="page"/>
      </w:r>
    </w:p>
    <w:p w14:paraId="2464A123" w14:textId="77777777" w:rsidR="00162633" w:rsidRDefault="00FF4310">
      <w:pPr>
        <w:pStyle w:val="Heading1"/>
        <w:spacing w:before="300" w:after="120"/>
      </w:pPr>
      <w:bookmarkStart w:id="3" w:name="_Toc238663648"/>
      <w:r>
        <w:lastRenderedPageBreak/>
        <w:t>4. Business processes (the agreement lifecycle)</w:t>
      </w:r>
      <w:bookmarkEnd w:id="3"/>
    </w:p>
    <w:p w14:paraId="2464A124" w14:textId="77777777" w:rsidR="00162633" w:rsidRDefault="00FF4310">
      <w:pPr>
        <w:pStyle w:val="Heading2"/>
        <w:spacing w:before="220"/>
      </w:pPr>
      <w:bookmarkStart w:id="4" w:name="_Toc238663649"/>
      <w:r>
        <w:t>4.1 Activation &amp; the recognition plan</w:t>
      </w:r>
      <w:bookmarkEnd w:id="4"/>
    </w:p>
    <w:p w14:paraId="2464A125" w14:textId="77777777" w:rsidR="00162633" w:rsidRDefault="00FF4310">
      <w:pPr>
        <w:spacing w:after="120" w:line="276" w:lineRule="auto"/>
      </w:pPr>
      <w:r>
        <w:t>At activation the agreement domain sends the opening amounts (fixed asset value, deposit, total plan rent/amortization/interest) and the recognition plan — the per-period earning schedule for each line (one line = one asset), split into a Rent (amortization) and Interest component. The accounting domain books the activation and adopts the plan as its read-model for monthly recognition.</w:t>
      </w:r>
    </w:p>
    <w:p w14:paraId="2464A126" w14:textId="77777777" w:rsidR="00162633" w:rsidRDefault="00FF4310">
      <w:pPr>
        <w:pStyle w:val="Heading2"/>
        <w:spacing w:before="220"/>
      </w:pPr>
      <w:bookmarkStart w:id="5" w:name="_Toc238663650"/>
      <w:r>
        <w:t>4.2 Invoicing</w:t>
      </w:r>
      <w:bookmarkEnd w:id="5"/>
    </w:p>
    <w:p w14:paraId="2464A127" w14:textId="77777777" w:rsidR="00162633" w:rsidRDefault="00FF4310">
      <w:pPr>
        <w:spacing w:after="120" w:line="276" w:lineRule="auto"/>
      </w:pPr>
      <w:r>
        <w:t>Bills a period: debits the customer receivable with the total and credits rent, added-cost, tax and rounding. Added-cost lines carry an Amount Code so each cost type lands on its own account through the formula conditions.</w:t>
      </w:r>
    </w:p>
    <w:p w14:paraId="2464A128" w14:textId="77777777" w:rsidR="00162633" w:rsidRDefault="00FF4310">
      <w:pPr>
        <w:pStyle w:val="Heading2"/>
        <w:spacing w:before="220"/>
      </w:pPr>
      <w:bookmarkStart w:id="6" w:name="_Toc238663651"/>
      <w:r>
        <w:t>4.3 Payments &amp; Undo Payment (optimistic settlement)</w:t>
      </w:r>
      <w:bookmarkEnd w:id="6"/>
    </w:p>
    <w:p w14:paraId="2464A129" w14:textId="77777777" w:rsidR="00162633" w:rsidRDefault="00FF4310">
      <w:pPr>
        <w:spacing w:after="120" w:line="276" w:lineRule="auto"/>
      </w:pPr>
      <w:r>
        <w:t>A customer payment (e.g. direct debit) is booked as paid and applied to the invoice from the outset — Bank against the receivable, no in-transit clearing account. Each payment carries its own payment id, so if the bank later rejects it, an Undo Payment reverses exactly that one payment and reinstates the receivable. The same pattern exists on the AP (supplier) side.</w:t>
      </w:r>
    </w:p>
    <w:p w14:paraId="2464A12A" w14:textId="77777777" w:rsidR="00162633" w:rsidRDefault="00FF4310">
      <w:pPr>
        <w:pStyle w:val="Heading2"/>
        <w:spacing w:before="220"/>
      </w:pPr>
      <w:bookmarkStart w:id="7" w:name="_Toc238663652"/>
      <w:r>
        <w:t>4.4 Agreement Change</w:t>
      </w:r>
      <w:bookmarkEnd w:id="7"/>
    </w:p>
    <w:p w14:paraId="2464A12B" w14:textId="77777777" w:rsidR="00162633" w:rsidRDefault="00FF4310">
      <w:pPr>
        <w:spacing w:after="120" w:line="276" w:lineRule="auto"/>
      </w:pPr>
      <w:r>
        <w:t>When terms change, the agreement domain re-sends the revised recognition plan; the accounting domain undoes the affected monthly bookings and re-derives recognition forward from the new plan. Already-earned periods are left as booked.</w:t>
      </w:r>
    </w:p>
    <w:p w14:paraId="2464A12C" w14:textId="77777777" w:rsidR="00162633" w:rsidRDefault="00FF4310">
      <w:pPr>
        <w:pStyle w:val="Heading2"/>
        <w:spacing w:before="220"/>
      </w:pPr>
      <w:bookmarkStart w:id="8" w:name="_Toc238663653"/>
      <w:r>
        <w:t>4.5 Monthly Booking — revenue recognition</w:t>
      </w:r>
      <w:bookmarkEnd w:id="8"/>
    </w:p>
    <w:p w14:paraId="2464A12D" w14:textId="77777777" w:rsidR="00162633" w:rsidRDefault="00FF4310">
      <w:pPr>
        <w:spacing w:after="120" w:line="276" w:lineRule="auto"/>
      </w:pPr>
      <w:r>
        <w:t>Recognition (earned) and invoicing (billed) are two independent timelines. Monthly Booking reconciles them into the accrued/deferred cutoff: when more has been earned than invoiced the difference is an accrued asset; when more has been invoiced than earned it is a deferred liability. It accrues-and-reverses each period so the position is always the current one. Accounts come from the entity’s Monthly Booking rules, so they can differ by ledger.</w:t>
      </w:r>
    </w:p>
    <w:p w14:paraId="2464A12E" w14:textId="77777777" w:rsidR="00162633" w:rsidRDefault="00FF4310">
      <w:pPr>
        <w:pStyle w:val="Heading2"/>
        <w:spacing w:before="220"/>
      </w:pPr>
      <w:bookmarkStart w:id="9" w:name="_Toc238663654"/>
      <w:r>
        <w:t>4.6 Accruals</w:t>
      </w:r>
      <w:bookmarkEnd w:id="9"/>
    </w:p>
    <w:p w14:paraId="2464A12F" w14:textId="77777777" w:rsidR="00162633" w:rsidRDefault="00FF4310">
      <w:pPr>
        <w:spacing w:after="120" w:line="276" w:lineRule="auto"/>
      </w:pPr>
      <w:r>
        <w:t>For costs/income spread over time (insurance, prepaid tax, deposits) an accrual code defines the behaviour: direction (cost/income), the balance-sheet (deferral) account, and a recognition (P&amp;L) leg. The recognition account is routed by a formula’s conditions — e.g. a different P&amp;L account for Accounting Type DL vs MG. The spread length (months) comes on the message (the agreement term), so one “Insurance” code serves 6-, 12- and 36-month agreements. The total parks on the balance sheet at creation and rele</w:t>
      </w:r>
      <w:r>
        <w:t>ases straight-line to P&amp;L each month; both legs carry the account dimension and customer.</w:t>
      </w:r>
    </w:p>
    <w:p w14:paraId="2464A130" w14:textId="77777777" w:rsidR="00162633" w:rsidRDefault="00FF4310">
      <w:pPr>
        <w:pStyle w:val="Heading2"/>
        <w:spacing w:before="220"/>
      </w:pPr>
      <w:bookmarkStart w:id="10" w:name="_Toc238663655"/>
      <w:r>
        <w:t>4.7 Termination, settlement &amp; revaluation</w:t>
      </w:r>
      <w:bookmarkEnd w:id="10"/>
    </w:p>
    <w:p w14:paraId="2464A131" w14:textId="77777777" w:rsidR="00162633" w:rsidRDefault="00FF4310">
      <w:pPr>
        <w:pStyle w:val="ListParagraph"/>
        <w:numPr>
          <w:ilvl w:val="0"/>
          <w:numId w:val="2"/>
        </w:numPr>
        <w:spacing w:after="60" w:line="264" w:lineRule="auto"/>
      </w:pPr>
      <w:r>
        <w:rPr>
          <w:b/>
          <w:bCs/>
        </w:rPr>
        <w:t xml:space="preserve">Termination / settlement. </w:t>
      </w:r>
      <w:r>
        <w:t>Termination invoicing and asset events settle the remaining position (remaining rent/interest, residual, profit/loss), routed by Term Reason and Accounting Type.</w:t>
      </w:r>
    </w:p>
    <w:p w14:paraId="2464A132" w14:textId="77777777" w:rsidR="00162633" w:rsidRDefault="00FF4310">
      <w:pPr>
        <w:pStyle w:val="ListParagraph"/>
        <w:numPr>
          <w:ilvl w:val="0"/>
          <w:numId w:val="2"/>
        </w:numPr>
        <w:spacing w:after="60" w:line="264" w:lineRule="auto"/>
      </w:pPr>
      <w:r>
        <w:rPr>
          <w:b/>
          <w:bCs/>
        </w:rPr>
        <w:t xml:space="preserve">Currency revaluation. </w:t>
      </w:r>
      <w:r>
        <w:t>Foreign-currency balances and transactions are revalued to the base currency; fixed-asset/depreciation postings keep their historical rate and are excluded.</w:t>
      </w:r>
    </w:p>
    <w:p w14:paraId="2464A133" w14:textId="77777777" w:rsidR="00162633" w:rsidRDefault="00FF4310">
      <w:pPr>
        <w:pStyle w:val="Heading2"/>
        <w:spacing w:before="220"/>
      </w:pPr>
      <w:bookmarkStart w:id="11" w:name="_Toc238663656"/>
      <w:r>
        <w:t>4.8 GL export &amp; reversals</w:t>
      </w:r>
      <w:bookmarkEnd w:id="11"/>
    </w:p>
    <w:p w14:paraId="2464A134" w14:textId="77777777" w:rsidR="00162633" w:rsidRDefault="00FF4310">
      <w:pPr>
        <w:pStyle w:val="ListParagraph"/>
        <w:numPr>
          <w:ilvl w:val="0"/>
          <w:numId w:val="2"/>
        </w:numPr>
        <w:spacing w:after="60" w:line="264" w:lineRule="auto"/>
      </w:pPr>
      <w:r>
        <w:rPr>
          <w:b/>
          <w:bCs/>
        </w:rPr>
        <w:lastRenderedPageBreak/>
        <w:t xml:space="preserve">GL export / integration. </w:t>
      </w:r>
      <w:r>
        <w:t>Booked journals are summarised and exported to the general ledger per ledger, keeping the dimensions the customer wants on each line.</w:t>
      </w:r>
    </w:p>
    <w:p w14:paraId="2464A135" w14:textId="77777777" w:rsidR="00162633" w:rsidRDefault="00FF4310">
      <w:pPr>
        <w:pStyle w:val="ListParagraph"/>
        <w:numPr>
          <w:ilvl w:val="0"/>
          <w:numId w:val="2"/>
        </w:numPr>
        <w:spacing w:after="60" w:line="264" w:lineRule="auto"/>
      </w:pPr>
      <w:r>
        <w:rPr>
          <w:b/>
          <w:bCs/>
        </w:rPr>
        <w:t xml:space="preserve">Reversals / credit. </w:t>
      </w:r>
      <w:r>
        <w:t>Credit-invoicing and undo events mirror an existing journal (debit ↔ credit) rather than re-running rules, locating the original by invoice number, reference, payment id or agreement line + period.</w:t>
      </w:r>
    </w:p>
    <w:p w14:paraId="2464A136" w14:textId="77777777" w:rsidR="00162633" w:rsidRDefault="00FF4310">
      <w:r>
        <w:br w:type="page"/>
      </w:r>
    </w:p>
    <w:p w14:paraId="2464A137" w14:textId="77777777" w:rsidR="00162633" w:rsidRDefault="00FF4310">
      <w:pPr>
        <w:pStyle w:val="Heading1"/>
        <w:spacing w:before="300" w:after="120"/>
      </w:pPr>
      <w:bookmarkStart w:id="12" w:name="_Toc238663657"/>
      <w:r>
        <w:lastRenderedPageBreak/>
        <w:t>5. The application — screens &amp; functionality</w:t>
      </w:r>
      <w:bookmarkEnd w:id="12"/>
    </w:p>
    <w:p w14:paraId="2464A138" w14:textId="77777777" w:rsidR="00162633" w:rsidRDefault="00FF4310">
      <w:pPr>
        <w:spacing w:after="120" w:line="276" w:lineRule="auto"/>
      </w:pPr>
      <w:r>
        <w:t>The app is organised into four areas, reachable from the top navigation.</w:t>
      </w:r>
    </w:p>
    <w:p w14:paraId="2464A139" w14:textId="77777777" w:rsidR="00162633" w:rsidRDefault="00FF4310">
      <w:pPr>
        <w:pStyle w:val="Heading2"/>
        <w:spacing w:before="220"/>
      </w:pPr>
      <w:bookmarkStart w:id="13" w:name="_Toc238663658"/>
      <w:r>
        <w:t>5.1 Dashboard (accounting cockpit)</w:t>
      </w:r>
      <w:bookmarkEnd w:id="13"/>
    </w:p>
    <w:p w14:paraId="2464A13A" w14:textId="77777777" w:rsidR="00162633" w:rsidRDefault="00FF4310">
      <w:pPr>
        <w:spacing w:after="120" w:line="276" w:lineRule="auto"/>
      </w:pPr>
      <w:r>
        <w:t>A single-screen cockpit: each legal entity shown side by side with its close-readiness KPIs (end-of-month status, open period, unbalanced journals, pending messages, unexported journals, messages that produced no journal, accrued/deferred position, cash to clear, activity by event), and a live activity ticker down the side showing everything happening in the system — journals booked and configuration changes — with who and when.</w:t>
      </w:r>
    </w:p>
    <w:p w14:paraId="2464A13B" w14:textId="77777777" w:rsidR="00162633" w:rsidRDefault="00FF4310">
      <w:pPr>
        <w:pStyle w:val="Heading2"/>
        <w:spacing w:before="220"/>
      </w:pPr>
      <w:bookmarkStart w:id="14" w:name="_Toc238663659"/>
      <w:r>
        <w:t>5.2 Legal-entity workspace</w:t>
      </w:r>
      <w:bookmarkEnd w:id="14"/>
    </w:p>
    <w:tbl>
      <w:tblPr>
        <w:tblW w:w="9200" w:type="dxa"/>
        <w:tblBorders>
          <w:top w:val="single" w:sz="4" w:space="0" w:color="C9D6E2"/>
          <w:left w:val="single" w:sz="4" w:space="0" w:color="C9D6E2"/>
          <w:bottom w:val="single" w:sz="4" w:space="0" w:color="C9D6E2"/>
          <w:right w:val="single" w:sz="4" w:space="0" w:color="C9D6E2"/>
          <w:insideH w:val="single" w:sz="2" w:space="0" w:color="E3EAF1"/>
          <w:insideV w:val="single" w:sz="2" w:space="0" w:color="E3EAF1"/>
        </w:tblBorders>
        <w:tblCellMar>
          <w:left w:w="10" w:type="dxa"/>
          <w:right w:w="10" w:type="dxa"/>
        </w:tblCellMar>
        <w:tblLook w:val="04A0" w:firstRow="1" w:lastRow="0" w:firstColumn="1" w:lastColumn="0" w:noHBand="0" w:noVBand="1"/>
      </w:tblPr>
      <w:tblGrid>
        <w:gridCol w:w="2600"/>
        <w:gridCol w:w="6600"/>
      </w:tblGrid>
      <w:tr w:rsidR="00162633" w14:paraId="2464A13E" w14:textId="77777777">
        <w:tblPrEx>
          <w:tblCellMar>
            <w:top w:w="0" w:type="dxa"/>
            <w:bottom w:w="0" w:type="dxa"/>
          </w:tblCellMar>
        </w:tblPrEx>
        <w:trPr>
          <w:tblHeader/>
        </w:trPr>
        <w:tc>
          <w:tcPr>
            <w:tcW w:w="2600" w:type="dxa"/>
            <w:shd w:val="clear" w:color="auto" w:fill="DCE8F2"/>
            <w:tcMar>
              <w:top w:w="40" w:type="dxa"/>
              <w:left w:w="90" w:type="dxa"/>
              <w:bottom w:w="40" w:type="dxa"/>
              <w:right w:w="90" w:type="dxa"/>
            </w:tcMar>
          </w:tcPr>
          <w:p w14:paraId="2464A13C" w14:textId="77777777" w:rsidR="00162633" w:rsidRDefault="00FF4310">
            <w:r>
              <w:rPr>
                <w:b/>
                <w:bCs/>
                <w:sz w:val="18"/>
                <w:szCs w:val="18"/>
              </w:rPr>
              <w:t>Screen</w:t>
            </w:r>
          </w:p>
        </w:tc>
        <w:tc>
          <w:tcPr>
            <w:tcW w:w="6600" w:type="dxa"/>
            <w:shd w:val="clear" w:color="auto" w:fill="DCE8F2"/>
            <w:tcMar>
              <w:top w:w="40" w:type="dxa"/>
              <w:left w:w="90" w:type="dxa"/>
              <w:bottom w:w="40" w:type="dxa"/>
              <w:right w:w="90" w:type="dxa"/>
            </w:tcMar>
          </w:tcPr>
          <w:p w14:paraId="2464A13D" w14:textId="77777777" w:rsidR="00162633" w:rsidRDefault="00FF4310">
            <w:r>
              <w:rPr>
                <w:b/>
                <w:bCs/>
                <w:sz w:val="18"/>
                <w:szCs w:val="18"/>
              </w:rPr>
              <w:t>What it does</w:t>
            </w:r>
          </w:p>
        </w:tc>
      </w:tr>
      <w:tr w:rsidR="00162633" w14:paraId="2464A141" w14:textId="77777777">
        <w:tblPrEx>
          <w:tblCellMar>
            <w:top w:w="0" w:type="dxa"/>
            <w:bottom w:w="0" w:type="dxa"/>
          </w:tblCellMar>
        </w:tblPrEx>
        <w:tc>
          <w:tcPr>
            <w:tcW w:w="2600" w:type="dxa"/>
            <w:tcMar>
              <w:top w:w="40" w:type="dxa"/>
              <w:left w:w="90" w:type="dxa"/>
              <w:bottom w:w="40" w:type="dxa"/>
              <w:right w:w="90" w:type="dxa"/>
            </w:tcMar>
          </w:tcPr>
          <w:p w14:paraId="2464A13F" w14:textId="77777777" w:rsidR="00162633" w:rsidRDefault="00FF4310">
            <w:r>
              <w:rPr>
                <w:sz w:val="18"/>
                <w:szCs w:val="18"/>
              </w:rPr>
              <w:t>Chart of account</w:t>
            </w:r>
          </w:p>
        </w:tc>
        <w:tc>
          <w:tcPr>
            <w:tcW w:w="6600" w:type="dxa"/>
            <w:tcMar>
              <w:top w:w="40" w:type="dxa"/>
              <w:left w:w="90" w:type="dxa"/>
              <w:bottom w:w="40" w:type="dxa"/>
              <w:right w:w="90" w:type="dxa"/>
            </w:tcMar>
          </w:tcPr>
          <w:p w14:paraId="2464A140" w14:textId="77777777" w:rsidR="00162633" w:rsidRDefault="00FF4310">
            <w:r>
              <w:rPr>
                <w:sz w:val="18"/>
                <w:szCs w:val="18"/>
              </w:rPr>
              <w:t>Maintain the account tree and place pseudo accounts on nodes (with suggest-by-range).</w:t>
            </w:r>
          </w:p>
        </w:tc>
      </w:tr>
      <w:tr w:rsidR="00162633" w14:paraId="2464A144" w14:textId="77777777">
        <w:tblPrEx>
          <w:tblCellMar>
            <w:top w:w="0" w:type="dxa"/>
            <w:bottom w:w="0" w:type="dxa"/>
          </w:tblCellMar>
        </w:tblPrEx>
        <w:tc>
          <w:tcPr>
            <w:tcW w:w="2600" w:type="dxa"/>
            <w:tcMar>
              <w:top w:w="40" w:type="dxa"/>
              <w:left w:w="90" w:type="dxa"/>
              <w:bottom w:w="40" w:type="dxa"/>
              <w:right w:w="90" w:type="dxa"/>
            </w:tcMar>
          </w:tcPr>
          <w:p w14:paraId="2464A142" w14:textId="77777777" w:rsidR="00162633" w:rsidRDefault="00FF4310">
            <w:r>
              <w:rPr>
                <w:sz w:val="18"/>
                <w:szCs w:val="18"/>
              </w:rPr>
              <w:t>Pseudo account</w:t>
            </w:r>
          </w:p>
        </w:tc>
        <w:tc>
          <w:tcPr>
            <w:tcW w:w="6600" w:type="dxa"/>
            <w:tcMar>
              <w:top w:w="40" w:type="dxa"/>
              <w:left w:w="90" w:type="dxa"/>
              <w:bottom w:w="40" w:type="dxa"/>
              <w:right w:w="90" w:type="dxa"/>
            </w:tcMar>
          </w:tcPr>
          <w:p w14:paraId="2464A143" w14:textId="77777777" w:rsidR="00162633" w:rsidRDefault="00FF4310">
            <w:r>
              <w:rPr>
                <w:sz w:val="18"/>
                <w:szCs w:val="18"/>
              </w:rPr>
              <w:t>Register / import the entity’s internal accounts and their external mapping.</w:t>
            </w:r>
          </w:p>
        </w:tc>
      </w:tr>
      <w:tr w:rsidR="00162633" w14:paraId="2464A147" w14:textId="77777777">
        <w:tblPrEx>
          <w:tblCellMar>
            <w:top w:w="0" w:type="dxa"/>
            <w:bottom w:w="0" w:type="dxa"/>
          </w:tblCellMar>
        </w:tblPrEx>
        <w:tc>
          <w:tcPr>
            <w:tcW w:w="2600" w:type="dxa"/>
            <w:tcMar>
              <w:top w:w="40" w:type="dxa"/>
              <w:left w:w="90" w:type="dxa"/>
              <w:bottom w:w="40" w:type="dxa"/>
              <w:right w:w="90" w:type="dxa"/>
            </w:tcMar>
          </w:tcPr>
          <w:p w14:paraId="2464A145" w14:textId="77777777" w:rsidR="00162633" w:rsidRDefault="00FF4310">
            <w:r>
              <w:rPr>
                <w:sz w:val="18"/>
                <w:szCs w:val="18"/>
              </w:rPr>
              <w:t>Formulas</w:t>
            </w:r>
          </w:p>
        </w:tc>
        <w:tc>
          <w:tcPr>
            <w:tcW w:w="6600" w:type="dxa"/>
            <w:tcMar>
              <w:top w:w="40" w:type="dxa"/>
              <w:left w:w="90" w:type="dxa"/>
              <w:bottom w:w="40" w:type="dxa"/>
              <w:right w:w="90" w:type="dxa"/>
            </w:tcMar>
          </w:tcPr>
          <w:p w14:paraId="2464A146" w14:textId="77777777" w:rsidR="00162633" w:rsidRDefault="00FF4310">
            <w:r>
              <w:rPr>
                <w:sz w:val="18"/>
                <w:szCs w:val="18"/>
              </w:rPr>
              <w:t>Define formulas and their condition routing (account per attribute).</w:t>
            </w:r>
          </w:p>
        </w:tc>
      </w:tr>
      <w:tr w:rsidR="00162633" w14:paraId="2464A14A" w14:textId="77777777">
        <w:tblPrEx>
          <w:tblCellMar>
            <w:top w:w="0" w:type="dxa"/>
            <w:bottom w:w="0" w:type="dxa"/>
          </w:tblCellMar>
        </w:tblPrEx>
        <w:tc>
          <w:tcPr>
            <w:tcW w:w="2600" w:type="dxa"/>
            <w:tcMar>
              <w:top w:w="40" w:type="dxa"/>
              <w:left w:w="90" w:type="dxa"/>
              <w:bottom w:w="40" w:type="dxa"/>
              <w:right w:w="90" w:type="dxa"/>
            </w:tcMar>
          </w:tcPr>
          <w:p w14:paraId="2464A148" w14:textId="77777777" w:rsidR="00162633" w:rsidRDefault="00FF4310">
            <w:r>
              <w:rPr>
                <w:sz w:val="18"/>
                <w:szCs w:val="18"/>
              </w:rPr>
              <w:t>Accounting rules</w:t>
            </w:r>
          </w:p>
        </w:tc>
        <w:tc>
          <w:tcPr>
            <w:tcW w:w="6600" w:type="dxa"/>
            <w:tcMar>
              <w:top w:w="40" w:type="dxa"/>
              <w:left w:w="90" w:type="dxa"/>
              <w:bottom w:w="40" w:type="dxa"/>
              <w:right w:w="90" w:type="dxa"/>
            </w:tcMar>
          </w:tcPr>
          <w:p w14:paraId="2464A149" w14:textId="77777777" w:rsidR="00162633" w:rsidRDefault="00FF4310">
            <w:r>
              <w:rPr>
                <w:sz w:val="18"/>
                <w:szCs w:val="18"/>
              </w:rPr>
              <w:t>Connect events + ledgers to formulas.</w:t>
            </w:r>
          </w:p>
        </w:tc>
      </w:tr>
      <w:tr w:rsidR="00162633" w14:paraId="2464A14D" w14:textId="77777777">
        <w:tblPrEx>
          <w:tblCellMar>
            <w:top w:w="0" w:type="dxa"/>
            <w:bottom w:w="0" w:type="dxa"/>
          </w:tblCellMar>
        </w:tblPrEx>
        <w:tc>
          <w:tcPr>
            <w:tcW w:w="2600" w:type="dxa"/>
            <w:tcMar>
              <w:top w:w="40" w:type="dxa"/>
              <w:left w:w="90" w:type="dxa"/>
              <w:bottom w:w="40" w:type="dxa"/>
              <w:right w:w="90" w:type="dxa"/>
            </w:tcMar>
          </w:tcPr>
          <w:p w14:paraId="2464A14B" w14:textId="77777777" w:rsidR="00162633" w:rsidRDefault="00FF4310">
            <w:r>
              <w:rPr>
                <w:sz w:val="18"/>
                <w:szCs w:val="18"/>
              </w:rPr>
              <w:t>Classes &amp; ledgers</w:t>
            </w:r>
          </w:p>
        </w:tc>
        <w:tc>
          <w:tcPr>
            <w:tcW w:w="6600" w:type="dxa"/>
            <w:tcMar>
              <w:top w:w="40" w:type="dxa"/>
              <w:left w:w="90" w:type="dxa"/>
              <w:bottom w:w="40" w:type="dxa"/>
              <w:right w:w="90" w:type="dxa"/>
            </w:tcMar>
          </w:tcPr>
          <w:p w14:paraId="2464A14C" w14:textId="77777777" w:rsidR="00162633" w:rsidRDefault="00FF4310">
            <w:r>
              <w:rPr>
                <w:sz w:val="18"/>
                <w:szCs w:val="18"/>
              </w:rPr>
              <w:t>The entity’s accounting classes and ledgers (local GAAP, US GAAP…).</w:t>
            </w:r>
          </w:p>
        </w:tc>
      </w:tr>
      <w:tr w:rsidR="00162633" w14:paraId="2464A150" w14:textId="77777777">
        <w:tblPrEx>
          <w:tblCellMar>
            <w:top w:w="0" w:type="dxa"/>
            <w:bottom w:w="0" w:type="dxa"/>
          </w:tblCellMar>
        </w:tblPrEx>
        <w:tc>
          <w:tcPr>
            <w:tcW w:w="2600" w:type="dxa"/>
            <w:tcMar>
              <w:top w:w="40" w:type="dxa"/>
              <w:left w:w="90" w:type="dxa"/>
              <w:bottom w:w="40" w:type="dxa"/>
              <w:right w:w="90" w:type="dxa"/>
            </w:tcMar>
          </w:tcPr>
          <w:p w14:paraId="2464A14E" w14:textId="77777777" w:rsidR="00162633" w:rsidRDefault="00FF4310">
            <w:r>
              <w:rPr>
                <w:sz w:val="18"/>
                <w:szCs w:val="18"/>
              </w:rPr>
              <w:t>Accounting dimensions</w:t>
            </w:r>
          </w:p>
        </w:tc>
        <w:tc>
          <w:tcPr>
            <w:tcW w:w="6600" w:type="dxa"/>
            <w:tcMar>
              <w:top w:w="40" w:type="dxa"/>
              <w:left w:w="90" w:type="dxa"/>
              <w:bottom w:w="40" w:type="dxa"/>
              <w:right w:w="90" w:type="dxa"/>
            </w:tcMar>
          </w:tcPr>
          <w:p w14:paraId="2464A14F" w14:textId="77777777" w:rsidR="00162633" w:rsidRDefault="00FF4310">
            <w:r>
              <w:rPr>
                <w:sz w:val="18"/>
                <w:szCs w:val="18"/>
              </w:rPr>
              <w:t>Configure the parts that build the external account string.</w:t>
            </w:r>
          </w:p>
        </w:tc>
      </w:tr>
      <w:tr w:rsidR="00162633" w14:paraId="2464A153" w14:textId="77777777">
        <w:tblPrEx>
          <w:tblCellMar>
            <w:top w:w="0" w:type="dxa"/>
            <w:bottom w:w="0" w:type="dxa"/>
          </w:tblCellMar>
        </w:tblPrEx>
        <w:tc>
          <w:tcPr>
            <w:tcW w:w="2600" w:type="dxa"/>
            <w:tcMar>
              <w:top w:w="40" w:type="dxa"/>
              <w:left w:w="90" w:type="dxa"/>
              <w:bottom w:w="40" w:type="dxa"/>
              <w:right w:w="90" w:type="dxa"/>
            </w:tcMar>
          </w:tcPr>
          <w:p w14:paraId="2464A151" w14:textId="77777777" w:rsidR="00162633" w:rsidRDefault="00FF4310">
            <w:r>
              <w:rPr>
                <w:sz w:val="18"/>
                <w:szCs w:val="18"/>
              </w:rPr>
              <w:t>Recognition</w:t>
            </w:r>
          </w:p>
        </w:tc>
        <w:tc>
          <w:tcPr>
            <w:tcW w:w="6600" w:type="dxa"/>
            <w:tcMar>
              <w:top w:w="40" w:type="dxa"/>
              <w:left w:w="90" w:type="dxa"/>
              <w:bottom w:w="40" w:type="dxa"/>
              <w:right w:w="90" w:type="dxa"/>
            </w:tcMar>
          </w:tcPr>
          <w:p w14:paraId="2464A152" w14:textId="77777777" w:rsidR="00162633" w:rsidRDefault="00FF4310">
            <w:r>
              <w:rPr>
                <w:sz w:val="18"/>
                <w:szCs w:val="18"/>
              </w:rPr>
              <w:t>View / enter recognition plans and the accrued/deferred position per agreement.</w:t>
            </w:r>
          </w:p>
        </w:tc>
      </w:tr>
      <w:tr w:rsidR="00162633" w14:paraId="2464A156" w14:textId="77777777">
        <w:tblPrEx>
          <w:tblCellMar>
            <w:top w:w="0" w:type="dxa"/>
            <w:bottom w:w="0" w:type="dxa"/>
          </w:tblCellMar>
        </w:tblPrEx>
        <w:tc>
          <w:tcPr>
            <w:tcW w:w="2600" w:type="dxa"/>
            <w:tcMar>
              <w:top w:w="40" w:type="dxa"/>
              <w:left w:w="90" w:type="dxa"/>
              <w:bottom w:w="40" w:type="dxa"/>
              <w:right w:w="90" w:type="dxa"/>
            </w:tcMar>
          </w:tcPr>
          <w:p w14:paraId="2464A154" w14:textId="77777777" w:rsidR="00162633" w:rsidRDefault="00FF4310">
            <w:r>
              <w:rPr>
                <w:sz w:val="18"/>
                <w:szCs w:val="18"/>
              </w:rPr>
              <w:t>Accruals</w:t>
            </w:r>
          </w:p>
        </w:tc>
        <w:tc>
          <w:tcPr>
            <w:tcW w:w="6600" w:type="dxa"/>
            <w:tcMar>
              <w:top w:w="40" w:type="dxa"/>
              <w:left w:w="90" w:type="dxa"/>
              <w:bottom w:w="40" w:type="dxa"/>
              <w:right w:w="90" w:type="dxa"/>
            </w:tcMar>
          </w:tcPr>
          <w:p w14:paraId="2464A155" w14:textId="77777777" w:rsidR="00162633" w:rsidRDefault="00FF4310">
            <w:r>
              <w:rPr>
                <w:sz w:val="18"/>
                <w:szCs w:val="18"/>
              </w:rPr>
              <w:t>Maintain accrual codes and create / run accruals.</w:t>
            </w:r>
          </w:p>
        </w:tc>
      </w:tr>
      <w:tr w:rsidR="00162633" w14:paraId="2464A159" w14:textId="77777777">
        <w:tblPrEx>
          <w:tblCellMar>
            <w:top w:w="0" w:type="dxa"/>
            <w:bottom w:w="0" w:type="dxa"/>
          </w:tblCellMar>
        </w:tblPrEx>
        <w:tc>
          <w:tcPr>
            <w:tcW w:w="2600" w:type="dxa"/>
            <w:tcMar>
              <w:top w:w="40" w:type="dxa"/>
              <w:left w:w="90" w:type="dxa"/>
              <w:bottom w:w="40" w:type="dxa"/>
              <w:right w:w="90" w:type="dxa"/>
            </w:tcMar>
          </w:tcPr>
          <w:p w14:paraId="2464A157" w14:textId="77777777" w:rsidR="00162633" w:rsidRDefault="00FF4310">
            <w:r>
              <w:rPr>
                <w:sz w:val="18"/>
                <w:szCs w:val="18"/>
              </w:rPr>
              <w:t>Integration</w:t>
            </w:r>
          </w:p>
        </w:tc>
        <w:tc>
          <w:tcPr>
            <w:tcW w:w="6600" w:type="dxa"/>
            <w:tcMar>
              <w:top w:w="40" w:type="dxa"/>
              <w:left w:w="90" w:type="dxa"/>
              <w:bottom w:w="40" w:type="dxa"/>
              <w:right w:w="90" w:type="dxa"/>
            </w:tcMar>
          </w:tcPr>
          <w:p w14:paraId="2464A158" w14:textId="77777777" w:rsidR="00162633" w:rsidRDefault="00FF4310">
            <w:r>
              <w:rPr>
                <w:sz w:val="18"/>
                <w:szCs w:val="18"/>
              </w:rPr>
              <w:t>Preview and run the GL export for a period/ledger.</w:t>
            </w:r>
          </w:p>
        </w:tc>
      </w:tr>
      <w:tr w:rsidR="00162633" w14:paraId="2464A15C" w14:textId="77777777">
        <w:tblPrEx>
          <w:tblCellMar>
            <w:top w:w="0" w:type="dxa"/>
            <w:bottom w:w="0" w:type="dxa"/>
          </w:tblCellMar>
        </w:tblPrEx>
        <w:tc>
          <w:tcPr>
            <w:tcW w:w="2600" w:type="dxa"/>
            <w:tcMar>
              <w:top w:w="40" w:type="dxa"/>
              <w:left w:w="90" w:type="dxa"/>
              <w:bottom w:w="40" w:type="dxa"/>
              <w:right w:w="90" w:type="dxa"/>
            </w:tcMar>
          </w:tcPr>
          <w:p w14:paraId="2464A15A" w14:textId="77777777" w:rsidR="00162633" w:rsidRDefault="00FF4310">
            <w:r>
              <w:rPr>
                <w:sz w:val="18"/>
                <w:szCs w:val="18"/>
              </w:rPr>
              <w:t>Journal / Transaction search</w:t>
            </w:r>
          </w:p>
        </w:tc>
        <w:tc>
          <w:tcPr>
            <w:tcW w:w="6600" w:type="dxa"/>
            <w:tcMar>
              <w:top w:w="40" w:type="dxa"/>
              <w:left w:w="90" w:type="dxa"/>
              <w:bottom w:w="40" w:type="dxa"/>
              <w:right w:w="90" w:type="dxa"/>
            </w:tcMar>
          </w:tcPr>
          <w:p w14:paraId="2464A15B" w14:textId="77777777" w:rsidR="00162633" w:rsidRDefault="00FF4310">
            <w:r>
              <w:rPr>
                <w:sz w:val="18"/>
                <w:szCs w:val="18"/>
              </w:rPr>
              <w:t>Search scoped to this entity.</w:t>
            </w:r>
          </w:p>
        </w:tc>
      </w:tr>
    </w:tbl>
    <w:p w14:paraId="2464A15D" w14:textId="77777777" w:rsidR="00162633" w:rsidRDefault="00FF4310">
      <w:pPr>
        <w:pStyle w:val="Heading2"/>
        <w:spacing w:before="220"/>
      </w:pPr>
      <w:bookmarkStart w:id="15" w:name="_Toc238663660"/>
      <w:r>
        <w:t>5.3 Journals</w:t>
      </w:r>
      <w:bookmarkEnd w:id="15"/>
    </w:p>
    <w:tbl>
      <w:tblPr>
        <w:tblW w:w="9200" w:type="dxa"/>
        <w:tblBorders>
          <w:top w:val="single" w:sz="4" w:space="0" w:color="C9D6E2"/>
          <w:left w:val="single" w:sz="4" w:space="0" w:color="C9D6E2"/>
          <w:bottom w:val="single" w:sz="4" w:space="0" w:color="C9D6E2"/>
          <w:right w:val="single" w:sz="4" w:space="0" w:color="C9D6E2"/>
          <w:insideH w:val="single" w:sz="2" w:space="0" w:color="E3EAF1"/>
          <w:insideV w:val="single" w:sz="2" w:space="0" w:color="E3EAF1"/>
        </w:tblBorders>
        <w:tblCellMar>
          <w:left w:w="10" w:type="dxa"/>
          <w:right w:w="10" w:type="dxa"/>
        </w:tblCellMar>
        <w:tblLook w:val="04A0" w:firstRow="1" w:lastRow="0" w:firstColumn="1" w:lastColumn="0" w:noHBand="0" w:noVBand="1"/>
      </w:tblPr>
      <w:tblGrid>
        <w:gridCol w:w="2600"/>
        <w:gridCol w:w="6600"/>
      </w:tblGrid>
      <w:tr w:rsidR="00162633" w14:paraId="2464A160" w14:textId="77777777">
        <w:tblPrEx>
          <w:tblCellMar>
            <w:top w:w="0" w:type="dxa"/>
            <w:bottom w:w="0" w:type="dxa"/>
          </w:tblCellMar>
        </w:tblPrEx>
        <w:trPr>
          <w:tblHeader/>
        </w:trPr>
        <w:tc>
          <w:tcPr>
            <w:tcW w:w="2600" w:type="dxa"/>
            <w:shd w:val="clear" w:color="auto" w:fill="DCE8F2"/>
            <w:tcMar>
              <w:top w:w="40" w:type="dxa"/>
              <w:left w:w="90" w:type="dxa"/>
              <w:bottom w:w="40" w:type="dxa"/>
              <w:right w:w="90" w:type="dxa"/>
            </w:tcMar>
          </w:tcPr>
          <w:p w14:paraId="2464A15E" w14:textId="77777777" w:rsidR="00162633" w:rsidRDefault="00FF4310">
            <w:r>
              <w:rPr>
                <w:b/>
                <w:bCs/>
                <w:sz w:val="18"/>
                <w:szCs w:val="18"/>
              </w:rPr>
              <w:t>Screen</w:t>
            </w:r>
          </w:p>
        </w:tc>
        <w:tc>
          <w:tcPr>
            <w:tcW w:w="6600" w:type="dxa"/>
            <w:shd w:val="clear" w:color="auto" w:fill="DCE8F2"/>
            <w:tcMar>
              <w:top w:w="40" w:type="dxa"/>
              <w:left w:w="90" w:type="dxa"/>
              <w:bottom w:w="40" w:type="dxa"/>
              <w:right w:w="90" w:type="dxa"/>
            </w:tcMar>
          </w:tcPr>
          <w:p w14:paraId="2464A15F" w14:textId="77777777" w:rsidR="00162633" w:rsidRDefault="00FF4310">
            <w:r>
              <w:rPr>
                <w:b/>
                <w:bCs/>
                <w:sz w:val="18"/>
                <w:szCs w:val="18"/>
              </w:rPr>
              <w:t>What it does</w:t>
            </w:r>
          </w:p>
        </w:tc>
      </w:tr>
      <w:tr w:rsidR="00162633" w14:paraId="2464A163" w14:textId="77777777">
        <w:tblPrEx>
          <w:tblCellMar>
            <w:top w:w="0" w:type="dxa"/>
            <w:bottom w:w="0" w:type="dxa"/>
          </w:tblCellMar>
        </w:tblPrEx>
        <w:tc>
          <w:tcPr>
            <w:tcW w:w="2600" w:type="dxa"/>
            <w:tcMar>
              <w:top w:w="40" w:type="dxa"/>
              <w:left w:w="90" w:type="dxa"/>
              <w:bottom w:w="40" w:type="dxa"/>
              <w:right w:w="90" w:type="dxa"/>
            </w:tcMar>
          </w:tcPr>
          <w:p w14:paraId="2464A161" w14:textId="77777777" w:rsidR="00162633" w:rsidRDefault="00FF4310">
            <w:r>
              <w:rPr>
                <w:sz w:val="18"/>
                <w:szCs w:val="18"/>
              </w:rPr>
              <w:t>Journal search</w:t>
            </w:r>
          </w:p>
        </w:tc>
        <w:tc>
          <w:tcPr>
            <w:tcW w:w="6600" w:type="dxa"/>
            <w:tcMar>
              <w:top w:w="40" w:type="dxa"/>
              <w:left w:w="90" w:type="dxa"/>
              <w:bottom w:w="40" w:type="dxa"/>
              <w:right w:w="90" w:type="dxa"/>
            </w:tcMar>
          </w:tcPr>
          <w:p w14:paraId="2464A162" w14:textId="77777777" w:rsidR="00162633" w:rsidRDefault="00FF4310">
            <w:r>
              <w:rPr>
                <w:sz w:val="18"/>
                <w:szCs w:val="18"/>
              </w:rPr>
              <w:t>Find journals by entity, event, ledger, number, dates, difference/unexported (type-to-narrow combos).</w:t>
            </w:r>
          </w:p>
        </w:tc>
      </w:tr>
      <w:tr w:rsidR="00162633" w14:paraId="2464A166" w14:textId="77777777">
        <w:tblPrEx>
          <w:tblCellMar>
            <w:top w:w="0" w:type="dxa"/>
            <w:bottom w:w="0" w:type="dxa"/>
          </w:tblCellMar>
        </w:tblPrEx>
        <w:tc>
          <w:tcPr>
            <w:tcW w:w="2600" w:type="dxa"/>
            <w:tcMar>
              <w:top w:w="40" w:type="dxa"/>
              <w:left w:w="90" w:type="dxa"/>
              <w:bottom w:w="40" w:type="dxa"/>
              <w:right w:w="90" w:type="dxa"/>
            </w:tcMar>
          </w:tcPr>
          <w:p w14:paraId="2464A164" w14:textId="77777777" w:rsidR="00162633" w:rsidRDefault="00FF4310">
            <w:r>
              <w:rPr>
                <w:sz w:val="18"/>
                <w:szCs w:val="18"/>
              </w:rPr>
              <w:t>Transaction search</w:t>
            </w:r>
          </w:p>
        </w:tc>
        <w:tc>
          <w:tcPr>
            <w:tcW w:w="6600" w:type="dxa"/>
            <w:tcMar>
              <w:top w:w="40" w:type="dxa"/>
              <w:left w:w="90" w:type="dxa"/>
              <w:bottom w:w="40" w:type="dxa"/>
              <w:right w:w="90" w:type="dxa"/>
            </w:tcMar>
          </w:tcPr>
          <w:p w14:paraId="2464A165" w14:textId="77777777" w:rsidR="00162633" w:rsidRDefault="00FF4310">
            <w:r>
              <w:rPr>
                <w:sz w:val="18"/>
                <w:szCs w:val="18"/>
              </w:rPr>
              <w:t>Search at line level — account, agreement, agreement line, invoice, customer, supplier, reference.</w:t>
            </w:r>
          </w:p>
        </w:tc>
      </w:tr>
      <w:tr w:rsidR="00162633" w14:paraId="2464A169" w14:textId="77777777">
        <w:tblPrEx>
          <w:tblCellMar>
            <w:top w:w="0" w:type="dxa"/>
            <w:bottom w:w="0" w:type="dxa"/>
          </w:tblCellMar>
        </w:tblPrEx>
        <w:tc>
          <w:tcPr>
            <w:tcW w:w="2600" w:type="dxa"/>
            <w:tcMar>
              <w:top w:w="40" w:type="dxa"/>
              <w:left w:w="90" w:type="dxa"/>
              <w:bottom w:w="40" w:type="dxa"/>
              <w:right w:w="90" w:type="dxa"/>
            </w:tcMar>
          </w:tcPr>
          <w:p w14:paraId="2464A167" w14:textId="77777777" w:rsidR="00162633" w:rsidRDefault="00FF4310">
            <w:r>
              <w:rPr>
                <w:sz w:val="18"/>
                <w:szCs w:val="18"/>
              </w:rPr>
              <w:t>Message simulator</w:t>
            </w:r>
          </w:p>
        </w:tc>
        <w:tc>
          <w:tcPr>
            <w:tcW w:w="6600" w:type="dxa"/>
            <w:tcMar>
              <w:top w:w="40" w:type="dxa"/>
              <w:left w:w="90" w:type="dxa"/>
              <w:bottom w:w="40" w:type="dxa"/>
              <w:right w:w="90" w:type="dxa"/>
            </w:tcMar>
          </w:tcPr>
          <w:p w14:paraId="2464A168" w14:textId="77777777" w:rsidR="00162633" w:rsidRDefault="00FF4310">
            <w:r>
              <w:rPr>
                <w:sz w:val="18"/>
                <w:szCs w:val="18"/>
              </w:rPr>
              <w:t>Compose a message as another domain would and preview the exact booking before creating it — the dry-run engine.</w:t>
            </w:r>
          </w:p>
        </w:tc>
      </w:tr>
      <w:tr w:rsidR="00162633" w14:paraId="2464A16C" w14:textId="77777777">
        <w:tblPrEx>
          <w:tblCellMar>
            <w:top w:w="0" w:type="dxa"/>
            <w:bottom w:w="0" w:type="dxa"/>
          </w:tblCellMar>
        </w:tblPrEx>
        <w:tc>
          <w:tcPr>
            <w:tcW w:w="2600" w:type="dxa"/>
            <w:tcMar>
              <w:top w:w="40" w:type="dxa"/>
              <w:left w:w="90" w:type="dxa"/>
              <w:bottom w:w="40" w:type="dxa"/>
              <w:right w:w="90" w:type="dxa"/>
            </w:tcMar>
          </w:tcPr>
          <w:p w14:paraId="2464A16A" w14:textId="77777777" w:rsidR="00162633" w:rsidRDefault="00FF4310">
            <w:r>
              <w:rPr>
                <w:sz w:val="18"/>
                <w:szCs w:val="18"/>
              </w:rPr>
              <w:t>Manual journal</w:t>
            </w:r>
          </w:p>
        </w:tc>
        <w:tc>
          <w:tcPr>
            <w:tcW w:w="6600" w:type="dxa"/>
            <w:tcMar>
              <w:top w:w="40" w:type="dxa"/>
              <w:left w:w="90" w:type="dxa"/>
              <w:bottom w:w="40" w:type="dxa"/>
              <w:right w:w="90" w:type="dxa"/>
            </w:tcMar>
          </w:tcPr>
          <w:p w14:paraId="2464A16B" w14:textId="77777777" w:rsidR="00162633" w:rsidRDefault="00FF4310">
            <w:r>
              <w:rPr>
                <w:sz w:val="18"/>
                <w:szCs w:val="18"/>
              </w:rPr>
              <w:t>Post a manual journal.</w:t>
            </w:r>
          </w:p>
        </w:tc>
      </w:tr>
      <w:tr w:rsidR="00162633" w14:paraId="2464A16F" w14:textId="77777777">
        <w:tblPrEx>
          <w:tblCellMar>
            <w:top w:w="0" w:type="dxa"/>
            <w:bottom w:w="0" w:type="dxa"/>
          </w:tblCellMar>
        </w:tblPrEx>
        <w:tc>
          <w:tcPr>
            <w:tcW w:w="2600" w:type="dxa"/>
            <w:tcMar>
              <w:top w:w="40" w:type="dxa"/>
              <w:left w:w="90" w:type="dxa"/>
              <w:bottom w:w="40" w:type="dxa"/>
              <w:right w:w="90" w:type="dxa"/>
            </w:tcMar>
          </w:tcPr>
          <w:p w14:paraId="2464A16D" w14:textId="77777777" w:rsidR="00162633" w:rsidRDefault="00FF4310">
            <w:r>
              <w:rPr>
                <w:sz w:val="18"/>
                <w:szCs w:val="18"/>
              </w:rPr>
              <w:t>Pending messages</w:t>
            </w:r>
          </w:p>
        </w:tc>
        <w:tc>
          <w:tcPr>
            <w:tcW w:w="6600" w:type="dxa"/>
            <w:tcMar>
              <w:top w:w="40" w:type="dxa"/>
              <w:left w:w="90" w:type="dxa"/>
              <w:bottom w:w="40" w:type="dxa"/>
              <w:right w:w="90" w:type="dxa"/>
            </w:tcMar>
          </w:tcPr>
          <w:p w14:paraId="2464A16E" w14:textId="77777777" w:rsidR="00162633" w:rsidRDefault="00FF4310">
            <w:r>
              <w:rPr>
                <w:sz w:val="18"/>
                <w:szCs w:val="18"/>
              </w:rPr>
              <w:t>Held (end-of-month) messages waiting to be released.</w:t>
            </w:r>
          </w:p>
        </w:tc>
      </w:tr>
      <w:tr w:rsidR="00162633" w14:paraId="2464A172" w14:textId="77777777">
        <w:tblPrEx>
          <w:tblCellMar>
            <w:top w:w="0" w:type="dxa"/>
            <w:bottom w:w="0" w:type="dxa"/>
          </w:tblCellMar>
        </w:tblPrEx>
        <w:tc>
          <w:tcPr>
            <w:tcW w:w="2600" w:type="dxa"/>
            <w:tcMar>
              <w:top w:w="40" w:type="dxa"/>
              <w:left w:w="90" w:type="dxa"/>
              <w:bottom w:w="40" w:type="dxa"/>
              <w:right w:w="90" w:type="dxa"/>
            </w:tcMar>
          </w:tcPr>
          <w:p w14:paraId="2464A170" w14:textId="77777777" w:rsidR="00162633" w:rsidRDefault="00FF4310">
            <w:r>
              <w:rPr>
                <w:sz w:val="18"/>
                <w:szCs w:val="18"/>
              </w:rPr>
              <w:t>Published events</w:t>
            </w:r>
          </w:p>
        </w:tc>
        <w:tc>
          <w:tcPr>
            <w:tcW w:w="6600" w:type="dxa"/>
            <w:tcMar>
              <w:top w:w="40" w:type="dxa"/>
              <w:left w:w="90" w:type="dxa"/>
              <w:bottom w:w="40" w:type="dxa"/>
              <w:right w:w="90" w:type="dxa"/>
            </w:tcMar>
          </w:tcPr>
          <w:p w14:paraId="2464A171" w14:textId="77777777" w:rsidR="00162633" w:rsidRDefault="00FF4310">
            <w:r>
              <w:rPr>
                <w:sz w:val="18"/>
                <w:szCs w:val="18"/>
              </w:rPr>
              <w:t>The outbound “Journal posted” events other domains subscribe to.</w:t>
            </w:r>
          </w:p>
        </w:tc>
      </w:tr>
      <w:tr w:rsidR="00162633" w14:paraId="2464A175" w14:textId="77777777">
        <w:tblPrEx>
          <w:tblCellMar>
            <w:top w:w="0" w:type="dxa"/>
            <w:bottom w:w="0" w:type="dxa"/>
          </w:tblCellMar>
        </w:tblPrEx>
        <w:tc>
          <w:tcPr>
            <w:tcW w:w="2600" w:type="dxa"/>
            <w:tcMar>
              <w:top w:w="40" w:type="dxa"/>
              <w:left w:w="90" w:type="dxa"/>
              <w:bottom w:w="40" w:type="dxa"/>
              <w:right w:w="90" w:type="dxa"/>
            </w:tcMar>
          </w:tcPr>
          <w:p w14:paraId="2464A173" w14:textId="77777777" w:rsidR="00162633" w:rsidRDefault="00FF4310">
            <w:r>
              <w:rPr>
                <w:sz w:val="18"/>
                <w:szCs w:val="18"/>
              </w:rPr>
              <w:t>Revaluation</w:t>
            </w:r>
          </w:p>
        </w:tc>
        <w:tc>
          <w:tcPr>
            <w:tcW w:w="6600" w:type="dxa"/>
            <w:tcMar>
              <w:top w:w="40" w:type="dxa"/>
              <w:left w:w="90" w:type="dxa"/>
              <w:bottom w:w="40" w:type="dxa"/>
              <w:right w:w="90" w:type="dxa"/>
            </w:tcMar>
          </w:tcPr>
          <w:p w14:paraId="2464A174" w14:textId="77777777" w:rsidR="00162633" w:rsidRDefault="00FF4310">
            <w:r>
              <w:rPr>
                <w:sz w:val="18"/>
                <w:szCs w:val="18"/>
              </w:rPr>
              <w:t>Currency revaluation reconciliation.</w:t>
            </w:r>
          </w:p>
        </w:tc>
      </w:tr>
    </w:tbl>
    <w:p w14:paraId="2464A176" w14:textId="77777777" w:rsidR="00162633" w:rsidRDefault="00FF4310">
      <w:pPr>
        <w:pStyle w:val="Heading2"/>
        <w:spacing w:before="220"/>
      </w:pPr>
      <w:bookmarkStart w:id="16" w:name="_Toc238663661"/>
      <w:r>
        <w:t>5.4 Settings &amp; Reports</w:t>
      </w:r>
      <w:bookmarkEnd w:id="16"/>
    </w:p>
    <w:p w14:paraId="2464A177" w14:textId="77777777" w:rsidR="00162633" w:rsidRDefault="00FF4310">
      <w:pPr>
        <w:pStyle w:val="ListParagraph"/>
        <w:numPr>
          <w:ilvl w:val="0"/>
          <w:numId w:val="2"/>
        </w:numPr>
        <w:spacing w:after="60" w:line="264" w:lineRule="auto"/>
      </w:pPr>
      <w:r>
        <w:rPr>
          <w:b/>
          <w:bCs/>
        </w:rPr>
        <w:t xml:space="preserve">Settings: </w:t>
      </w:r>
      <w:r>
        <w:t>Accounting class, Amount types, Message attribute codes, Ledgers, Currencies, Chart-of-account templates, External account values, Accounting events, and Reset data (rebuild from the seed).</w:t>
      </w:r>
    </w:p>
    <w:p w14:paraId="2464A178" w14:textId="77777777" w:rsidR="00162633" w:rsidRDefault="00FF4310">
      <w:pPr>
        <w:pStyle w:val="ListParagraph"/>
        <w:numPr>
          <w:ilvl w:val="0"/>
          <w:numId w:val="2"/>
        </w:numPr>
        <w:spacing w:after="60" w:line="264" w:lineRule="auto"/>
      </w:pPr>
      <w:r>
        <w:rPr>
          <w:b/>
          <w:bCs/>
        </w:rPr>
        <w:t xml:space="preserve">Reports: </w:t>
      </w:r>
      <w:r>
        <w:t>transaction list, reconciliation, and agreement reconciliation.</w:t>
      </w:r>
    </w:p>
    <w:p w14:paraId="2464A179" w14:textId="77777777" w:rsidR="00162633" w:rsidRDefault="00FF4310">
      <w:pPr>
        <w:pStyle w:val="Heading1"/>
        <w:spacing w:before="300" w:after="120"/>
      </w:pPr>
      <w:bookmarkStart w:id="17" w:name="_Toc238663662"/>
      <w:r>
        <w:t>6. Integration &amp; message contract</w:t>
      </w:r>
      <w:bookmarkEnd w:id="17"/>
    </w:p>
    <w:p w14:paraId="2464A17A" w14:textId="77777777" w:rsidR="00162633" w:rsidRDefault="00FF4310">
      <w:pPr>
        <w:spacing w:after="120" w:line="276" w:lineRule="auto"/>
      </w:pPr>
      <w:r>
        <w:t>Other domains talk to the accounting domain by sending event messages. The contract is published as versioned, language-agnostic schemas:</w:t>
      </w:r>
    </w:p>
    <w:p w14:paraId="2464A17B" w14:textId="77777777" w:rsidR="00162633" w:rsidRDefault="00FF4310">
      <w:pPr>
        <w:pStyle w:val="ListParagraph"/>
        <w:numPr>
          <w:ilvl w:val="0"/>
          <w:numId w:val="2"/>
        </w:numPr>
        <w:spacing w:after="60" w:line="264" w:lineRule="auto"/>
      </w:pPr>
      <w:r>
        <w:rPr>
          <w:b/>
          <w:bCs/>
        </w:rPr>
        <w:lastRenderedPageBreak/>
        <w:t xml:space="preserve">JSON Schema per event </w:t>
      </w:r>
      <w:r>
        <w:t>(Activation, Invoicing, AR Payment, AR Undo Payment, Agreement Change, Accrual) — a sender validates the message shape locally before sending.</w:t>
      </w:r>
    </w:p>
    <w:p w14:paraId="2464A17C" w14:textId="77777777" w:rsidR="00162633" w:rsidRDefault="00FF4310">
      <w:pPr>
        <w:pStyle w:val="ListParagraph"/>
        <w:numPr>
          <w:ilvl w:val="0"/>
          <w:numId w:val="2"/>
        </w:numPr>
        <w:spacing w:after="60" w:line="264" w:lineRule="auto"/>
      </w:pPr>
      <w:r>
        <w:rPr>
          <w:b/>
          <w:bCs/>
        </w:rPr>
        <w:t xml:space="preserve">AsyncAPI </w:t>
      </w:r>
      <w:r>
        <w:t>describing the inbound channel and messages for a developer portal.</w:t>
      </w:r>
    </w:p>
    <w:p w14:paraId="2464A17D" w14:textId="77777777" w:rsidR="00162633" w:rsidRDefault="00FF4310">
      <w:pPr>
        <w:pStyle w:val="ListParagraph"/>
        <w:numPr>
          <w:ilvl w:val="0"/>
          <w:numId w:val="2"/>
        </w:numPr>
        <w:spacing w:after="60" w:line="264" w:lineRule="auto"/>
      </w:pPr>
      <w:r>
        <w:rPr>
          <w:b/>
          <w:bCs/>
        </w:rPr>
        <w:t xml:space="preserve">Reference data </w:t>
      </w:r>
      <w:r>
        <w:t>(the valid products, accounting types, amount codes, amount types) — configured per entity, so discovered from the domain rather than hard-coded.</w:t>
      </w:r>
    </w:p>
    <w:p w14:paraId="2464A17E" w14:textId="77777777" w:rsidR="00162633" w:rsidRDefault="00FF4310">
      <w:pPr>
        <w:pStyle w:val="ListParagraph"/>
        <w:numPr>
          <w:ilvl w:val="0"/>
          <w:numId w:val="2"/>
        </w:numPr>
        <w:spacing w:after="60" w:line="264" w:lineRule="auto"/>
      </w:pPr>
      <w:r>
        <w:rPr>
          <w:b/>
          <w:bCs/>
        </w:rPr>
        <w:t xml:space="preserve">Dry-run validation. </w:t>
      </w:r>
      <w:r>
        <w:t>Structure alone can’t prove a message will book cleanly (that depends on configuration), so a validate / dry-run call runs the real resolution without persisting and returns whether it is valid, the lines it would book, whether it balances, and any issues — the Message Simulator engine as an API.</w:t>
      </w:r>
    </w:p>
    <w:p w14:paraId="2464A17F" w14:textId="77777777" w:rsidR="00162633" w:rsidRDefault="00FF4310">
      <w:pPr>
        <w:pStyle w:val="Heading1"/>
        <w:spacing w:before="300" w:after="120"/>
      </w:pPr>
      <w:bookmarkStart w:id="18" w:name="_Toc238663663"/>
      <w:r>
        <w:t>7. About this build (prototype notes)</w:t>
      </w:r>
      <w:bookmarkEnd w:id="18"/>
    </w:p>
    <w:p w14:paraId="2464A180" w14:textId="77777777" w:rsidR="00162633" w:rsidRDefault="00FF4310">
      <w:pPr>
        <w:spacing w:after="120" w:line="276" w:lineRule="auto"/>
      </w:pPr>
      <w:r>
        <w:t>This is a working prototype (a React + Vite single-page app). All data is seeded and kept in the browser, so every change is local and reversible; Settings → Reset data rebuilds everything from the seed. Amounts, account numbers and codes are illustrative. The processes, screens and the resolution engine described above reflect the actual behaviour of the application.</w:t>
      </w:r>
    </w:p>
    <w:p w14:paraId="2464A181" w14:textId="77777777" w:rsidR="00162633" w:rsidRDefault="00FF4310">
      <w:pPr>
        <w:spacing w:before="240"/>
      </w:pPr>
      <w:r>
        <w:rPr>
          <w:i/>
          <w:iCs/>
          <w:color w:val="5A6472"/>
          <w:sz w:val="18"/>
          <w:szCs w:val="18"/>
        </w:rPr>
        <w:t>Tieto · One Credit Engine — accounting-domain prototype. Overview for internal use; figures are illustrative.</w:t>
      </w:r>
    </w:p>
    <w:sectPr w:rsidR="00162633">
      <w:pgSz w:w="12240" w:h="15840"/>
      <w:pgMar w:top="1080" w:right="1180" w:bottom="1080" w:left="11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54F4E"/>
    <w:multiLevelType w:val="hybridMultilevel"/>
    <w:tmpl w:val="771CF16E"/>
    <w:lvl w:ilvl="0" w:tplc="BB42660A">
      <w:start w:val="1"/>
      <w:numFmt w:val="bullet"/>
      <w:lvlText w:val="•"/>
      <w:lvlJc w:val="left"/>
      <w:pPr>
        <w:ind w:left="460" w:hanging="260"/>
      </w:pPr>
      <w:rPr>
        <w:color w:val="00395D"/>
      </w:rPr>
    </w:lvl>
    <w:lvl w:ilvl="1" w:tplc="238E750E">
      <w:numFmt w:val="decimal"/>
      <w:lvlText w:val=""/>
      <w:lvlJc w:val="left"/>
    </w:lvl>
    <w:lvl w:ilvl="2" w:tplc="F3440210">
      <w:numFmt w:val="decimal"/>
      <w:lvlText w:val=""/>
      <w:lvlJc w:val="left"/>
    </w:lvl>
    <w:lvl w:ilvl="3" w:tplc="72906324">
      <w:numFmt w:val="decimal"/>
      <w:lvlText w:val=""/>
      <w:lvlJc w:val="left"/>
    </w:lvl>
    <w:lvl w:ilvl="4" w:tplc="F8BAB796">
      <w:numFmt w:val="decimal"/>
      <w:lvlText w:val=""/>
      <w:lvlJc w:val="left"/>
    </w:lvl>
    <w:lvl w:ilvl="5" w:tplc="62E45126">
      <w:numFmt w:val="decimal"/>
      <w:lvlText w:val=""/>
      <w:lvlJc w:val="left"/>
    </w:lvl>
    <w:lvl w:ilvl="6" w:tplc="6E1A51BC">
      <w:numFmt w:val="decimal"/>
      <w:lvlText w:val=""/>
      <w:lvlJc w:val="left"/>
    </w:lvl>
    <w:lvl w:ilvl="7" w:tplc="0F605A50">
      <w:numFmt w:val="decimal"/>
      <w:lvlText w:val=""/>
      <w:lvlJc w:val="left"/>
    </w:lvl>
    <w:lvl w:ilvl="8" w:tplc="05C49BF4">
      <w:numFmt w:val="decimal"/>
      <w:lvlText w:val=""/>
      <w:lvlJc w:val="left"/>
    </w:lvl>
  </w:abstractNum>
  <w:abstractNum w:abstractNumId="1" w15:restartNumberingAfterBreak="0">
    <w:nsid w:val="4381782B"/>
    <w:multiLevelType w:val="hybridMultilevel"/>
    <w:tmpl w:val="91505042"/>
    <w:lvl w:ilvl="0" w:tplc="725C9BD8">
      <w:start w:val="1"/>
      <w:numFmt w:val="bullet"/>
      <w:lvlText w:val="●"/>
      <w:lvlJc w:val="left"/>
      <w:pPr>
        <w:ind w:left="720" w:hanging="360"/>
      </w:pPr>
    </w:lvl>
    <w:lvl w:ilvl="1" w:tplc="5296C5BE">
      <w:start w:val="1"/>
      <w:numFmt w:val="bullet"/>
      <w:lvlText w:val="○"/>
      <w:lvlJc w:val="left"/>
      <w:pPr>
        <w:ind w:left="1440" w:hanging="360"/>
      </w:pPr>
    </w:lvl>
    <w:lvl w:ilvl="2" w:tplc="98A45022">
      <w:start w:val="1"/>
      <w:numFmt w:val="bullet"/>
      <w:lvlText w:val="■"/>
      <w:lvlJc w:val="left"/>
      <w:pPr>
        <w:ind w:left="2160" w:hanging="360"/>
      </w:pPr>
    </w:lvl>
    <w:lvl w:ilvl="3" w:tplc="93D86C18">
      <w:start w:val="1"/>
      <w:numFmt w:val="bullet"/>
      <w:lvlText w:val="●"/>
      <w:lvlJc w:val="left"/>
      <w:pPr>
        <w:ind w:left="2880" w:hanging="360"/>
      </w:pPr>
    </w:lvl>
    <w:lvl w:ilvl="4" w:tplc="44B4340E">
      <w:start w:val="1"/>
      <w:numFmt w:val="bullet"/>
      <w:lvlText w:val="○"/>
      <w:lvlJc w:val="left"/>
      <w:pPr>
        <w:ind w:left="3600" w:hanging="360"/>
      </w:pPr>
    </w:lvl>
    <w:lvl w:ilvl="5" w:tplc="6EBC9680">
      <w:start w:val="1"/>
      <w:numFmt w:val="bullet"/>
      <w:lvlText w:val="■"/>
      <w:lvlJc w:val="left"/>
      <w:pPr>
        <w:ind w:left="4320" w:hanging="360"/>
      </w:pPr>
    </w:lvl>
    <w:lvl w:ilvl="6" w:tplc="46ACC4B6">
      <w:start w:val="1"/>
      <w:numFmt w:val="bullet"/>
      <w:lvlText w:val="●"/>
      <w:lvlJc w:val="left"/>
      <w:pPr>
        <w:ind w:left="5040" w:hanging="360"/>
      </w:pPr>
    </w:lvl>
    <w:lvl w:ilvl="7" w:tplc="3196D390">
      <w:start w:val="1"/>
      <w:numFmt w:val="bullet"/>
      <w:lvlText w:val="●"/>
      <w:lvlJc w:val="left"/>
      <w:pPr>
        <w:ind w:left="5760" w:hanging="360"/>
      </w:pPr>
    </w:lvl>
    <w:lvl w:ilvl="8" w:tplc="C1C40E94">
      <w:start w:val="1"/>
      <w:numFmt w:val="bullet"/>
      <w:lvlText w:val="●"/>
      <w:lvlJc w:val="left"/>
      <w:pPr>
        <w:ind w:left="6480" w:hanging="360"/>
      </w:pPr>
    </w:lvl>
  </w:abstractNum>
  <w:num w:numId="1" w16cid:durableId="1161850944">
    <w:abstractNumId w:val="1"/>
    <w:lvlOverride w:ilvl="0">
      <w:startOverride w:val="1"/>
    </w:lvlOverride>
  </w:num>
  <w:num w:numId="2" w16cid:durableId="8911114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633"/>
    <w:rsid w:val="00162633"/>
    <w:rsid w:val="00C454EC"/>
    <w:rsid w:val="00DB1BB7"/>
    <w:rsid w:val="00FF4310"/>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64A107"/>
  <w15:docId w15:val="{73646304-EC3C-4545-A637-F33DE1B37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430"/>
        <w:sz w:val="21"/>
        <w:szCs w:val="21"/>
        <w:lang w:val="en-SE" w:eastAsia="en-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00395D"/>
      <w:sz w:val="30"/>
      <w:szCs w:val="30"/>
    </w:rPr>
  </w:style>
  <w:style w:type="paragraph" w:styleId="Heading2">
    <w:name w:val="heading 2"/>
    <w:uiPriority w:val="9"/>
    <w:unhideWhenUsed/>
    <w:qFormat/>
    <w:pPr>
      <w:spacing w:before="240" w:after="10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54EC"/>
    <w:pPr>
      <w:spacing w:after="100"/>
    </w:pPr>
  </w:style>
  <w:style w:type="paragraph" w:styleId="TOC2">
    <w:name w:val="toc 2"/>
    <w:basedOn w:val="Normal"/>
    <w:next w:val="Normal"/>
    <w:autoRedefine/>
    <w:uiPriority w:val="39"/>
    <w:unhideWhenUsed/>
    <w:rsid w:val="00C454EC"/>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1843</Words>
  <Characters>10580</Characters>
  <Application>Microsoft Office Word</Application>
  <DocSecurity>0</DocSecurity>
  <Lines>199</Lines>
  <Paragraphs>151</Paragraphs>
  <ScaleCrop>false</ScaleCrop>
  <Company/>
  <LinksUpToDate>false</LinksUpToDate>
  <CharactersWithSpaces>12272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Accounting Domain — overview</dc:title>
  <dc:creator>One Credit Engine</dc:creator>
  <cp:lastModifiedBy>Rikard Krameus</cp:lastModifiedBy>
  <cp:revision>2</cp:revision>
  <dcterms:created xsi:type="dcterms:W3CDTF">2026-08-26T17:06:00Z</dcterms:created>
  <dcterms:modified xsi:type="dcterms:W3CDTF">2026-08-26T17:06:00Z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623b29-abd1-4de3-a20c-27566d79b7c7_Enabled">
    <vt:lpwstr>true</vt:lpwstr>
  </property>
  <property fmtid="{D5CDD505-2E9C-101B-9397-08002B2CF9AE}" pid="3" name="MSIP_Label_3b623b29-abd1-4de3-a20c-27566d79b7c7_SetDate">
    <vt:lpwstr>2026-08-26T17:06:53Z</vt:lpwstr>
  </property>
  <property fmtid="{D5CDD505-2E9C-101B-9397-08002B2CF9AE}" pid="4" name="MSIP_Label_3b623b29-abd1-4de3-a20c-27566d79b7c7_Method">
    <vt:lpwstr>Standard</vt:lpwstr>
  </property>
  <property fmtid="{D5CDD505-2E9C-101B-9397-08002B2CF9AE}" pid="5" name="MSIP_Label_3b623b29-abd1-4de3-a20c-27566d79b7c7_Name">
    <vt:lpwstr>3b623b29-abd1-4de3-a20c-27566d79b7c7</vt:lpwstr>
  </property>
  <property fmtid="{D5CDD505-2E9C-101B-9397-08002B2CF9AE}" pid="6" name="MSIP_Label_3b623b29-abd1-4de3-a20c-27566d79b7c7_SiteId">
    <vt:lpwstr>cbede638-a3d9-459f-8f4e-24ced73b4e5e</vt:lpwstr>
  </property>
  <property fmtid="{D5CDD505-2E9C-101B-9397-08002B2CF9AE}" pid="7" name="MSIP_Label_3b623b29-abd1-4de3-a20c-27566d79b7c7_ActionId">
    <vt:lpwstr>2bed0406-84b3-467a-9709-7e9d28e4dd99</vt:lpwstr>
  </property>
  <property fmtid="{D5CDD505-2E9C-101B-9397-08002B2CF9AE}" pid="8" name="MSIP_Label_3b623b29-abd1-4de3-a20c-27566d79b7c7_ContentBits">
    <vt:lpwstr>0</vt:lpwstr>
  </property>
  <property fmtid="{D5CDD505-2E9C-101B-9397-08002B2CF9AE}" pid="9" name="MSIP_Label_3b623b29-abd1-4de3-a20c-27566d79b7c7_Tag">
    <vt:lpwstr>10, 3, 0, 1</vt:lpwstr>
  </property>
</Properties>
</file>